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80"/>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9" w:lineRule="exact"/>
        <w:rPr>
          <w:sz w:val="24"/>
          <w:szCs w:val="24"/>
          <w:color w:val="auto"/>
        </w:rPr>
      </w:pPr>
    </w:p>
    <w:p>
      <w:pPr>
        <w:ind w:left="3340" w:right="740" w:hanging="2618"/>
        <w:spacing w:after="0" w:line="277" w:lineRule="auto"/>
        <w:tabs>
          <w:tab w:leader="none" w:pos="1012"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ANNUAL REPORT PURSUANT TO SECTION 13 OR 15(d) OF THE SECURITIES EXCHANGE ACT OF 1934 For the fiscal year ended December 31, 2018 or</w:t>
      </w:r>
    </w:p>
    <w:p>
      <w:pPr>
        <w:spacing w:after="0" w:line="75" w:lineRule="exact"/>
        <w:rPr>
          <w:rFonts w:ascii="MS PGothic" w:cs="MS PGothic" w:eastAsia="MS PGothic" w:hAnsi="MS PGothic"/>
          <w:sz w:val="18"/>
          <w:szCs w:val="18"/>
          <w:color w:val="auto"/>
          <w:highlight w:val="black"/>
        </w:rPr>
      </w:pPr>
    </w:p>
    <w:p>
      <w:pPr>
        <w:ind w:left="3260" w:right="580" w:hanging="2701"/>
        <w:spacing w:after="0" w:line="277" w:lineRule="auto"/>
        <w:tabs>
          <w:tab w:leader="none" w:pos="85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TRANSITION REPORT PURSUANT TO SECTION 13 OR 15(d) OF THE SECURITIES EXCHANGE ACT OF 1934 For the transition period from _______ to 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2390140</wp:posOffset>
            </wp:positionH>
            <wp:positionV relativeFrom="paragraph">
              <wp:posOffset>92075</wp:posOffset>
            </wp:positionV>
            <wp:extent cx="1646555"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u w:val="single" w:color="auto"/>
          <w:color w:val="auto"/>
        </w:rPr>
        <w:t>READING INTERNATIONAL,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4720" w:type="dxa"/>
            <w:vAlign w:val="bottom"/>
          </w:tcPr>
          <w:p>
            <w:pPr>
              <w:jc w:val="right"/>
              <w:ind w:right="1858"/>
              <w:spacing w:after="0"/>
              <w:rPr>
                <w:sz w:val="20"/>
                <w:szCs w:val="20"/>
                <w:color w:val="auto"/>
              </w:rPr>
            </w:pPr>
            <w:r>
              <w:rPr>
                <w:rFonts w:ascii="Arial" w:cs="Arial" w:eastAsia="Arial" w:hAnsi="Arial"/>
                <w:sz w:val="18"/>
                <w:szCs w:val="18"/>
                <w:b w:val="1"/>
                <w:bCs w:val="1"/>
                <w:color w:val="auto"/>
              </w:rPr>
              <w:t>95-3885184</w:t>
            </w:r>
          </w:p>
        </w:tc>
      </w:tr>
      <w:tr>
        <w:trPr>
          <w:trHeight w:val="149"/>
        </w:trPr>
        <w:tc>
          <w:tcPr>
            <w:tcW w:w="5400" w:type="dxa"/>
            <w:vAlign w:val="bottom"/>
          </w:tcPr>
          <w:p>
            <w:pPr>
              <w:jc w:val="center"/>
              <w:spacing w:after="0" w:line="149" w:lineRule="exact"/>
              <w:rPr>
                <w:sz w:val="20"/>
                <w:szCs w:val="20"/>
                <w:color w:val="auto"/>
              </w:rPr>
            </w:pPr>
            <w:r>
              <w:rPr>
                <w:rFonts w:ascii="Arial" w:cs="Arial" w:eastAsia="Arial" w:hAnsi="Arial"/>
                <w:sz w:val="14"/>
                <w:szCs w:val="14"/>
                <w:color w:val="auto"/>
                <w:w w:val="95"/>
              </w:rPr>
              <w:t>(State or other jurisdiction of incorporation or organization)</w:t>
            </w:r>
          </w:p>
        </w:tc>
        <w:tc>
          <w:tcPr>
            <w:tcW w:w="4720" w:type="dxa"/>
            <w:vAlign w:val="bottom"/>
          </w:tcPr>
          <w:p>
            <w:pPr>
              <w:jc w:val="center"/>
              <w:spacing w:after="0" w:line="149" w:lineRule="exact"/>
              <w:rPr>
                <w:sz w:val="20"/>
                <w:szCs w:val="20"/>
                <w:color w:val="auto"/>
              </w:rPr>
            </w:pPr>
            <w:r>
              <w:rPr>
                <w:rFonts w:ascii="Arial" w:cs="Arial" w:eastAsia="Arial" w:hAnsi="Arial"/>
                <w:sz w:val="14"/>
                <w:szCs w:val="14"/>
                <w:color w:val="auto"/>
                <w:w w:val="96"/>
              </w:rPr>
              <w:t>(I.R.S. Employer Identification Number)</w:t>
            </w:r>
          </w:p>
        </w:tc>
      </w:tr>
      <w:tr>
        <w:trPr>
          <w:trHeight w:val="216"/>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5995 Sepulveda Boulevard, Suite 300</w:t>
            </w:r>
          </w:p>
        </w:tc>
        <w:tc>
          <w:tcPr>
            <w:tcW w:w="4720" w:type="dxa"/>
            <w:vAlign w:val="bottom"/>
          </w:tcPr>
          <w:p>
            <w:pPr>
              <w:spacing w:after="0"/>
              <w:rPr>
                <w:sz w:val="18"/>
                <w:szCs w:val="18"/>
                <w:color w:val="auto"/>
              </w:rPr>
            </w:pPr>
          </w:p>
        </w:tc>
      </w:tr>
      <w:tr>
        <w:trPr>
          <w:trHeight w:val="216"/>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4"/>
              </w:rPr>
              <w:t>Culver City, CA</w:t>
            </w:r>
          </w:p>
        </w:tc>
        <w:tc>
          <w:tcPr>
            <w:tcW w:w="4720" w:type="dxa"/>
            <w:vAlign w:val="bottom"/>
          </w:tcPr>
          <w:p>
            <w:pPr>
              <w:jc w:val="right"/>
              <w:ind w:right="2078"/>
              <w:spacing w:after="0"/>
              <w:rPr>
                <w:sz w:val="20"/>
                <w:szCs w:val="20"/>
                <w:color w:val="auto"/>
              </w:rPr>
            </w:pPr>
            <w:r>
              <w:rPr>
                <w:rFonts w:ascii="Arial" w:cs="Arial" w:eastAsia="Arial" w:hAnsi="Arial"/>
                <w:sz w:val="18"/>
                <w:szCs w:val="18"/>
                <w:b w:val="1"/>
                <w:bCs w:val="1"/>
                <w:color w:val="auto"/>
              </w:rPr>
              <w:t>90230</w:t>
            </w:r>
          </w:p>
        </w:tc>
      </w:tr>
      <w:tr>
        <w:trPr>
          <w:trHeight w:val="182"/>
        </w:trPr>
        <w:tc>
          <w:tcPr>
            <w:tcW w:w="540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472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323"/>
        </w:trPr>
        <w:tc>
          <w:tcPr>
            <w:tcW w:w="10120" w:type="dxa"/>
            <w:vAlign w:val="bottom"/>
            <w:gridSpan w:val="2"/>
          </w:tcPr>
          <w:p>
            <w:pPr>
              <w:jc w:val="center"/>
              <w:spacing w:after="0"/>
              <w:rPr>
                <w:sz w:val="20"/>
                <w:szCs w:val="20"/>
                <w:color w:val="auto"/>
              </w:rPr>
            </w:pPr>
            <w:r>
              <w:rPr>
                <w:rFonts w:ascii="Arial" w:cs="Arial" w:eastAsia="Arial" w:hAnsi="Arial"/>
                <w:sz w:val="18"/>
                <w:szCs w:val="18"/>
                <w:color w:val="auto"/>
                <w:w w:val="91"/>
              </w:rPr>
              <w:t>Registrant’s telephone number, including Area Code: (213) 235-2240</w:t>
            </w:r>
          </w:p>
        </w:tc>
      </w:tr>
      <w:tr>
        <w:trPr>
          <w:trHeight w:val="332"/>
        </w:trPr>
        <w:tc>
          <w:tcPr>
            <w:tcW w:w="10120" w:type="dxa"/>
            <w:vAlign w:val="bottom"/>
            <w:gridSpan w:val="2"/>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67"/>
        </w:trPr>
        <w:tc>
          <w:tcPr>
            <w:tcW w:w="54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color w:val="auto"/>
                <w:w w:val="92"/>
              </w:rPr>
              <w:t>Title of each class</w:t>
            </w:r>
          </w:p>
        </w:tc>
        <w:tc>
          <w:tcPr>
            <w:tcW w:w="472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color w:val="auto"/>
                <w:w w:val="91"/>
              </w:rPr>
              <w:t>Name of each exchange on which registered</w:t>
            </w:r>
          </w:p>
        </w:tc>
      </w:tr>
      <w:tr>
        <w:trPr>
          <w:trHeight w:val="191"/>
        </w:trPr>
        <w:tc>
          <w:tcPr>
            <w:tcW w:w="5400" w:type="dxa"/>
            <w:vAlign w:val="bottom"/>
          </w:tcPr>
          <w:p>
            <w:pPr>
              <w:jc w:val="center"/>
              <w:ind w:right="255"/>
              <w:spacing w:after="0" w:line="191" w:lineRule="exact"/>
              <w:rPr>
                <w:sz w:val="20"/>
                <w:szCs w:val="20"/>
                <w:color w:val="auto"/>
              </w:rPr>
            </w:pPr>
            <w:r>
              <w:rPr>
                <w:rFonts w:ascii="Arial" w:cs="Arial" w:eastAsia="Arial" w:hAnsi="Arial"/>
                <w:sz w:val="18"/>
                <w:szCs w:val="18"/>
                <w:b w:val="1"/>
                <w:bCs w:val="1"/>
                <w:color w:val="auto"/>
                <w:w w:val="90"/>
              </w:rPr>
              <w:t>Class A Nonvoting Common Stock, $0.01 par value</w:t>
            </w:r>
          </w:p>
        </w:tc>
        <w:tc>
          <w:tcPr>
            <w:tcW w:w="4720" w:type="dxa"/>
            <w:vAlign w:val="bottom"/>
          </w:tcPr>
          <w:p>
            <w:pPr>
              <w:jc w:val="center"/>
              <w:ind w:right="278"/>
              <w:spacing w:after="0" w:line="191" w:lineRule="exact"/>
              <w:rPr>
                <w:sz w:val="20"/>
                <w:szCs w:val="20"/>
                <w:color w:val="auto"/>
              </w:rPr>
            </w:pPr>
            <w:r>
              <w:rPr>
                <w:rFonts w:ascii="Arial" w:cs="Arial" w:eastAsia="Arial" w:hAnsi="Arial"/>
                <w:sz w:val="18"/>
                <w:szCs w:val="18"/>
                <w:b w:val="1"/>
                <w:bCs w:val="1"/>
                <w:color w:val="auto"/>
                <w:w w:val="97"/>
              </w:rPr>
              <w:t>NASDAQ</w:t>
            </w:r>
          </w:p>
        </w:tc>
      </w:tr>
      <w:tr>
        <w:trPr>
          <w:trHeight w:val="234"/>
        </w:trPr>
        <w:tc>
          <w:tcPr>
            <w:tcW w:w="5400" w:type="dxa"/>
            <w:vAlign w:val="bottom"/>
          </w:tcPr>
          <w:p>
            <w:pPr>
              <w:jc w:val="center"/>
              <w:ind w:right="255"/>
              <w:spacing w:after="0"/>
              <w:rPr>
                <w:sz w:val="20"/>
                <w:szCs w:val="20"/>
                <w:color w:val="auto"/>
              </w:rPr>
            </w:pPr>
            <w:r>
              <w:rPr>
                <w:rFonts w:ascii="Arial" w:cs="Arial" w:eastAsia="Arial" w:hAnsi="Arial"/>
                <w:sz w:val="18"/>
                <w:szCs w:val="18"/>
                <w:b w:val="1"/>
                <w:bCs w:val="1"/>
                <w:color w:val="auto"/>
                <w:w w:val="89"/>
              </w:rPr>
              <w:t>Class B Voting Common Stock, $0.01 par value</w:t>
            </w:r>
          </w:p>
        </w:tc>
        <w:tc>
          <w:tcPr>
            <w:tcW w:w="4720" w:type="dxa"/>
            <w:vAlign w:val="bottom"/>
          </w:tcPr>
          <w:p>
            <w:pPr>
              <w:jc w:val="center"/>
              <w:ind w:right="278"/>
              <w:spacing w:after="0"/>
              <w:rPr>
                <w:sz w:val="20"/>
                <w:szCs w:val="20"/>
                <w:color w:val="auto"/>
              </w:rPr>
            </w:pPr>
            <w:r>
              <w:rPr>
                <w:rFonts w:ascii="Arial" w:cs="Arial" w:eastAsia="Arial" w:hAnsi="Arial"/>
                <w:sz w:val="18"/>
                <w:szCs w:val="18"/>
                <w:b w:val="1"/>
                <w:bCs w:val="1"/>
                <w:color w:val="auto"/>
                <w:w w:val="97"/>
              </w:rPr>
              <w:t>NASDAQ</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9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30" w:lineRule="exact"/>
        <w:rPr>
          <w:sz w:val="24"/>
          <w:szCs w:val="24"/>
          <w:color w:val="auto"/>
        </w:rPr>
      </w:pPr>
    </w:p>
    <w:p>
      <w:pPr>
        <w:ind w:right="260"/>
        <w:spacing w:after="0" w:line="214"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3" w:lineRule="exact"/>
        <w:rPr>
          <w:sz w:val="24"/>
          <w:szCs w:val="24"/>
          <w:color w:val="auto"/>
        </w:rPr>
      </w:pPr>
    </w:p>
    <w:p>
      <w:pPr>
        <w:ind w:right="20"/>
        <w:spacing w:after="0" w:line="210" w:lineRule="exact"/>
        <w:rPr>
          <w:sz w:val="20"/>
          <w:szCs w:val="20"/>
          <w:color w:val="auto"/>
        </w:rPr>
      </w:pPr>
      <w:r>
        <w:rPr>
          <w:rFonts w:ascii="Arial" w:cs="Arial" w:eastAsia="Arial" w:hAnsi="Arial"/>
          <w:sz w:val="16"/>
          <w:szCs w:val="16"/>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4" w:lineRule="exact"/>
        <w:rPr>
          <w:sz w:val="24"/>
          <w:szCs w:val="24"/>
          <w:color w:val="auto"/>
        </w:rPr>
      </w:pPr>
    </w:p>
    <w:p>
      <w:pPr>
        <w:jc w:val="both"/>
        <w:ind w:right="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post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61" w:lineRule="exact"/>
        <w:rPr>
          <w:sz w:val="24"/>
          <w:szCs w:val="24"/>
          <w:color w:val="auto"/>
        </w:rPr>
      </w:pPr>
    </w:p>
    <w:p>
      <w:pPr>
        <w:ind w:right="80"/>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w:t>
      </w:r>
      <w:r>
        <w:rPr>
          <w:rFonts w:ascii="MS PGothic" w:cs="MS PGothic" w:eastAsia="MS PGothic" w:hAnsi="MS PGothic"/>
          <w:sz w:val="16"/>
          <w:szCs w:val="16"/>
          <w:color w:val="auto"/>
          <w:highlight w:val="black"/>
        </w:rPr>
        <w:t>☐</w:t>
      </w:r>
    </w:p>
    <w:p>
      <w:pPr>
        <w:spacing w:after="0" w:line="74" w:lineRule="exact"/>
        <w:rPr>
          <w:sz w:val="24"/>
          <w:szCs w:val="24"/>
          <w:color w:val="auto"/>
        </w:rPr>
      </w:pPr>
    </w:p>
    <w:p>
      <w:pPr>
        <w:ind w:right="4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highlight w:val="black"/>
        </w:rPr>
        <w:t>☐</w:t>
      </w:r>
    </w:p>
    <w:p>
      <w:pPr>
        <w:spacing w:after="0" w:line="130" w:lineRule="exact"/>
        <w:rPr>
          <w:sz w:val="24"/>
          <w:szCs w:val="24"/>
          <w:color w:val="auto"/>
        </w:rPr>
      </w:pPr>
    </w:p>
    <w:p>
      <w:pPr>
        <w:ind w:right="160"/>
        <w:spacing w:after="0" w:line="224"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color w:val="auto"/>
        </w:rPr>
        <w:t>.</w:t>
      </w:r>
      <w:r>
        <w:rPr>
          <w:rFonts w:ascii="Arial" w:cs="Arial" w:eastAsia="Arial" w:hAnsi="Arial"/>
          <w:sz w:val="16"/>
          <w:szCs w:val="16"/>
          <w:color w:val="auto"/>
        </w:rPr>
        <w:t xml:space="preserve"> </w:t>
      </w:r>
      <w:r>
        <w:rPr>
          <w:rFonts w:ascii="MS PGothic" w:cs="MS PGothic" w:eastAsia="MS PGothic" w:hAnsi="MS PGothic"/>
          <w:sz w:val="18"/>
          <w:szCs w:val="18"/>
          <w:color w:val="auto"/>
          <w:highlight w:val="black"/>
        </w:rPr>
        <w:t>☐</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43" w:lineRule="exact"/>
        <w:rPr>
          <w:sz w:val="24"/>
          <w:szCs w:val="24"/>
          <w:color w:val="auto"/>
        </w:rPr>
      </w:pPr>
    </w:p>
    <w:p>
      <w:pPr>
        <w:ind w:right="40"/>
        <w:spacing w:after="0" w:line="271"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June 29, 2018 (the last business day of the registrant’s most recently completed second fiscal quarter), the aggregate market value of the registrant's voting and non-voting common equity held by non-affiliates based on the closing price on that date as reported by the Nasdaq Stock Market was $383,954,817. As of March 15, 2019, there were 21,240,044 shares of class A non-voting common stock, par value $0.01 per share and 1,680,590 shares of class B voting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500380</wp:posOffset>
            </wp:positionV>
            <wp:extent cx="646557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220" w:right="87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6"/>
          <w:szCs w:val="16"/>
          <w:u w:val="single" w:color="auto"/>
          <w:color w:val="auto"/>
        </w:rPr>
        <w:t>Documents Incorporated by Reference</w:t>
      </w:r>
    </w:p>
    <w:p>
      <w:pPr>
        <w:spacing w:after="0" w:line="22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Portion of the registrant’s definitive Proxy Statement for the 2019 annual meeting of the stockholders to be filed with the Securities and Exchange Commission within 120 days after the end of the fiscal year ended December 31, 2018 are incorporated by reference into Part III of this Annual Report on Form 10-K.</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30" w:right="9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27"/>
          <w:szCs w:val="27"/>
          <w:b w:val="1"/>
          <w:bCs w:val="1"/>
          <w:u w:val="single" w:color="auto"/>
          <w:color w:val="auto"/>
        </w:rPr>
        <w:t>READING INTERNATIONAL, INC.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 ON FORM 10-K</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980" w:type="dxa"/>
            <w:vAlign w:val="bottom"/>
            <w:gridSpan w:val="3"/>
          </w:tcPr>
          <w:p>
            <w:pPr>
              <w:jc w:val="center"/>
              <w:ind w:left="4312"/>
              <w:spacing w:after="0"/>
              <w:rPr>
                <w:sz w:val="20"/>
                <w:szCs w:val="20"/>
                <w:color w:val="auto"/>
              </w:rPr>
            </w:pPr>
            <w:r>
              <w:rPr>
                <w:rFonts w:ascii="Arial" w:cs="Arial" w:eastAsia="Arial" w:hAnsi="Arial"/>
                <w:sz w:val="16"/>
                <w:szCs w:val="16"/>
                <w:b w:val="1"/>
                <w:bCs w:val="1"/>
                <w:color w:val="auto"/>
                <w:w w:val="88"/>
              </w:rPr>
              <w:t>Page</w:t>
            </w:r>
          </w:p>
        </w:tc>
        <w:tc>
          <w:tcPr>
            <w:tcW w:w="20" w:type="dxa"/>
            <w:vAlign w:val="bottom"/>
          </w:tcPr>
          <w:p>
            <w:pPr>
              <w:spacing w:after="0"/>
              <w:rPr>
                <w:sz w:val="16"/>
                <w:szCs w:val="16"/>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4"/>
              </w:rPr>
            </w:pPr>
            <w:hyperlink w:anchor="page11">
              <w:r>
                <w:rPr>
                  <w:rFonts w:ascii="Arial" w:cs="Arial" w:eastAsia="Arial" w:hAnsi="Arial"/>
                  <w:sz w:val="18"/>
                  <w:szCs w:val="18"/>
                  <w:b w:val="1"/>
                  <w:bCs w:val="1"/>
                  <w:color w:val="0000EE"/>
                  <w:w w:val="94"/>
                </w:rPr>
                <w:t>PART I</w:t>
              </w:r>
            </w:hyperlink>
          </w:p>
        </w:tc>
        <w:tc>
          <w:tcPr>
            <w:tcW w:w="4440" w:type="dxa"/>
            <w:vAlign w:val="bottom"/>
            <w:tcBorders>
              <w:bottom w:val="single" w:sz="8" w:color="CCEEFF"/>
            </w:tcBorders>
            <w:gridSpan w:val="3"/>
            <w:shd w:val="clear" w:color="auto" w:fill="CCEEFF"/>
          </w:tcPr>
          <w:p>
            <w:pPr>
              <w:spacing w:after="0"/>
              <w:rPr>
                <w:sz w:val="17"/>
                <w:szCs w:val="17"/>
                <w:color w:val="auto"/>
              </w:rPr>
            </w:pPr>
          </w:p>
        </w:tc>
        <w:tc>
          <w:tcPr>
            <w:tcW w:w="4860" w:type="dxa"/>
            <w:vAlign w:val="bottom"/>
            <w:tcBorders>
              <w:bottom w:val="single" w:sz="8" w:color="CCEEFF"/>
            </w:tcBorders>
            <w:gridSpan w:val="2"/>
            <w:shd w:val="clear" w:color="auto" w:fill="CCEEFF"/>
          </w:tcPr>
          <w:p>
            <w:pPr>
              <w:jc w:val="center"/>
              <w:ind w:left="4432"/>
              <w:spacing w:after="0" w:line="176" w:lineRule="exact"/>
              <w:rPr>
                <w:sz w:val="20"/>
                <w:szCs w:val="20"/>
                <w:color w:val="auto"/>
              </w:rPr>
            </w:pPr>
            <w:r>
              <w:rPr>
                <w:rFonts w:ascii="Arial" w:cs="Arial" w:eastAsia="Arial" w:hAnsi="Arial"/>
                <w:sz w:val="18"/>
                <w:szCs w:val="18"/>
                <w:color w:val="auto"/>
                <w:w w:val="89"/>
              </w:rPr>
              <w:t>11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5020" w:type="dxa"/>
            <w:vAlign w:val="bottom"/>
            <w:gridSpan w:val="4"/>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Item 1 – Our Business</w:t>
              </w:r>
            </w:hyperlink>
          </w:p>
        </w:tc>
        <w:tc>
          <w:tcPr>
            <w:tcW w:w="4860" w:type="dxa"/>
            <w:vAlign w:val="bottom"/>
            <w:gridSpan w:val="2"/>
          </w:tcPr>
          <w:p>
            <w:pPr>
              <w:jc w:val="center"/>
              <w:ind w:left="4432"/>
              <w:spacing w:after="0" w:line="176" w:lineRule="exact"/>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1A – Risk Factors</w:t>
              </w:r>
            </w:hyperlink>
          </w:p>
        </w:tc>
        <w:tc>
          <w:tcPr>
            <w:tcW w:w="3340" w:type="dxa"/>
            <w:vAlign w:val="bottom"/>
            <w:tcBorders>
              <w:bottom w:val="single" w:sz="8" w:color="CCEEFF"/>
            </w:tcBorders>
            <w:shd w:val="clear" w:color="auto" w:fill="CCEEFF"/>
          </w:tcPr>
          <w:p>
            <w:pPr>
              <w:spacing w:after="0"/>
              <w:rPr>
                <w:sz w:val="17"/>
                <w:szCs w:val="17"/>
                <w:color w:val="auto"/>
              </w:rPr>
            </w:pPr>
          </w:p>
        </w:tc>
        <w:tc>
          <w:tcPr>
            <w:tcW w:w="4860" w:type="dxa"/>
            <w:vAlign w:val="bottom"/>
            <w:tcBorders>
              <w:bottom w:val="single" w:sz="8" w:color="CCEEFF"/>
            </w:tcBorders>
            <w:gridSpan w:val="2"/>
            <w:shd w:val="clear" w:color="auto" w:fill="CCEEFF"/>
          </w:tcPr>
          <w:p>
            <w:pPr>
              <w:jc w:val="center"/>
              <w:ind w:left="4432"/>
              <w:spacing w:after="0" w:line="176" w:lineRule="exact"/>
              <w:rPr>
                <w:sz w:val="20"/>
                <w:szCs w:val="20"/>
                <w:color w:val="auto"/>
              </w:rPr>
            </w:pPr>
            <w:r>
              <w:rPr>
                <w:rFonts w:ascii="Arial" w:cs="Arial" w:eastAsia="Arial" w:hAnsi="Arial"/>
                <w:sz w:val="18"/>
                <w:szCs w:val="18"/>
                <w:color w:val="auto"/>
                <w:w w:val="89"/>
              </w:rPr>
              <w:t>24</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32"/>
        </w:trPr>
        <w:tc>
          <w:tcPr>
            <w:tcW w:w="5140" w:type="dxa"/>
            <w:vAlign w:val="bottom"/>
            <w:gridSpan w:val="5"/>
          </w:tcPr>
          <w:p>
            <w:pPr>
              <w:jc w:val="right"/>
              <w:ind w:right="40"/>
              <w:spacing w:after="0"/>
              <w:rPr>
                <w:sz w:val="20"/>
                <w:szCs w:val="20"/>
                <w:color w:val="auto"/>
              </w:rPr>
            </w:pPr>
            <w:r>
              <w:rPr>
                <w:rFonts w:ascii="Arial" w:cs="Arial" w:eastAsia="Arial" w:hAnsi="Arial"/>
                <w:sz w:val="18"/>
                <w:szCs w:val="18"/>
                <w:color w:val="auto"/>
              </w:rPr>
              <w:t>- 3</w:t>
            </w:r>
          </w:p>
        </w:tc>
        <w:tc>
          <w:tcPr>
            <w:tcW w:w="4520" w:type="dxa"/>
            <w:vAlign w:val="bottom"/>
          </w:tcPr>
          <w:p>
            <w:pPr>
              <w:jc w:val="right"/>
              <w:ind w:right="43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45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28"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02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1B – Unresolved Staff Comments</w:t>
              </w:r>
            </w:hyperlink>
          </w:p>
        </w:tc>
        <w:tc>
          <w:tcPr>
            <w:tcW w:w="49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line="17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Item 2</w:t>
              </w:r>
            </w:hyperlink>
          </w:p>
        </w:tc>
        <w:tc>
          <w:tcPr>
            <w:tcW w:w="454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 Properties</w:t>
              </w:r>
            </w:hyperlink>
          </w:p>
        </w:tc>
        <w:tc>
          <w:tcPr>
            <w:tcW w:w="49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480" w:type="dxa"/>
            <w:vAlign w:val="bottom"/>
          </w:tcPr>
          <w:p>
            <w:pPr>
              <w:spacing w:after="0" w:line="17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3</w:t>
              </w:r>
            </w:hyperlink>
          </w:p>
        </w:tc>
        <w:tc>
          <w:tcPr>
            <w:tcW w:w="4540" w:type="dxa"/>
            <w:vAlign w:val="bottom"/>
            <w:gridSpan w:val="5"/>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 Legal Proceedings</w:t>
              </w:r>
            </w:hyperlink>
          </w:p>
        </w:tc>
        <w:tc>
          <w:tcPr>
            <w:tcW w:w="498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line="17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Item 4</w:t>
              </w:r>
            </w:hyperlink>
          </w:p>
        </w:tc>
        <w:tc>
          <w:tcPr>
            <w:tcW w:w="454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 Mine Safety Disclosures</w:t>
              </w:r>
            </w:hyperlink>
          </w:p>
        </w:tc>
        <w:tc>
          <w:tcPr>
            <w:tcW w:w="49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r>
      <w:tr>
        <w:trPr>
          <w:trHeight w:val="432"/>
        </w:trPr>
        <w:tc>
          <w:tcPr>
            <w:tcW w:w="120" w:type="dxa"/>
            <w:vAlign w:val="bottom"/>
            <w:tcBorders>
              <w:top w:val="single" w:sz="8" w:color="CCEEFF"/>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gridSpan w:val="3"/>
          </w:tcPr>
          <w:p>
            <w:pPr>
              <w:spacing w:after="0"/>
              <w:rPr>
                <w:sz w:val="24"/>
                <w:szCs w:val="24"/>
                <w:color w:val="auto"/>
              </w:rPr>
            </w:pPr>
          </w:p>
        </w:tc>
        <w:tc>
          <w:tcPr>
            <w:tcW w:w="26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- 4</w:t>
            </w:r>
          </w:p>
        </w:tc>
        <w:tc>
          <w:tcPr>
            <w:tcW w:w="4980" w:type="dxa"/>
            <w:vAlign w:val="bottom"/>
            <w:tcBorders>
              <w:top w:val="single" w:sz="8" w:color="CCEEFF"/>
            </w:tcBorders>
          </w:tcPr>
          <w:p>
            <w:pPr>
              <w:jc w:val="right"/>
              <w:ind w:right="47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49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9160" w:type="dxa"/>
            <w:vAlign w:val="bottom"/>
            <w:gridSpan w:val="6"/>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Item 5</w:t>
              </w:r>
            </w:hyperlink>
          </w:p>
        </w:tc>
        <w:tc>
          <w:tcPr>
            <w:tcW w:w="8240" w:type="dxa"/>
            <w:vAlign w:val="bottom"/>
            <w:tcBorders>
              <w:bottom w:val="single" w:sz="8" w:color="0000EE"/>
            </w:tcBorders>
            <w:gridSpan w:val="4"/>
            <w:shd w:val="clear" w:color="auto" w:fill="CCEEFF"/>
          </w:tcPr>
          <w:p>
            <w:pPr>
              <w:ind w:left="20"/>
              <w:spacing w:after="0" w:line="17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 Market for Registrant’s Common Equity, Related Stockholder Matters and Issuer Purchases of Equity Securities</w:t>
              </w:r>
            </w:hyperlink>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480" w:type="dxa"/>
            <w:vAlign w:val="bottom"/>
          </w:tcPr>
          <w:p>
            <w:pPr>
              <w:spacing w:after="0" w:line="17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 6</w:t>
              </w:r>
            </w:hyperlink>
          </w:p>
        </w:tc>
        <w:tc>
          <w:tcPr>
            <w:tcW w:w="8680" w:type="dxa"/>
            <w:vAlign w:val="bottom"/>
            <w:gridSpan w:val="5"/>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 Selected Financial Data</w:t>
              </w:r>
            </w:hyperlink>
          </w:p>
        </w:tc>
        <w:tc>
          <w:tcPr>
            <w:tcW w:w="8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line="17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Item 7</w:t>
              </w:r>
            </w:hyperlink>
          </w:p>
        </w:tc>
        <w:tc>
          <w:tcPr>
            <w:tcW w:w="868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 Management’s Discussions and Analysis of Financial Condition and Results of Operations</w:t>
              </w:r>
            </w:hyperlink>
          </w:p>
        </w:tc>
        <w:tc>
          <w:tcPr>
            <w:tcW w:w="8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r>
      <w:tr>
        <w:trPr>
          <w:trHeight w:val="432"/>
        </w:trPr>
        <w:tc>
          <w:tcPr>
            <w:tcW w:w="120" w:type="dxa"/>
            <w:vAlign w:val="bottom"/>
            <w:tcBorders>
              <w:top w:val="single" w:sz="8" w:color="CCEEFF"/>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680" w:type="dxa"/>
            <w:vAlign w:val="bottom"/>
            <w:tcBorders>
              <w:top w:val="single" w:sz="8" w:color="0000EE"/>
            </w:tcBorders>
            <w:gridSpan w:val="3"/>
          </w:tcPr>
          <w:p>
            <w:pPr>
              <w:jc w:val="right"/>
              <w:ind w:right="2040"/>
              <w:spacing w:after="0"/>
              <w:rPr>
                <w:sz w:val="20"/>
                <w:szCs w:val="20"/>
                <w:color w:val="auto"/>
              </w:rPr>
            </w:pPr>
            <w:r>
              <w:rPr>
                <w:rFonts w:ascii="Arial" w:cs="Arial" w:eastAsia="Arial" w:hAnsi="Arial"/>
                <w:sz w:val="18"/>
                <w:szCs w:val="18"/>
                <w:color w:val="auto"/>
              </w:rPr>
              <w:t>- 5 -</w:t>
            </w:r>
          </w:p>
        </w:tc>
        <w:tc>
          <w:tcPr>
            <w:tcW w:w="15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482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8240" w:type="dxa"/>
            <w:vAlign w:val="bottom"/>
            <w:gridSpan w:val="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7A – Quantitative and Qualitative Disclosure about Market Risk</w:t>
              </w:r>
            </w:hyperlink>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39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8240" w:type="dxa"/>
            <w:vAlign w:val="bottom"/>
            <w:gridSpan w:val="5"/>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8 – Financial Statements and Supplementary Data</w:t>
              </w:r>
            </w:hyperlink>
          </w:p>
        </w:tc>
        <w:tc>
          <w:tcPr>
            <w:tcW w:w="176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8240" w:type="dxa"/>
            <w:vAlign w:val="bottom"/>
            <w:gridSpan w:val="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Management’s Report on Internal Control over Financial Reporting</w:t>
              </w:r>
            </w:hyperlink>
          </w:p>
        </w:tc>
        <w:tc>
          <w:tcPr>
            <w:tcW w:w="176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39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68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Report of Independent Registered Public Accounting Firm (Consolidated Financial Statements)</w:t>
              </w:r>
            </w:hyperlink>
          </w:p>
        </w:tc>
        <w:tc>
          <w:tcPr>
            <w:tcW w:w="13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r>
      <w:tr>
        <w:trPr>
          <w:trHeight w:val="432"/>
        </w:trPr>
        <w:tc>
          <w:tcPr>
            <w:tcW w:w="7000" w:type="dxa"/>
            <w:vAlign w:val="bottom"/>
            <w:gridSpan w:val="5"/>
          </w:tcPr>
          <w:p>
            <w:pPr>
              <w:jc w:val="right"/>
              <w:ind w:right="1760"/>
              <w:spacing w:after="0"/>
              <w:rPr>
                <w:sz w:val="20"/>
                <w:szCs w:val="20"/>
                <w:color w:val="auto"/>
              </w:rPr>
            </w:pPr>
            <w:r>
              <w:rPr>
                <w:rFonts w:ascii="Arial" w:cs="Arial" w:eastAsia="Arial" w:hAnsi="Arial"/>
                <w:sz w:val="18"/>
                <w:szCs w:val="18"/>
                <w:color w:val="auto"/>
              </w:rPr>
              <w:t>- 6 -</w:t>
            </w: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9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8500" w:type="dxa"/>
            <w:vAlign w:val="bottom"/>
            <w:gridSpan w:val="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Report of Independent Registered Public Accounting Firm (Internal Control over Financial Reporting)</w:t>
              </w:r>
            </w:hyperlink>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46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8500" w:type="dxa"/>
            <w:vAlign w:val="bottom"/>
            <w:gridSpan w:val="5"/>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Balance Sheets as of December 31, 2018 and 2017</w:t>
              </w:r>
            </w:hyperlink>
          </w:p>
        </w:tc>
        <w:tc>
          <w:tcPr>
            <w:tcW w:w="150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8500" w:type="dxa"/>
            <w:vAlign w:val="bottom"/>
            <w:gridSpan w:val="5"/>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Statements of Income for the Three Years Ended December 31, 2018</w:t>
              </w:r>
            </w:hyperlink>
          </w:p>
        </w:tc>
        <w:tc>
          <w:tcPr>
            <w:tcW w:w="150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6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8500" w:type="dxa"/>
            <w:vAlign w:val="bottom"/>
            <w:gridSpan w:val="5"/>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Comprehensive Income for the Three Years Ended December 31, 2018</w:t>
              </w:r>
            </w:hyperlink>
          </w:p>
        </w:tc>
        <w:tc>
          <w:tcPr>
            <w:tcW w:w="150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r>
      <w:tr>
        <w:trPr>
          <w:trHeight w:val="432"/>
        </w:trPr>
        <w:tc>
          <w:tcPr>
            <w:tcW w:w="120" w:type="dxa"/>
            <w:vAlign w:val="bottom"/>
            <w:tcBorders>
              <w:top w:val="single" w:sz="8" w:color="CCEEFF"/>
            </w:tcBorders>
          </w:tcPr>
          <w:p>
            <w:pPr>
              <w:spacing w:after="0"/>
              <w:rPr>
                <w:sz w:val="24"/>
                <w:szCs w:val="24"/>
                <w:color w:val="auto"/>
              </w:rPr>
            </w:pPr>
          </w:p>
        </w:tc>
        <w:tc>
          <w:tcPr>
            <w:tcW w:w="5960" w:type="dxa"/>
            <w:vAlign w:val="bottom"/>
            <w:tcBorders>
              <w:top w:val="single" w:sz="8" w:color="0000EE"/>
            </w:tcBorders>
            <w:gridSpan w:val="2"/>
          </w:tcPr>
          <w:p>
            <w:pPr>
              <w:ind w:left="4740"/>
              <w:spacing w:after="0"/>
              <w:rPr>
                <w:sz w:val="20"/>
                <w:szCs w:val="20"/>
                <w:color w:val="auto"/>
              </w:rPr>
            </w:pPr>
            <w:r>
              <w:rPr>
                <w:rFonts w:ascii="Arial" w:cs="Arial" w:eastAsia="Arial" w:hAnsi="Arial"/>
                <w:sz w:val="18"/>
                <w:szCs w:val="18"/>
                <w:color w:val="auto"/>
              </w:rPr>
              <w:t>- 7 -</w:t>
            </w:r>
          </w:p>
        </w:tc>
        <w:tc>
          <w:tcPr>
            <w:tcW w:w="116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6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69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Stockholders’ Equity for the Three Years Ended December 31, 2018</w:t>
              </w:r>
            </w:hyperlink>
          </w:p>
        </w:tc>
        <w:tc>
          <w:tcPr>
            <w:tcW w:w="3060" w:type="dxa"/>
            <w:vAlign w:val="bottom"/>
          </w:tcPr>
          <w:p>
            <w:pPr>
              <w:jc w:val="center"/>
              <w:ind w:left="2390"/>
              <w:spacing w:after="0"/>
              <w:rPr>
                <w:sz w:val="20"/>
                <w:szCs w:val="20"/>
                <w:color w:val="auto"/>
              </w:rPr>
            </w:pPr>
            <w:r>
              <w:rPr>
                <w:rFonts w:ascii="Arial" w:cs="Arial" w:eastAsia="Arial" w:hAnsi="Arial"/>
                <w:sz w:val="18"/>
                <w:szCs w:val="18"/>
                <w:color w:val="auto"/>
                <w:w w:val="89"/>
              </w:rPr>
              <w:t>88</w:t>
            </w:r>
          </w:p>
        </w:tc>
        <w:tc>
          <w:tcPr>
            <w:tcW w:w="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Consolidated Statements of Cash Flows for the Three Years Ended December 31, 2018</w:t>
              </w:r>
            </w:hyperlink>
          </w:p>
        </w:tc>
        <w:tc>
          <w:tcPr>
            <w:tcW w:w="68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CCEEFF"/>
            </w:tcBorders>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9"/>
              </w:rPr>
              <w:t>89</w:t>
            </w: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6940" w:type="dxa"/>
            <w:vAlign w:val="bottom"/>
            <w:gridSpan w:val="4"/>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w:t>
              </w:r>
            </w:hyperlink>
          </w:p>
        </w:tc>
        <w:tc>
          <w:tcPr>
            <w:tcW w:w="3060" w:type="dxa"/>
            <w:vAlign w:val="bottom"/>
          </w:tcPr>
          <w:p>
            <w:pPr>
              <w:jc w:val="center"/>
              <w:ind w:left="2390"/>
              <w:spacing w:after="0" w:line="176" w:lineRule="exact"/>
              <w:rPr>
                <w:sz w:val="20"/>
                <w:szCs w:val="20"/>
                <w:color w:val="auto"/>
              </w:rPr>
            </w:pPr>
            <w:r>
              <w:rPr>
                <w:rFonts w:ascii="Arial" w:cs="Arial" w:eastAsia="Arial" w:hAnsi="Arial"/>
                <w:sz w:val="18"/>
                <w:szCs w:val="18"/>
                <w:color w:val="auto"/>
                <w:w w:val="89"/>
              </w:rPr>
              <w:t>90</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6940" w:type="dxa"/>
            <w:vAlign w:val="bottom"/>
            <w:gridSpan w:val="4"/>
            <w:shd w:val="clear" w:color="auto" w:fill="CCEEFF"/>
          </w:tcPr>
          <w:p>
            <w:pPr>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Schedule II – Valuation and Qualifying Accounts</w:t>
              </w:r>
            </w:hyperlink>
          </w:p>
        </w:tc>
        <w:tc>
          <w:tcPr>
            <w:tcW w:w="3060" w:type="dxa"/>
            <w:vAlign w:val="bottom"/>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6"/>
              </w:rPr>
              <w:t>127</w:t>
            </w:r>
          </w:p>
        </w:tc>
        <w:tc>
          <w:tcPr>
            <w:tcW w:w="20" w:type="dxa"/>
            <w:vAlign w:val="bottom"/>
          </w:tcPr>
          <w:p>
            <w:pPr>
              <w:spacing w:after="0"/>
              <w:rPr>
                <w:sz w:val="17"/>
                <w:szCs w:val="17"/>
                <w:color w:val="auto"/>
              </w:rPr>
            </w:pPr>
          </w:p>
        </w:tc>
      </w:tr>
      <w:tr>
        <w:trPr>
          <w:trHeight w:val="432"/>
        </w:trPr>
        <w:tc>
          <w:tcPr>
            <w:tcW w:w="120" w:type="dxa"/>
            <w:vAlign w:val="bottom"/>
            <w:tcBorders>
              <w:top w:val="single" w:sz="8" w:color="CCEEFF"/>
            </w:tcBorders>
          </w:tcPr>
          <w:p>
            <w:pPr>
              <w:spacing w:after="0"/>
              <w:rPr>
                <w:sz w:val="24"/>
                <w:szCs w:val="24"/>
                <w:color w:val="auto"/>
              </w:rPr>
            </w:pPr>
          </w:p>
        </w:tc>
        <w:tc>
          <w:tcPr>
            <w:tcW w:w="3540" w:type="dxa"/>
            <w:vAlign w:val="bottom"/>
            <w:tcBorders>
              <w:top w:val="single" w:sz="8" w:color="0000EE"/>
            </w:tcBorders>
            <w:gridSpan w:val="2"/>
          </w:tcPr>
          <w:p>
            <w:pPr>
              <w:spacing w:after="0"/>
              <w:rPr>
                <w:sz w:val="24"/>
                <w:szCs w:val="24"/>
                <w:color w:val="auto"/>
              </w:rPr>
            </w:pPr>
          </w:p>
        </w:tc>
        <w:tc>
          <w:tcPr>
            <w:tcW w:w="2720" w:type="dxa"/>
            <w:vAlign w:val="bottom"/>
            <w:tcBorders>
              <w:top w:val="single" w:sz="8" w:color="CCEEFF"/>
            </w:tcBorders>
          </w:tcPr>
          <w:p>
            <w:pPr>
              <w:jc w:val="right"/>
              <w:ind w:right="1050"/>
              <w:spacing w:after="0"/>
              <w:rPr>
                <w:sz w:val="20"/>
                <w:szCs w:val="20"/>
                <w:color w:val="auto"/>
              </w:rPr>
            </w:pPr>
            <w:r>
              <w:rPr>
                <w:rFonts w:ascii="Arial" w:cs="Arial" w:eastAsia="Arial" w:hAnsi="Arial"/>
                <w:sz w:val="18"/>
                <w:szCs w:val="18"/>
                <w:color w:val="auto"/>
              </w:rPr>
              <w:t>- 8 -</w:t>
            </w:r>
          </w:p>
        </w:tc>
        <w:tc>
          <w:tcPr>
            <w:tcW w:w="68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7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8300" w:type="dxa"/>
            <w:vAlign w:val="bottom"/>
            <w:gridSpan w:val="5"/>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Item 9 – Change in and Disagreements with Accountants on Accounting and Financial Disclosure</w:t>
              </w:r>
            </w:hyperlink>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450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Item 9A – Controls and Procedures</w:t>
              </w:r>
            </w:hyperlink>
          </w:p>
        </w:tc>
        <w:tc>
          <w:tcPr>
            <w:tcW w:w="576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8300" w:type="dxa"/>
            <w:vAlign w:val="bottom"/>
            <w:gridSpan w:val="5"/>
          </w:tcPr>
          <w:p>
            <w:pPr>
              <w:spacing w:after="0" w:line="176" w:lineRule="exact"/>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PART III</w:t>
              </w:r>
            </w:hyperlink>
          </w:p>
        </w:tc>
        <w:tc>
          <w:tcPr>
            <w:tcW w:w="1700" w:type="dxa"/>
            <w:vAlign w:val="bottom"/>
          </w:tcPr>
          <w:p>
            <w:pPr>
              <w:jc w:val="right"/>
              <w:ind w:right="70"/>
              <w:spacing w:after="0" w:line="176" w:lineRule="exact"/>
              <w:rPr>
                <w:sz w:val="20"/>
                <w:szCs w:val="20"/>
                <w:color w:val="auto"/>
              </w:rPr>
            </w:pPr>
            <w:r>
              <w:rPr>
                <w:rFonts w:ascii="Arial" w:cs="Arial" w:eastAsia="Arial" w:hAnsi="Arial"/>
                <w:sz w:val="18"/>
                <w:szCs w:val="18"/>
                <w:color w:val="auto"/>
              </w:rPr>
              <w:t>129</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830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PART IV</w:t>
              </w:r>
            </w:hyperlink>
          </w:p>
        </w:tc>
        <w:tc>
          <w:tcPr>
            <w:tcW w:w="170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7"/>
                <w:szCs w:val="17"/>
                <w:color w:val="auto"/>
              </w:rPr>
            </w:pPr>
          </w:p>
        </w:tc>
      </w:tr>
      <w:tr>
        <w:trPr>
          <w:trHeight w:val="432"/>
        </w:trPr>
        <w:tc>
          <w:tcPr>
            <w:tcW w:w="120" w:type="dxa"/>
            <w:vAlign w:val="bottom"/>
            <w:tcBorders>
              <w:top w:val="single" w:sz="8" w:color="CCEEFF"/>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340" w:type="dxa"/>
            <w:vAlign w:val="bottom"/>
            <w:tcBorders>
              <w:top w:val="single" w:sz="8" w:color="CCEEFF"/>
            </w:tcBorders>
            <w:gridSpan w:val="3"/>
          </w:tcPr>
          <w:p>
            <w:pPr>
              <w:jc w:val="right"/>
              <w:ind w:right="1920"/>
              <w:spacing w:after="0"/>
              <w:rPr>
                <w:sz w:val="20"/>
                <w:szCs w:val="20"/>
                <w:color w:val="auto"/>
              </w:rPr>
            </w:pPr>
            <w:r>
              <w:rPr>
                <w:rFonts w:ascii="Arial" w:cs="Arial" w:eastAsia="Arial" w:hAnsi="Arial"/>
                <w:sz w:val="18"/>
                <w:szCs w:val="18"/>
                <w:color w:val="auto"/>
              </w:rPr>
              <w:t>- 9 -</w:t>
            </w:r>
          </w:p>
        </w:tc>
        <w:tc>
          <w:tcPr>
            <w:tcW w:w="126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45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4800" w:type="dxa"/>
            <w:vAlign w:val="bottom"/>
            <w:gridSpan w:val="3"/>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Item 15 – Exhibits, Financial Statement Schedules</w:t>
              </w:r>
            </w:hyperlink>
          </w:p>
        </w:tc>
        <w:tc>
          <w:tcPr>
            <w:tcW w:w="5200" w:type="dxa"/>
            <w:vAlign w:val="bottom"/>
          </w:tcPr>
          <w:p>
            <w:pPr>
              <w:jc w:val="right"/>
              <w:ind w:right="7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6"/>
              </w:rPr>
            </w:pPr>
            <w:hyperlink w:anchor="page142">
              <w:r>
                <w:rPr>
                  <w:rFonts w:ascii="Arial" w:cs="Arial" w:eastAsia="Arial" w:hAnsi="Arial"/>
                  <w:sz w:val="18"/>
                  <w:szCs w:val="18"/>
                  <w:b w:val="1"/>
                  <w:bCs w:val="1"/>
                  <w:color w:val="0000EE"/>
                  <w:w w:val="96"/>
                </w:rPr>
                <w:t>SIGNATURES</w:t>
              </w:r>
            </w:hyperlink>
          </w:p>
        </w:tc>
        <w:tc>
          <w:tcPr>
            <w:tcW w:w="3640" w:type="dxa"/>
            <w:vAlign w:val="bottom"/>
            <w:tcBorders>
              <w:bottom w:val="single" w:sz="8" w:color="CCEEFF"/>
            </w:tcBorders>
            <w:gridSpan w:val="2"/>
            <w:shd w:val="clear" w:color="auto" w:fill="CCEEFF"/>
          </w:tcPr>
          <w:p>
            <w:pPr>
              <w:spacing w:after="0"/>
              <w:rPr>
                <w:sz w:val="17"/>
                <w:szCs w:val="17"/>
                <w:color w:val="auto"/>
              </w:rPr>
            </w:pPr>
          </w:p>
        </w:tc>
        <w:tc>
          <w:tcPr>
            <w:tcW w:w="520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138</w:t>
            </w:r>
          </w:p>
        </w:tc>
        <w:tc>
          <w:tcPr>
            <w:tcW w:w="20" w:type="dxa"/>
            <w:vAlign w:val="bottom"/>
          </w:tcPr>
          <w:p>
            <w:pPr>
              <w:spacing w:after="0"/>
              <w:rPr>
                <w:sz w:val="17"/>
                <w:szCs w:val="17"/>
                <w:color w:val="auto"/>
              </w:rPr>
            </w:pPr>
          </w:p>
        </w:tc>
      </w:tr>
      <w:tr>
        <w:trPr>
          <w:trHeight w:val="648"/>
        </w:trPr>
        <w:tc>
          <w:tcPr>
            <w:tcW w:w="49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5200" w:type="dxa"/>
            <w:vAlign w:val="bottom"/>
          </w:tcPr>
          <w:p>
            <w:pPr>
              <w:jc w:val="right"/>
              <w:ind w:right="4730"/>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5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10" w:name="page11"/>
    <w:bookmarkEnd w:id="10"/>
    <w:p>
      <w:pPr>
        <w:ind w:left="260" w:right="420"/>
        <w:spacing w:after="0" w:line="247"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568960</wp:posOffset>
            </wp:positionH>
            <wp:positionV relativeFrom="page">
              <wp:posOffset>226060</wp:posOffset>
            </wp:positionV>
            <wp:extent cx="6423025"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3025" cy="514350"/>
                    </a:xfrm>
                    <a:prstGeom prst="rect">
                      <a:avLst/>
                    </a:prstGeom>
                    <a:noFill/>
                  </pic:spPr>
                </pic:pic>
              </a:graphicData>
            </a:graphic>
          </wp:anchor>
        </w:drawing>
        <w:t>The information in this Annual Report on Form 10-K for the year ended December 31, 2018 ("2018 Form 10-K" or “2018 Annual Report”)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"Item 1 – Our Business," "Item 1A – Risk Factors," and "Item 7 – Management's Discussions and Analysis of Financial Condition and Results of Operations" as well as those discussed elsewhere in this 2018 Form 10-K.</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PART I</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 –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Reading International, Inc. (“RDI” and collectively with our consolidated subsidiaries and corporate predecessors, the “Company,” “Reading”, “we,” “us,” or “our”) was incorporated in 1999 incident to our reincorporation in the State of Nevada. Our class A non-voting common stock (“Class A Stock”) and class B voting common stock (“Class B Stock”) are listed for trading on the NASDAQ Capital Market (Nasdaq-CM) under the symbols RDI and RDIB, respectively. Our Corporate Headquarters is located in the Silicon Beach area of Los Angeles County, at 5995 Sepulveda Blvd, Suite 300, Culver City, California, United States 90230.</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corporate website address is </w:t>
      </w:r>
      <w:r>
        <w:rPr>
          <w:rFonts w:ascii="Arial" w:cs="Arial" w:eastAsia="Arial" w:hAnsi="Arial"/>
          <w:sz w:val="18"/>
          <w:szCs w:val="18"/>
          <w:b w:val="1"/>
          <w:bCs w:val="1"/>
          <w:u w:val="single" w:color="auto"/>
          <w:color w:val="auto"/>
        </w:rPr>
        <w:t>www.ReadingRDI.com</w:t>
      </w:r>
      <w:r>
        <w:rPr>
          <w:rFonts w:ascii="Arial" w:cs="Arial" w:eastAsia="Arial" w:hAnsi="Arial"/>
          <w:sz w:val="18"/>
          <w:szCs w:val="18"/>
          <w:color w:val="auto"/>
        </w:rPr>
        <w:t>. We provide,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w:t>
      </w:r>
      <w:r>
        <w:rPr>
          <w:rFonts w:ascii="Arial" w:cs="Arial" w:eastAsia="Arial" w:hAnsi="Arial"/>
          <w:sz w:val="18"/>
          <w:szCs w:val="18"/>
          <w:u w:val="single" w:color="auto"/>
          <w:color w:val="auto"/>
        </w:rPr>
        <w:t>www.sec.gov</w:t>
      </w:r>
      <w:r>
        <w:rPr>
          <w:rFonts w:ascii="Arial" w:cs="Arial" w:eastAsia="Arial" w:hAnsi="Arial"/>
          <w:sz w:val="18"/>
          <w:szCs w:val="18"/>
          <w:color w:val="auto"/>
        </w:rPr>
        <w:t>). The contents of our Company website are not incorporated into this report. Our corporate governance charters for our Audit and Conflicts Committee and Compensation and Stock Options Committee are available on our website.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Synergistic Diversification and Branding</w:t>
      </w:r>
    </w:p>
    <w:p>
      <w:pPr>
        <w:spacing w:after="0" w:line="225" w:lineRule="exact"/>
        <w:rPr>
          <w:sz w:val="20"/>
          <w:szCs w:val="20"/>
          <w:color w:val="auto"/>
        </w:rPr>
      </w:pPr>
    </w:p>
    <w:p>
      <w:pPr>
        <w:jc w:val="both"/>
        <w:ind w:right="440"/>
        <w:spacing w:after="0" w:line="340" w:lineRule="auto"/>
        <w:rPr>
          <w:sz w:val="20"/>
          <w:szCs w:val="20"/>
          <w:color w:val="auto"/>
        </w:rPr>
      </w:pPr>
      <w:r>
        <w:rPr>
          <w:rFonts w:ascii="Arial" w:cs="Arial" w:eastAsia="Arial" w:hAnsi="Arial"/>
          <w:sz w:val="16"/>
          <w:szCs w:val="16"/>
          <w:color w:val="auto"/>
        </w:rPr>
        <w:t>We are a diversified company focused on the development, ownership and operation of entertainment and real property assets in three jurisdictions: (i) United States (“U.S.”), (ii) Australia, and (iii) New Zealand. We group our businesses in two (2) operating segments:</w:t>
      </w:r>
    </w:p>
    <w:p>
      <w:pPr>
        <w:ind w:left="640" w:hanging="320"/>
        <w:spacing w:after="0" w:line="182" w:lineRule="auto"/>
        <w:tabs>
          <w:tab w:leader="none" w:pos="640" w:val="left"/>
        </w:tabs>
        <w:numPr>
          <w:ilvl w:val="0"/>
          <w:numId w:val="2"/>
        </w:numPr>
        <w:rPr>
          <w:rFonts w:ascii="Arial" w:cs="Arial" w:eastAsia="Arial" w:hAnsi="Arial"/>
          <w:sz w:val="27"/>
          <w:szCs w:val="27"/>
          <w:color w:val="auto"/>
          <w:vertAlign w:val="superscript"/>
        </w:rPr>
      </w:pPr>
      <w:r>
        <w:rPr>
          <w:rFonts w:ascii="Arial" w:cs="Arial" w:eastAsia="Arial" w:hAnsi="Arial"/>
          <w:sz w:val="17"/>
          <w:szCs w:val="17"/>
          <w:b w:val="1"/>
          <w:bCs w:val="1"/>
          <w:i w:val="1"/>
          <w:iCs w:val="1"/>
          <w:color w:val="auto"/>
        </w:rPr>
        <w:t xml:space="preserve">Theatrical Motion Picture Exhibition </w:t>
      </w:r>
      <w:r>
        <w:rPr>
          <w:rFonts w:ascii="Arial" w:cs="Arial" w:eastAsia="Arial" w:hAnsi="Arial"/>
          <w:sz w:val="17"/>
          <w:szCs w:val="17"/>
          <w:color w:val="auto"/>
        </w:rPr>
        <w:t>(“Cinema Exhibition”), through our 59 cinemas as of December 31, 2018, and,</w:t>
      </w:r>
    </w:p>
    <w:p>
      <w:pPr>
        <w:spacing w:after="0" w:line="96" w:lineRule="exact"/>
        <w:rPr>
          <w:rFonts w:ascii="Arial" w:cs="Arial" w:eastAsia="Arial" w:hAnsi="Arial"/>
          <w:sz w:val="27"/>
          <w:szCs w:val="27"/>
          <w:color w:val="auto"/>
          <w:vertAlign w:val="superscript"/>
        </w:rPr>
      </w:pPr>
    </w:p>
    <w:p>
      <w:pPr>
        <w:ind w:left="640" w:right="160" w:hanging="320"/>
        <w:spacing w:after="0" w:line="191" w:lineRule="auto"/>
        <w:tabs>
          <w:tab w:leader="none" w:pos="64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b w:val="1"/>
          <w:bCs w:val="1"/>
          <w:i w:val="1"/>
          <w:iCs w:val="1"/>
          <w:color w:val="auto"/>
        </w:rPr>
        <w:t>Real Estate</w:t>
      </w:r>
      <w:r>
        <w:rPr>
          <w:rFonts w:ascii="Arial" w:cs="Arial" w:eastAsia="Arial" w:hAnsi="Arial"/>
          <w:sz w:val="18"/>
          <w:szCs w:val="18"/>
          <w:color w:val="auto"/>
        </w:rPr>
        <w:t>, including real estate development and the rental or licensing of retail, commercial and live theater assets comprising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22,101,800 square feet of land and approximately 879,000 square feet of net rentable area.</w:t>
      </w:r>
    </w:p>
    <w:p>
      <w:pPr>
        <w:spacing w:after="0" w:line="200" w:lineRule="exact"/>
        <w:rPr>
          <w:rFonts w:ascii="Arial" w:cs="Arial" w:eastAsia="Arial" w:hAnsi="Arial"/>
          <w:sz w:val="29"/>
          <w:szCs w:val="29"/>
          <w:color w:val="auto"/>
          <w:vertAlign w:val="superscript"/>
        </w:rPr>
      </w:pPr>
    </w:p>
    <w:p>
      <w:pPr>
        <w:spacing w:after="0" w:line="218" w:lineRule="exact"/>
        <w:rPr>
          <w:rFonts w:ascii="Arial" w:cs="Arial" w:eastAsia="Arial" w:hAnsi="Arial"/>
          <w:sz w:val="29"/>
          <w:szCs w:val="29"/>
          <w:color w:val="auto"/>
          <w:vertAlign w:val="superscript"/>
        </w:rPr>
      </w:pPr>
    </w:p>
    <w:p>
      <w:pPr>
        <w:ind w:left="4960" w:hanging="143"/>
        <w:spacing w:after="0"/>
        <w:tabs>
          <w:tab w:leader="none" w:pos="4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476" w:right="8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Set forth below is a brief description of the various brands under which we organize our business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Business</w:t>
            </w:r>
          </w:p>
        </w:tc>
        <w:tc>
          <w:tcPr>
            <w:tcW w:w="2460" w:type="dxa"/>
            <w:vAlign w:val="bottom"/>
            <w:tcBorders>
              <w:top w:val="single" w:sz="8" w:color="auto"/>
            </w:tcBorders>
            <w:vMerge w:val="restart"/>
          </w:tcPr>
          <w:p>
            <w:pPr>
              <w:ind w:left="580"/>
              <w:spacing w:after="0"/>
              <w:rPr>
                <w:sz w:val="20"/>
                <w:szCs w:val="20"/>
                <w:color w:val="auto"/>
              </w:rPr>
            </w:pPr>
            <w:r>
              <w:rPr>
                <w:rFonts w:ascii="Arial" w:cs="Arial" w:eastAsia="Arial" w:hAnsi="Arial"/>
                <w:sz w:val="14"/>
                <w:szCs w:val="14"/>
                <w:b w:val="1"/>
                <w:bCs w:val="1"/>
                <w:color w:val="auto"/>
              </w:rPr>
              <w:t>Our Commercial Brands</w:t>
            </w:r>
          </w:p>
        </w:tc>
        <w:tc>
          <w:tcPr>
            <w:tcW w:w="1300" w:type="dxa"/>
            <w:vAlign w:val="bottom"/>
            <w:tcBorders>
              <w:top w:val="single" w:sz="8" w:color="auto"/>
            </w:tcBorders>
            <w:vMerge w:val="restart"/>
          </w:tcPr>
          <w:p>
            <w:pPr>
              <w:jc w:val="center"/>
              <w:ind w:left="189"/>
              <w:spacing w:after="0"/>
              <w:rPr>
                <w:sz w:val="20"/>
                <w:szCs w:val="20"/>
                <w:color w:val="auto"/>
              </w:rPr>
            </w:pPr>
            <w:r>
              <w:rPr>
                <w:rFonts w:ascii="Arial" w:cs="Arial" w:eastAsia="Arial" w:hAnsi="Arial"/>
                <w:sz w:val="14"/>
                <w:szCs w:val="14"/>
                <w:b w:val="1"/>
                <w:bCs w:val="1"/>
                <w:color w:val="auto"/>
                <w:w w:val="96"/>
              </w:rPr>
              <w:t>Country</w:t>
            </w:r>
          </w:p>
        </w:tc>
        <w:tc>
          <w:tcPr>
            <w:tcW w:w="3620" w:type="dxa"/>
            <w:vAlign w:val="bottom"/>
            <w:tcBorders>
              <w:top w:val="single" w:sz="8" w:color="auto"/>
            </w:tcBorders>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Website Link</w:t>
            </w:r>
          </w:p>
        </w:tc>
        <w:tc>
          <w:tcPr>
            <w:tcW w:w="0" w:type="dxa"/>
            <w:vAlign w:val="bottom"/>
          </w:tcPr>
          <w:p>
            <w:pPr>
              <w:spacing w:after="0"/>
              <w:rPr>
                <w:sz w:val="1"/>
                <w:szCs w:val="1"/>
                <w:color w:val="auto"/>
              </w:rPr>
            </w:pPr>
          </w:p>
        </w:tc>
      </w:tr>
      <w:tr>
        <w:trPr>
          <w:trHeight w:val="105"/>
        </w:trPr>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Segment / Unit</w:t>
            </w:r>
          </w:p>
        </w:tc>
        <w:tc>
          <w:tcPr>
            <w:tcW w:w="24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3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vMerge w:val="continue"/>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Cinema</w:t>
            </w:r>
          </w:p>
        </w:tc>
        <w:tc>
          <w:tcPr>
            <w:tcW w:w="2460" w:type="dxa"/>
            <w:vAlign w:val="bottom"/>
          </w:tcPr>
          <w:p>
            <w:pPr>
              <w:spacing w:after="0"/>
              <w:rPr>
                <w:sz w:val="10"/>
                <w:szCs w:val="10"/>
                <w:color w:val="auto"/>
              </w:rPr>
            </w:pPr>
          </w:p>
        </w:tc>
        <w:tc>
          <w:tcPr>
            <w:tcW w:w="1300" w:type="dxa"/>
            <w:vAlign w:val="bottom"/>
          </w:tcPr>
          <w:p>
            <w:pPr>
              <w:jc w:val="center"/>
              <w:ind w:left="189"/>
              <w:spacing w:after="0" w:line="119" w:lineRule="exact"/>
              <w:rPr>
                <w:sz w:val="20"/>
                <w:szCs w:val="20"/>
                <w:color w:val="auto"/>
              </w:rPr>
            </w:pPr>
            <w:r>
              <w:rPr>
                <w:rFonts w:ascii="Arial" w:cs="Arial" w:eastAsia="Arial" w:hAnsi="Arial"/>
                <w:sz w:val="13"/>
                <w:szCs w:val="13"/>
                <w:color w:val="auto"/>
                <w:w w:val="97"/>
              </w:rPr>
              <w:t>United States,</w:t>
            </w:r>
          </w:p>
        </w:tc>
        <w:tc>
          <w:tcPr>
            <w:tcW w:w="3620" w:type="dxa"/>
            <w:vAlign w:val="bottom"/>
          </w:tcPr>
          <w:p>
            <w:pPr>
              <w:ind w:left="100"/>
              <w:spacing w:after="0" w:line="119" w:lineRule="exact"/>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auto"/>
              </w:rPr>
              <w:t>Reading Cinemas</w:t>
            </w:r>
            <w:r>
              <w:rPr>
                <w:rFonts w:ascii="Arial" w:cs="Arial" w:eastAsia="Arial" w:hAnsi="Arial"/>
                <w:sz w:val="13"/>
                <w:szCs w:val="13"/>
                <w:color w:val="auto"/>
              </w:rPr>
              <w:t xml:space="preserve"> tradename is derived from our over</w:t>
            </w:r>
          </w:p>
        </w:tc>
        <w:tc>
          <w:tcPr>
            <w:tcW w:w="1640" w:type="dxa"/>
            <w:vAlign w:val="bottom"/>
          </w:tcPr>
          <w:p>
            <w:pPr>
              <w:ind w:left="60"/>
              <w:spacing w:after="0" w:line="119" w:lineRule="exact"/>
              <w:rPr>
                <w:sz w:val="20"/>
                <w:szCs w:val="20"/>
                <w:color w:val="auto"/>
              </w:rPr>
            </w:pPr>
            <w:r>
              <w:rPr>
                <w:rFonts w:ascii="Arial" w:cs="Arial" w:eastAsia="Arial" w:hAnsi="Arial"/>
                <w:sz w:val="13"/>
                <w:szCs w:val="13"/>
                <w:color w:val="auto"/>
              </w:rPr>
              <w:t>Reading Cinemas US</w:t>
            </w:r>
          </w:p>
        </w:tc>
        <w:tc>
          <w:tcPr>
            <w:tcW w:w="0" w:type="dxa"/>
            <w:vAlign w:val="bottom"/>
          </w:tcPr>
          <w:p>
            <w:pPr>
              <w:spacing w:after="0"/>
              <w:rPr>
                <w:sz w:val="1"/>
                <w:szCs w:val="1"/>
                <w:color w:val="auto"/>
              </w:rPr>
            </w:pPr>
          </w:p>
        </w:tc>
      </w:tr>
      <w:tr>
        <w:trPr>
          <w:trHeight w:val="153"/>
        </w:trPr>
        <w:tc>
          <w:tcPr>
            <w:tcW w:w="11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Exhibition</w:t>
            </w:r>
          </w:p>
        </w:tc>
        <w:tc>
          <w:tcPr>
            <w:tcW w:w="2460" w:type="dxa"/>
            <w:vAlign w:val="bottom"/>
          </w:tcPr>
          <w:p>
            <w:pPr>
              <w:spacing w:after="0"/>
              <w:rPr>
                <w:sz w:val="13"/>
                <w:szCs w:val="13"/>
                <w:color w:val="auto"/>
              </w:rPr>
            </w:pPr>
          </w:p>
        </w:tc>
        <w:tc>
          <w:tcPr>
            <w:tcW w:w="1300" w:type="dxa"/>
            <w:vAlign w:val="bottom"/>
          </w:tcPr>
          <w:p>
            <w:pPr>
              <w:jc w:val="center"/>
              <w:ind w:left="189"/>
              <w:spacing w:after="0" w:line="153" w:lineRule="exact"/>
              <w:rPr>
                <w:sz w:val="20"/>
                <w:szCs w:val="20"/>
                <w:color w:val="auto"/>
              </w:rPr>
            </w:pPr>
            <w:r>
              <w:rPr>
                <w:rFonts w:ascii="Arial" w:cs="Arial" w:eastAsia="Arial" w:hAnsi="Arial"/>
                <w:sz w:val="14"/>
                <w:szCs w:val="14"/>
                <w:color w:val="auto"/>
                <w:w w:val="97"/>
              </w:rPr>
              <w:t>Australia, New</w:t>
            </w:r>
          </w:p>
        </w:tc>
        <w:tc>
          <w:tcPr>
            <w:tcW w:w="3620" w:type="dxa"/>
            <w:vAlign w:val="bottom"/>
          </w:tcPr>
          <w:p>
            <w:pPr>
              <w:ind w:left="100"/>
              <w:spacing w:after="0" w:line="153" w:lineRule="exact"/>
              <w:rPr>
                <w:sz w:val="20"/>
                <w:szCs w:val="20"/>
                <w:color w:val="auto"/>
              </w:rPr>
            </w:pPr>
            <w:r>
              <w:rPr>
                <w:rFonts w:ascii="Arial" w:cs="Arial" w:eastAsia="Arial" w:hAnsi="Arial"/>
                <w:sz w:val="14"/>
                <w:szCs w:val="14"/>
                <w:color w:val="auto"/>
                <w:w w:val="96"/>
              </w:rPr>
              <w:t>180 year history as the “Reading Railroad” featured on the</w:t>
            </w:r>
          </w:p>
        </w:tc>
        <w:tc>
          <w:tcPr>
            <w:tcW w:w="1640" w:type="dxa"/>
            <w:vAlign w:val="bottom"/>
          </w:tcPr>
          <w:p>
            <w:pPr>
              <w:ind w:left="60"/>
              <w:spacing w:after="0" w:line="153" w:lineRule="exact"/>
              <w:rPr>
                <w:sz w:val="20"/>
                <w:szCs w:val="20"/>
                <w:color w:val="auto"/>
              </w:rPr>
            </w:pPr>
            <w:r>
              <w:rPr>
                <w:rFonts w:ascii="Arial" w:cs="Arial" w:eastAsia="Arial" w:hAnsi="Arial"/>
                <w:sz w:val="14"/>
                <w:szCs w:val="14"/>
                <w:color w:val="auto"/>
              </w:rPr>
              <w:t>Reading Cinemas AU</w:t>
            </w:r>
          </w:p>
        </w:tc>
        <w:tc>
          <w:tcPr>
            <w:tcW w:w="0" w:type="dxa"/>
            <w:vAlign w:val="bottom"/>
          </w:tcPr>
          <w:p>
            <w:pPr>
              <w:spacing w:after="0"/>
              <w:rPr>
                <w:sz w:val="1"/>
                <w:szCs w:val="1"/>
                <w:color w:val="auto"/>
              </w:rPr>
            </w:pPr>
          </w:p>
        </w:tc>
      </w:tr>
      <w:tr>
        <w:trPr>
          <w:trHeight w:val="149"/>
        </w:trPr>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  All Countries</w:t>
            </w:r>
          </w:p>
        </w:tc>
        <w:tc>
          <w:tcPr>
            <w:tcW w:w="2460" w:type="dxa"/>
            <w:vAlign w:val="bottom"/>
          </w:tcPr>
          <w:p>
            <w:pPr>
              <w:spacing w:after="0"/>
              <w:rPr>
                <w:sz w:val="12"/>
                <w:szCs w:val="12"/>
                <w:color w:val="auto"/>
              </w:rPr>
            </w:pPr>
          </w:p>
        </w:tc>
        <w:tc>
          <w:tcPr>
            <w:tcW w:w="1300" w:type="dxa"/>
            <w:vAlign w:val="bottom"/>
          </w:tcPr>
          <w:p>
            <w:pPr>
              <w:jc w:val="center"/>
              <w:ind w:left="209"/>
              <w:spacing w:after="0" w:line="149" w:lineRule="exact"/>
              <w:rPr>
                <w:sz w:val="20"/>
                <w:szCs w:val="20"/>
                <w:color w:val="auto"/>
              </w:rPr>
            </w:pPr>
            <w:r>
              <w:rPr>
                <w:rFonts w:ascii="Arial" w:cs="Arial" w:eastAsia="Arial" w:hAnsi="Arial"/>
                <w:sz w:val="14"/>
                <w:szCs w:val="14"/>
                <w:color w:val="auto"/>
                <w:w w:val="90"/>
              </w:rPr>
              <w:t>Zealand</w:t>
            </w: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rPr>
              <w:t>Monopoly game board. Under this brand, we deliver</w:t>
            </w:r>
          </w:p>
        </w:tc>
        <w:tc>
          <w:tcPr>
            <w:tcW w:w="1640" w:type="dxa"/>
            <w:vAlign w:val="bottom"/>
          </w:tcPr>
          <w:p>
            <w:pPr>
              <w:ind w:left="60"/>
              <w:spacing w:after="0" w:line="149" w:lineRule="exact"/>
              <w:rPr>
                <w:sz w:val="20"/>
                <w:szCs w:val="20"/>
                <w:color w:val="auto"/>
              </w:rPr>
            </w:pPr>
            <w:r>
              <w:rPr>
                <w:rFonts w:ascii="Arial" w:cs="Arial" w:eastAsia="Arial" w:hAnsi="Arial"/>
                <w:sz w:val="14"/>
                <w:szCs w:val="14"/>
                <w:color w:val="auto"/>
              </w:rPr>
              <w:t>Reading Cinemas NZ</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rPr>
              <w:t>beyond-the-home entertainment (principally mainstream</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rPr>
              <w:t>movies and alternative content and attendant food and</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w w:val="98"/>
              </w:rPr>
              <w:t>beverage) across our three operating jurisdictions. All our</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w w:val="96"/>
              </w:rPr>
              <w:t>cinemas are equipped with the latest state-of-the-art digital</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w w:val="98"/>
              </w:rPr>
              <w:t>equipment, and 19 Reading Cinemas feature at least one</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20" w:type="dxa"/>
            <w:vAlign w:val="bottom"/>
          </w:tcPr>
          <w:p>
            <w:pPr>
              <w:ind w:left="100"/>
              <w:spacing w:after="0"/>
              <w:rPr>
                <w:sz w:val="20"/>
                <w:szCs w:val="20"/>
                <w:color w:val="auto"/>
              </w:rPr>
            </w:pPr>
            <w:r>
              <w:rPr>
                <w:rFonts w:ascii="Arial" w:cs="Arial" w:eastAsia="Arial" w:hAnsi="Arial"/>
                <w:sz w:val="14"/>
                <w:szCs w:val="14"/>
                <w:color w:val="auto"/>
              </w:rPr>
              <w:t>TITAN LUXE, TITAN XC or IMAX premium auditorium.</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5"/>
        </w:trPr>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00" w:type="dxa"/>
            <w:vAlign w:val="bottom"/>
          </w:tcPr>
          <w:p>
            <w:pPr>
              <w:jc w:val="center"/>
              <w:ind w:left="209"/>
              <w:spacing w:after="0"/>
              <w:rPr>
                <w:sz w:val="20"/>
                <w:szCs w:val="20"/>
                <w:color w:val="auto"/>
              </w:rPr>
            </w:pPr>
            <w:r>
              <w:rPr>
                <w:rFonts w:ascii="Arial" w:cs="Arial" w:eastAsia="Arial" w:hAnsi="Arial"/>
                <w:sz w:val="14"/>
                <w:szCs w:val="14"/>
                <w:color w:val="auto"/>
                <w:w w:val="92"/>
              </w:rPr>
              <w:t>United States</w:t>
            </w:r>
          </w:p>
        </w:tc>
        <w:tc>
          <w:tcPr>
            <w:tcW w:w="3620" w:type="dxa"/>
            <w:vAlign w:val="bottom"/>
          </w:tcPr>
          <w:p>
            <w:pPr>
              <w:ind w:left="100"/>
              <w:spacing w:after="0"/>
              <w:rPr>
                <w:sz w:val="20"/>
                <w:szCs w:val="20"/>
                <w:color w:val="auto"/>
              </w:rPr>
            </w:pPr>
            <w:r>
              <w:rPr>
                <w:rFonts w:ascii="Arial" w:cs="Arial" w:eastAsia="Arial" w:hAnsi="Arial"/>
                <w:sz w:val="14"/>
                <w:szCs w:val="14"/>
                <w:color w:val="auto"/>
              </w:rPr>
              <w:t xml:space="preserve">Since its opening in 1989, our New York City </w:t>
            </w:r>
            <w:r>
              <w:rPr>
                <w:rFonts w:ascii="Arial" w:cs="Arial" w:eastAsia="Arial" w:hAnsi="Arial"/>
                <w:sz w:val="14"/>
                <w:szCs w:val="14"/>
                <w:b w:val="1"/>
                <w:bCs w:val="1"/>
                <w:color w:val="auto"/>
              </w:rPr>
              <w:t>Angelika</w:t>
            </w:r>
          </w:p>
        </w:tc>
        <w:tc>
          <w:tcPr>
            <w:tcW w:w="1640" w:type="dxa"/>
            <w:vAlign w:val="bottom"/>
          </w:tcPr>
          <w:p>
            <w:pPr>
              <w:ind w:left="60"/>
              <w:spacing w:after="0"/>
              <w:rPr>
                <w:sz w:val="20"/>
                <w:szCs w:val="20"/>
                <w:color w:val="auto"/>
              </w:rPr>
            </w:pPr>
            <w:r>
              <w:rPr>
                <w:rFonts w:ascii="Arial" w:cs="Arial" w:eastAsia="Arial" w:hAnsi="Arial"/>
                <w:sz w:val="14"/>
                <w:szCs w:val="14"/>
                <w:color w:val="auto"/>
              </w:rPr>
              <w:t>Angelika Film Center</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20" w:type="dxa"/>
            <w:vAlign w:val="bottom"/>
          </w:tcPr>
          <w:p>
            <w:pPr>
              <w:ind w:left="100"/>
              <w:spacing w:after="0" w:line="153" w:lineRule="exact"/>
              <w:rPr>
                <w:sz w:val="20"/>
                <w:szCs w:val="20"/>
                <w:color w:val="auto"/>
              </w:rPr>
            </w:pPr>
            <w:r>
              <w:rPr>
                <w:rFonts w:ascii="Arial" w:cs="Arial" w:eastAsia="Arial" w:hAnsi="Arial"/>
                <w:sz w:val="14"/>
                <w:szCs w:val="14"/>
                <w:b w:val="1"/>
                <w:bCs w:val="1"/>
                <w:color w:val="auto"/>
                <w:w w:val="93"/>
              </w:rPr>
              <w:t xml:space="preserve">Film Center </w:t>
            </w:r>
            <w:r>
              <w:rPr>
                <w:rFonts w:ascii="Arial" w:cs="Arial" w:eastAsia="Arial" w:hAnsi="Arial"/>
                <w:sz w:val="14"/>
                <w:szCs w:val="14"/>
                <w:color w:val="auto"/>
                <w:w w:val="93"/>
              </w:rPr>
              <w:t>has and consistently continues to be one of the</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w w:val="97"/>
              </w:rPr>
              <w:t>most popular and influential arthouse cinemas in the U.S.,</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rPr>
              <w:t>featuring principally independent and foreign films.  To</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w w:val="94"/>
              </w:rPr>
              <w:t>date, we have expanded our Angelika Film Center Group to</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rPr>
              <w:t>include 5 other Angelikas: two in the Dallas area, two in</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w w:val="99"/>
              </w:rPr>
              <w:t>the Washington DC area and one in San Diego, CA.  We</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are actively looking for more locations.</w:t>
            </w: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300" w:type="dxa"/>
            <w:vAlign w:val="bottom"/>
          </w:tcPr>
          <w:p>
            <w:pPr>
              <w:jc w:val="center"/>
              <w:ind w:left="209"/>
              <w:spacing w:after="0" w:line="123" w:lineRule="exact"/>
              <w:rPr>
                <w:sz w:val="20"/>
                <w:szCs w:val="20"/>
                <w:color w:val="auto"/>
              </w:rPr>
            </w:pPr>
            <w:r>
              <w:rPr>
                <w:rFonts w:ascii="Arial" w:cs="Arial" w:eastAsia="Arial" w:hAnsi="Arial"/>
                <w:sz w:val="14"/>
                <w:szCs w:val="14"/>
                <w:color w:val="auto"/>
                <w:w w:val="92"/>
              </w:rPr>
              <w:t>United States</w:t>
            </w:r>
          </w:p>
        </w:tc>
        <w:tc>
          <w:tcPr>
            <w:tcW w:w="3620" w:type="dxa"/>
            <w:vAlign w:val="bottom"/>
          </w:tcPr>
          <w:p>
            <w:pPr>
              <w:ind w:left="100"/>
              <w:spacing w:after="0" w:line="123" w:lineRule="exact"/>
              <w:rPr>
                <w:sz w:val="20"/>
                <w:szCs w:val="20"/>
                <w:color w:val="auto"/>
              </w:rPr>
            </w:pPr>
            <w:r>
              <w:rPr>
                <w:rFonts w:ascii="Arial" w:cs="Arial" w:eastAsia="Arial" w:hAnsi="Arial"/>
                <w:sz w:val="14"/>
                <w:szCs w:val="14"/>
                <w:color w:val="auto"/>
                <w:w w:val="96"/>
              </w:rPr>
              <w:t xml:space="preserve">In 2017, our </w:t>
            </w:r>
            <w:r>
              <w:rPr>
                <w:rFonts w:ascii="Arial" w:cs="Arial" w:eastAsia="Arial" w:hAnsi="Arial"/>
                <w:sz w:val="14"/>
                <w:szCs w:val="14"/>
                <w:b w:val="1"/>
                <w:bCs w:val="1"/>
                <w:color w:val="auto"/>
                <w:w w:val="96"/>
              </w:rPr>
              <w:t>Consolidated Theatres</w:t>
            </w:r>
            <w:r>
              <w:rPr>
                <w:rFonts w:ascii="Arial" w:cs="Arial" w:eastAsia="Arial" w:hAnsi="Arial"/>
                <w:sz w:val="14"/>
                <w:szCs w:val="14"/>
                <w:color w:val="auto"/>
                <w:w w:val="96"/>
              </w:rPr>
              <w:t xml:space="preserve"> celebrated 100 years</w:t>
            </w:r>
          </w:p>
        </w:tc>
        <w:tc>
          <w:tcPr>
            <w:tcW w:w="1640" w:type="dxa"/>
            <w:vAlign w:val="bottom"/>
          </w:tcPr>
          <w:p>
            <w:pPr>
              <w:ind w:left="60"/>
              <w:spacing w:after="0" w:line="123" w:lineRule="exact"/>
              <w:rPr>
                <w:sz w:val="20"/>
                <w:szCs w:val="20"/>
                <w:color w:val="auto"/>
              </w:rPr>
            </w:pPr>
            <w:r>
              <w:rPr>
                <w:rFonts w:ascii="Arial" w:cs="Arial" w:eastAsia="Arial" w:hAnsi="Arial"/>
                <w:sz w:val="14"/>
                <w:szCs w:val="14"/>
                <w:color w:val="auto"/>
              </w:rPr>
              <w:t>Consolidated Theatres</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rPr>
              <w:t>of providing cinematic entertainment in the state of</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w w:val="96"/>
              </w:rPr>
              <w:t>Hawaii. We are the oldest and largest circuit in Hawaii with</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w w:val="98"/>
              </w:rPr>
              <w:t>9 cinemas on the islands of Oahu and Maui, including our</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rPr>
              <w:t>new state-of-the-art 8-screen concept cinema: Olino by</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20" w:type="dxa"/>
            <w:vAlign w:val="bottom"/>
          </w:tcPr>
          <w:p>
            <w:pPr>
              <w:ind w:left="100"/>
              <w:spacing w:after="0"/>
              <w:rPr>
                <w:sz w:val="20"/>
                <w:szCs w:val="20"/>
                <w:color w:val="auto"/>
              </w:rPr>
            </w:pPr>
            <w:r>
              <w:rPr>
                <w:rFonts w:ascii="Arial" w:cs="Arial" w:eastAsia="Arial" w:hAnsi="Arial"/>
                <w:sz w:val="14"/>
                <w:szCs w:val="14"/>
                <w:color w:val="auto"/>
              </w:rPr>
              <w:t>Consolidated Theatres in West Oahu.</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676275</wp:posOffset>
            </wp:positionV>
            <wp:extent cx="5720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20080" cy="8890"/>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-2384425</wp:posOffset>
            </wp:positionV>
            <wp:extent cx="1286510" cy="2598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651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6"/>
        </w:trPr>
        <w:tc>
          <w:tcPr>
            <w:tcW w:w="138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3"/>
              </w:rPr>
              <w:t>Business</w:t>
            </w:r>
          </w:p>
        </w:tc>
        <w:tc>
          <w:tcPr>
            <w:tcW w:w="224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Our Commercial Brands</w:t>
            </w:r>
          </w:p>
        </w:tc>
        <w:tc>
          <w:tcPr>
            <w:tcW w:w="1260" w:type="dxa"/>
            <w:vAlign w:val="bottom"/>
            <w:tcBorders>
              <w:top w:val="single" w:sz="8" w:color="auto"/>
            </w:tcBorders>
            <w:vMerge w:val="restart"/>
          </w:tcPr>
          <w:p>
            <w:pPr>
              <w:jc w:val="center"/>
              <w:ind w:left="188"/>
              <w:spacing w:after="0"/>
              <w:rPr>
                <w:sz w:val="20"/>
                <w:szCs w:val="20"/>
                <w:color w:val="auto"/>
              </w:rPr>
            </w:pPr>
            <w:r>
              <w:rPr>
                <w:rFonts w:ascii="Arial" w:cs="Arial" w:eastAsia="Arial" w:hAnsi="Arial"/>
                <w:sz w:val="14"/>
                <w:szCs w:val="14"/>
                <w:b w:val="1"/>
                <w:bCs w:val="1"/>
                <w:color w:val="auto"/>
                <w:w w:val="96"/>
              </w:rPr>
              <w:t>Country</w:t>
            </w:r>
          </w:p>
        </w:tc>
        <w:tc>
          <w:tcPr>
            <w:tcW w:w="3520" w:type="dxa"/>
            <w:vAlign w:val="bottom"/>
            <w:tcBorders>
              <w:top w:val="single" w:sz="8" w:color="auto"/>
            </w:tcBorders>
            <w:vMerge w:val="restart"/>
          </w:tcPr>
          <w:p>
            <w:pPr>
              <w:ind w:left="146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tcBorders>
              <w:top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3"/>
              </w:rPr>
              <w:t>Segment / Unit</w:t>
            </w:r>
          </w:p>
        </w:tc>
        <w:tc>
          <w:tcPr>
            <w:tcW w:w="224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52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60" w:type="dxa"/>
            <w:vAlign w:val="bottom"/>
          </w:tcPr>
          <w:p>
            <w:pPr>
              <w:jc w:val="center"/>
              <w:ind w:left="188"/>
              <w:spacing w:after="0" w:line="123" w:lineRule="exact"/>
              <w:rPr>
                <w:sz w:val="20"/>
                <w:szCs w:val="20"/>
                <w:color w:val="auto"/>
              </w:rPr>
            </w:pPr>
            <w:r>
              <w:rPr>
                <w:rFonts w:ascii="Arial" w:cs="Arial" w:eastAsia="Arial" w:hAnsi="Arial"/>
                <w:sz w:val="14"/>
                <w:szCs w:val="14"/>
                <w:color w:val="auto"/>
                <w:w w:val="90"/>
              </w:rPr>
              <w:t>United States</w:t>
            </w:r>
          </w:p>
        </w:tc>
        <w:tc>
          <w:tcPr>
            <w:tcW w:w="3520" w:type="dxa"/>
            <w:vAlign w:val="bottom"/>
          </w:tcPr>
          <w:p>
            <w:pPr>
              <w:ind w:left="100"/>
              <w:spacing w:after="0" w:line="123" w:lineRule="exact"/>
              <w:rPr>
                <w:sz w:val="20"/>
                <w:szCs w:val="20"/>
                <w:color w:val="auto"/>
              </w:rPr>
            </w:pPr>
            <w:r>
              <w:rPr>
                <w:rFonts w:ascii="Arial" w:cs="Arial" w:eastAsia="Arial" w:hAnsi="Arial"/>
                <w:sz w:val="14"/>
                <w:szCs w:val="14"/>
                <w:color w:val="auto"/>
                <w:w w:val="96"/>
              </w:rPr>
              <w:t xml:space="preserve">Our </w:t>
            </w:r>
            <w:r>
              <w:rPr>
                <w:rFonts w:ascii="Arial" w:cs="Arial" w:eastAsia="Arial" w:hAnsi="Arial"/>
                <w:sz w:val="14"/>
                <w:szCs w:val="14"/>
                <w:b w:val="1"/>
                <w:bCs w:val="1"/>
                <w:color w:val="auto"/>
                <w:w w:val="96"/>
              </w:rPr>
              <w:t>City Cinemas</w:t>
            </w:r>
            <w:r>
              <w:rPr>
                <w:rFonts w:ascii="Arial" w:cs="Arial" w:eastAsia="Arial" w:hAnsi="Arial"/>
                <w:sz w:val="14"/>
                <w:szCs w:val="14"/>
                <w:color w:val="auto"/>
                <w:w w:val="96"/>
              </w:rPr>
              <w:t xml:space="preserve"> circuit, which consists of five cinemas</w:t>
            </w:r>
          </w:p>
        </w:tc>
        <w:tc>
          <w:tcPr>
            <w:tcW w:w="1720" w:type="dxa"/>
            <w:vAlign w:val="bottom"/>
          </w:tcPr>
          <w:p>
            <w:pPr>
              <w:ind w:left="80"/>
              <w:spacing w:after="0" w:line="123" w:lineRule="exact"/>
              <w:rPr>
                <w:sz w:val="20"/>
                <w:szCs w:val="20"/>
                <w:color w:val="auto"/>
              </w:rPr>
            </w:pPr>
            <w:r>
              <w:rPr>
                <w:rFonts w:ascii="Arial" w:cs="Arial" w:eastAsia="Arial" w:hAnsi="Arial"/>
                <w:sz w:val="14"/>
                <w:szCs w:val="14"/>
                <w:color w:val="auto"/>
              </w:rPr>
              <w:t>City Cinemas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20" w:type="dxa"/>
            <w:vAlign w:val="bottom"/>
          </w:tcPr>
          <w:p>
            <w:pPr>
              <w:ind w:left="100"/>
              <w:spacing w:after="0" w:line="149" w:lineRule="exact"/>
              <w:rPr>
                <w:sz w:val="20"/>
                <w:szCs w:val="20"/>
                <w:color w:val="auto"/>
              </w:rPr>
            </w:pPr>
            <w:r>
              <w:rPr>
                <w:rFonts w:ascii="Arial" w:cs="Arial" w:eastAsia="Arial" w:hAnsi="Arial"/>
                <w:sz w:val="14"/>
                <w:szCs w:val="14"/>
                <w:color w:val="auto"/>
              </w:rPr>
              <w:t>in the Manhattan area of New York City features an</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20" w:type="dxa"/>
            <w:vAlign w:val="bottom"/>
          </w:tcPr>
          <w:p>
            <w:pPr>
              <w:ind w:left="100"/>
              <w:spacing w:after="0" w:line="149" w:lineRule="exact"/>
              <w:rPr>
                <w:sz w:val="20"/>
                <w:szCs w:val="20"/>
                <w:color w:val="auto"/>
              </w:rPr>
            </w:pPr>
            <w:r>
              <w:rPr>
                <w:rFonts w:ascii="Arial" w:cs="Arial" w:eastAsia="Arial" w:hAnsi="Arial"/>
                <w:sz w:val="14"/>
                <w:szCs w:val="14"/>
                <w:color w:val="auto"/>
              </w:rPr>
              <w:t>eclectic mix of programming, from mainstream</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Arial" w:cs="Arial" w:eastAsia="Arial" w:hAnsi="Arial"/>
                <w:sz w:val="14"/>
                <w:szCs w:val="14"/>
                <w:color w:val="auto"/>
              </w:rPr>
              <w:t>blockbusters to independent films.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-248920</wp:posOffset>
            </wp:positionV>
            <wp:extent cx="926465" cy="737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646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18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4"/>
                <w:szCs w:val="14"/>
                <w:b w:val="1"/>
                <w:bCs w:val="1"/>
                <w:color w:val="auto"/>
              </w:rPr>
              <w:t xml:space="preserve">Real Estate </w:t>
            </w:r>
            <w:r>
              <w:rPr>
                <w:rFonts w:ascii="Arial" w:cs="Arial" w:eastAsia="Arial" w:hAnsi="Arial"/>
                <w:sz w:val="14"/>
                <w:szCs w:val="14"/>
                <w:color w:val="auto"/>
              </w:rPr>
              <w:t>/</w:t>
            </w:r>
          </w:p>
        </w:tc>
        <w:tc>
          <w:tcPr>
            <w:tcW w:w="3700" w:type="dxa"/>
            <w:vAlign w:val="bottom"/>
            <w:tcBorders>
              <w:top w:val="single" w:sz="8" w:color="auto"/>
            </w:tcBorders>
          </w:tcPr>
          <w:p>
            <w:pPr>
              <w:jc w:val="center"/>
              <w:ind w:left="2629"/>
              <w:spacing w:after="0" w:line="143" w:lineRule="exact"/>
              <w:rPr>
                <w:sz w:val="20"/>
                <w:szCs w:val="20"/>
                <w:color w:val="auto"/>
              </w:rPr>
            </w:pPr>
            <w:r>
              <w:rPr>
                <w:rFonts w:ascii="Arial" w:cs="Arial" w:eastAsia="Arial" w:hAnsi="Arial"/>
                <w:sz w:val="14"/>
                <w:szCs w:val="14"/>
                <w:color w:val="auto"/>
                <w:w w:val="90"/>
              </w:rPr>
              <w:t>United States</w:t>
            </w:r>
          </w:p>
        </w:tc>
        <w:tc>
          <w:tcPr>
            <w:tcW w:w="354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w w:val="99"/>
              </w:rPr>
              <w:t xml:space="preserve">Our </w:t>
            </w:r>
            <w:r>
              <w:rPr>
                <w:rFonts w:ascii="Arial" w:cs="Arial" w:eastAsia="Arial" w:hAnsi="Arial"/>
                <w:sz w:val="14"/>
                <w:szCs w:val="14"/>
                <w:b w:val="1"/>
                <w:bCs w:val="1"/>
                <w:color w:val="auto"/>
                <w:w w:val="99"/>
              </w:rPr>
              <w:t>44 Union Square</w:t>
            </w:r>
            <w:r>
              <w:rPr>
                <w:rFonts w:ascii="Arial" w:cs="Arial" w:eastAsia="Arial" w:hAnsi="Arial"/>
                <w:sz w:val="14"/>
                <w:szCs w:val="14"/>
                <w:color w:val="auto"/>
                <w:w w:val="99"/>
              </w:rPr>
              <w:t xml:space="preserve"> property – the historic Tammany</w:t>
            </w:r>
          </w:p>
        </w:tc>
        <w:tc>
          <w:tcPr>
            <w:tcW w:w="17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44 Union Square</w:t>
            </w:r>
          </w:p>
        </w:tc>
      </w:tr>
      <w:tr>
        <w:trPr>
          <w:trHeight w:val="149"/>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Leasing</w:t>
            </w: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7"/>
              </w:rPr>
              <w:t>Hall, located overlooking Union Square in New York City</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 is currently in the final stages of a complete re-</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development. We are currently in exclusive lease</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negotiations for long term leases with respect to</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5"/>
              </w:rPr>
              <w:t>approximately 90% of the net rentable area of the building</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and, while no assurances can be given, it is currently</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7"/>
              </w:rPr>
              <w:t>anticipated that our base building will be ready for tenant</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4"/>
              </w:rPr>
              <w:t>improvement work before the end of the second quarter of</w:t>
            </w:r>
          </w:p>
        </w:tc>
        <w:tc>
          <w:tcPr>
            <w:tcW w:w="1700" w:type="dxa"/>
            <w:vAlign w:val="bottom"/>
          </w:tcPr>
          <w:p>
            <w:pPr>
              <w:spacing w:after="0"/>
              <w:rPr>
                <w:sz w:val="12"/>
                <w:szCs w:val="12"/>
                <w:color w:val="auto"/>
              </w:rPr>
            </w:pPr>
          </w:p>
        </w:tc>
      </w:tr>
      <w:tr>
        <w:trPr>
          <w:trHeight w:val="167"/>
        </w:trPr>
        <w:tc>
          <w:tcPr>
            <w:tcW w:w="1180" w:type="dxa"/>
            <w:vAlign w:val="bottom"/>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this year.</w:t>
            </w:r>
          </w:p>
        </w:tc>
        <w:tc>
          <w:tcPr>
            <w:tcW w:w="1700" w:type="dxa"/>
            <w:vAlign w:val="bottom"/>
            <w:tcBorders>
              <w:bottom w:val="single" w:sz="8" w:color="auto"/>
            </w:tcBorders>
          </w:tcPr>
          <w:p>
            <w:pPr>
              <w:spacing w:after="0"/>
              <w:rPr>
                <w:sz w:val="14"/>
                <w:szCs w:val="14"/>
                <w:color w:val="auto"/>
              </w:rPr>
            </w:pPr>
          </w:p>
        </w:tc>
      </w:tr>
      <w:tr>
        <w:trPr>
          <w:trHeight w:val="123"/>
        </w:trPr>
        <w:tc>
          <w:tcPr>
            <w:tcW w:w="1180" w:type="dxa"/>
            <w:vAlign w:val="bottom"/>
          </w:tcPr>
          <w:p>
            <w:pPr>
              <w:spacing w:after="0"/>
              <w:rPr>
                <w:sz w:val="10"/>
                <w:szCs w:val="10"/>
                <w:color w:val="auto"/>
              </w:rPr>
            </w:pPr>
          </w:p>
        </w:tc>
        <w:tc>
          <w:tcPr>
            <w:tcW w:w="3700" w:type="dxa"/>
            <w:vAlign w:val="bottom"/>
          </w:tcPr>
          <w:p>
            <w:pPr>
              <w:jc w:val="center"/>
              <w:ind w:left="2629"/>
              <w:spacing w:after="0" w:line="123" w:lineRule="exact"/>
              <w:rPr>
                <w:sz w:val="20"/>
                <w:szCs w:val="20"/>
                <w:color w:val="auto"/>
              </w:rPr>
            </w:pPr>
            <w:r>
              <w:rPr>
                <w:rFonts w:ascii="Arial" w:cs="Arial" w:eastAsia="Arial" w:hAnsi="Arial"/>
                <w:sz w:val="14"/>
                <w:szCs w:val="14"/>
                <w:color w:val="auto"/>
                <w:w w:val="95"/>
              </w:rPr>
              <w:t>Australia</w:t>
            </w:r>
          </w:p>
        </w:tc>
        <w:tc>
          <w:tcPr>
            <w:tcW w:w="3540" w:type="dxa"/>
            <w:vAlign w:val="bottom"/>
          </w:tcPr>
          <w:p>
            <w:pPr>
              <w:ind w:left="100"/>
              <w:spacing w:after="0" w:line="123" w:lineRule="exact"/>
              <w:rPr>
                <w:sz w:val="20"/>
                <w:szCs w:val="20"/>
                <w:color w:val="auto"/>
              </w:rPr>
            </w:pPr>
            <w:r>
              <w:rPr>
                <w:rFonts w:ascii="Arial" w:cs="Arial" w:eastAsia="Arial" w:hAnsi="Arial"/>
                <w:sz w:val="14"/>
                <w:szCs w:val="14"/>
                <w:color w:val="auto"/>
              </w:rPr>
              <w:t>Located on 203,287 square feet of land in suburban</w:t>
            </w:r>
          </w:p>
        </w:tc>
        <w:tc>
          <w:tcPr>
            <w:tcW w:w="1700" w:type="dxa"/>
            <w:vAlign w:val="bottom"/>
          </w:tcPr>
          <w:p>
            <w:pPr>
              <w:ind w:left="60"/>
              <w:spacing w:after="0" w:line="123" w:lineRule="exact"/>
              <w:rPr>
                <w:sz w:val="20"/>
                <w:szCs w:val="20"/>
                <w:color w:val="auto"/>
              </w:rPr>
            </w:pPr>
            <w:r>
              <w:rPr>
                <w:rFonts w:ascii="Arial" w:cs="Arial" w:eastAsia="Arial" w:hAnsi="Arial"/>
                <w:sz w:val="14"/>
                <w:szCs w:val="14"/>
                <w:color w:val="auto"/>
              </w:rPr>
              <w:t>Newmarket Village</w:t>
            </w: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Brisbane, the center is currently comprised of</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2"/>
              </w:rPr>
              <w:t>approximately 146,905 square feet of net rentable area and</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6"/>
              </w:rPr>
              <w:t>is 98% leased. At the end of 2017, we completed a major</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8"/>
              </w:rPr>
              <w:t>expansion that added a new 8-screen Reading Cinemas</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with TITAN LUXE, an additional 10,150 square feet</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(943m2) of restaurant tenant space and 124 parking</w:t>
            </w:r>
          </w:p>
        </w:tc>
        <w:tc>
          <w:tcPr>
            <w:tcW w:w="1700" w:type="dxa"/>
            <w:vAlign w:val="bottom"/>
          </w:tcPr>
          <w:p>
            <w:pPr>
              <w:spacing w:after="0"/>
              <w:rPr>
                <w:sz w:val="12"/>
                <w:szCs w:val="12"/>
                <w:color w:val="auto"/>
              </w:rPr>
            </w:pPr>
          </w:p>
        </w:tc>
      </w:tr>
      <w:tr>
        <w:trPr>
          <w:trHeight w:val="167"/>
        </w:trPr>
        <w:tc>
          <w:tcPr>
            <w:tcW w:w="1180" w:type="dxa"/>
            <w:vAlign w:val="bottom"/>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spaces.</w:t>
            </w:r>
          </w:p>
        </w:tc>
        <w:tc>
          <w:tcPr>
            <w:tcW w:w="1700" w:type="dxa"/>
            <w:vAlign w:val="bottom"/>
            <w:tcBorders>
              <w:bottom w:val="single" w:sz="8" w:color="auto"/>
            </w:tcBorders>
          </w:tcPr>
          <w:p>
            <w:pPr>
              <w:spacing w:after="0"/>
              <w:rPr>
                <w:sz w:val="14"/>
                <w:szCs w:val="14"/>
                <w:color w:val="auto"/>
              </w:rPr>
            </w:pPr>
          </w:p>
        </w:tc>
      </w:tr>
      <w:tr>
        <w:trPr>
          <w:trHeight w:val="119"/>
        </w:trPr>
        <w:tc>
          <w:tcPr>
            <w:tcW w:w="1180" w:type="dxa"/>
            <w:vAlign w:val="bottom"/>
          </w:tcPr>
          <w:p>
            <w:pPr>
              <w:spacing w:after="0"/>
              <w:rPr>
                <w:sz w:val="10"/>
                <w:szCs w:val="10"/>
                <w:color w:val="auto"/>
              </w:rPr>
            </w:pPr>
          </w:p>
        </w:tc>
        <w:tc>
          <w:tcPr>
            <w:tcW w:w="3700" w:type="dxa"/>
            <w:vAlign w:val="bottom"/>
          </w:tcPr>
          <w:p>
            <w:pPr>
              <w:jc w:val="center"/>
              <w:ind w:left="2629"/>
              <w:spacing w:after="0" w:line="119" w:lineRule="exact"/>
              <w:rPr>
                <w:sz w:val="20"/>
                <w:szCs w:val="20"/>
                <w:color w:val="auto"/>
              </w:rPr>
            </w:pPr>
            <w:r>
              <w:rPr>
                <w:rFonts w:ascii="Arial" w:cs="Arial" w:eastAsia="Arial" w:hAnsi="Arial"/>
                <w:sz w:val="13"/>
                <w:szCs w:val="13"/>
                <w:color w:val="auto"/>
              </w:rPr>
              <w:t>Australia</w:t>
            </w:r>
          </w:p>
        </w:tc>
        <w:tc>
          <w:tcPr>
            <w:tcW w:w="3540" w:type="dxa"/>
            <w:vAlign w:val="bottom"/>
          </w:tcPr>
          <w:p>
            <w:pPr>
              <w:ind w:left="100"/>
              <w:spacing w:after="0" w:line="119" w:lineRule="exact"/>
              <w:rPr>
                <w:sz w:val="20"/>
                <w:szCs w:val="20"/>
                <w:color w:val="auto"/>
              </w:rPr>
            </w:pPr>
            <w:r>
              <w:rPr>
                <w:rFonts w:ascii="Arial" w:cs="Arial" w:eastAsia="Arial" w:hAnsi="Arial"/>
                <w:sz w:val="13"/>
                <w:szCs w:val="13"/>
                <w:color w:val="auto"/>
              </w:rPr>
              <w:t>Anchored by a 10-screen Reading Cinemas,</w:t>
            </w:r>
          </w:p>
        </w:tc>
        <w:tc>
          <w:tcPr>
            <w:tcW w:w="1700" w:type="dxa"/>
            <w:vAlign w:val="bottom"/>
          </w:tcPr>
          <w:p>
            <w:pPr>
              <w:ind w:left="60"/>
              <w:spacing w:after="0" w:line="119" w:lineRule="exact"/>
              <w:rPr>
                <w:sz w:val="20"/>
                <w:szCs w:val="20"/>
                <w:color w:val="auto"/>
              </w:rPr>
            </w:pPr>
            <w:r>
              <w:rPr>
                <w:rFonts w:ascii="Arial" w:cs="Arial" w:eastAsia="Arial" w:hAnsi="Arial"/>
                <w:sz w:val="13"/>
                <w:szCs w:val="13"/>
                <w:color w:val="auto"/>
              </w:rPr>
              <w:t>Auburn/Redyard</w:t>
            </w:r>
          </w:p>
        </w:tc>
      </w:tr>
      <w:tr>
        <w:trPr>
          <w:trHeight w:val="153"/>
        </w:trPr>
        <w:tc>
          <w:tcPr>
            <w:tcW w:w="11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540" w:type="dxa"/>
            <w:vAlign w:val="bottom"/>
          </w:tcPr>
          <w:p>
            <w:pPr>
              <w:ind w:left="100"/>
              <w:spacing w:after="0" w:line="153" w:lineRule="exact"/>
              <w:rPr>
                <w:sz w:val="20"/>
                <w:szCs w:val="20"/>
                <w:color w:val="auto"/>
              </w:rPr>
            </w:pPr>
            <w:r>
              <w:rPr>
                <w:rFonts w:ascii="Arial" w:cs="Arial" w:eastAsia="Arial" w:hAnsi="Arial"/>
                <w:sz w:val="14"/>
                <w:szCs w:val="14"/>
                <w:b w:val="1"/>
                <w:bCs w:val="1"/>
                <w:color w:val="auto"/>
                <w:w w:val="98"/>
              </w:rPr>
              <w:t xml:space="preserve">Auburn/Redyard </w:t>
            </w:r>
            <w:r>
              <w:rPr>
                <w:rFonts w:ascii="Arial" w:cs="Arial" w:eastAsia="Arial" w:hAnsi="Arial"/>
                <w:sz w:val="14"/>
                <w:szCs w:val="14"/>
                <w:color w:val="auto"/>
                <w:w w:val="98"/>
              </w:rPr>
              <w:t>is an outdoor retail center located in a</w:t>
            </w:r>
          </w:p>
        </w:tc>
        <w:tc>
          <w:tcPr>
            <w:tcW w:w="1700" w:type="dxa"/>
            <w:vAlign w:val="bottom"/>
          </w:tcPr>
          <w:p>
            <w:pPr>
              <w:spacing w:after="0"/>
              <w:rPr>
                <w:sz w:val="13"/>
                <w:szCs w:val="13"/>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suburb of Sydney. The center is currently comprised of</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approximately 519,992 square feet of land and 75,492</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6"/>
              </w:rPr>
              <w:t>square feet of net rentable area, serviced by a 727 space</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4"/>
              </w:rPr>
              <w:t>subterranean parking garage, and is 83% leased. In 2018,</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6"/>
              </w:rPr>
              <w:t>we added to the center approximately 20,870 square foot</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of land currently improved with a 16,830 square foot</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office building, rented to Telstra through July 2022, and</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7"/>
              </w:rPr>
              <w:t>over the past two years have added an additional 15,000</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9"/>
              </w:rPr>
              <w:t>rentable square feet of fully leased restaurant and retail</w:t>
            </w:r>
          </w:p>
        </w:tc>
        <w:tc>
          <w:tcPr>
            <w:tcW w:w="1700" w:type="dxa"/>
            <w:vAlign w:val="bottom"/>
          </w:tcPr>
          <w:p>
            <w:pPr>
              <w:spacing w:after="0"/>
              <w:rPr>
                <w:sz w:val="12"/>
                <w:szCs w:val="12"/>
                <w:color w:val="auto"/>
              </w:rPr>
            </w:pPr>
          </w:p>
        </w:tc>
      </w:tr>
      <w:tr>
        <w:trPr>
          <w:trHeight w:val="167"/>
        </w:trPr>
        <w:tc>
          <w:tcPr>
            <w:tcW w:w="1180" w:type="dxa"/>
            <w:vAlign w:val="bottom"/>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space.</w:t>
            </w:r>
          </w:p>
        </w:tc>
        <w:tc>
          <w:tcPr>
            <w:tcW w:w="1700" w:type="dxa"/>
            <w:vAlign w:val="bottom"/>
            <w:tcBorders>
              <w:bottom w:val="single" w:sz="8" w:color="auto"/>
            </w:tcBorders>
          </w:tcPr>
          <w:p>
            <w:pPr>
              <w:spacing w:after="0"/>
              <w:rPr>
                <w:sz w:val="14"/>
                <w:szCs w:val="14"/>
                <w:color w:val="auto"/>
              </w:rPr>
            </w:pPr>
          </w:p>
        </w:tc>
      </w:tr>
      <w:tr>
        <w:trPr>
          <w:trHeight w:val="123"/>
        </w:trPr>
        <w:tc>
          <w:tcPr>
            <w:tcW w:w="1180" w:type="dxa"/>
            <w:vAlign w:val="bottom"/>
          </w:tcPr>
          <w:p>
            <w:pPr>
              <w:spacing w:after="0"/>
              <w:rPr>
                <w:sz w:val="10"/>
                <w:szCs w:val="10"/>
                <w:color w:val="auto"/>
              </w:rPr>
            </w:pPr>
          </w:p>
        </w:tc>
        <w:tc>
          <w:tcPr>
            <w:tcW w:w="3700" w:type="dxa"/>
            <w:vAlign w:val="bottom"/>
          </w:tcPr>
          <w:p>
            <w:pPr>
              <w:jc w:val="center"/>
              <w:ind w:left="2629"/>
              <w:spacing w:after="0" w:line="123" w:lineRule="exact"/>
              <w:rPr>
                <w:sz w:val="20"/>
                <w:szCs w:val="20"/>
                <w:color w:val="auto"/>
              </w:rPr>
            </w:pPr>
            <w:r>
              <w:rPr>
                <w:rFonts w:ascii="Arial" w:cs="Arial" w:eastAsia="Arial" w:hAnsi="Arial"/>
                <w:sz w:val="14"/>
                <w:szCs w:val="14"/>
                <w:color w:val="auto"/>
                <w:w w:val="95"/>
              </w:rPr>
              <w:t>Australia</w:t>
            </w:r>
          </w:p>
        </w:tc>
        <w:tc>
          <w:tcPr>
            <w:tcW w:w="3540" w:type="dxa"/>
            <w:vAlign w:val="bottom"/>
          </w:tcPr>
          <w:p>
            <w:pPr>
              <w:ind w:left="100"/>
              <w:spacing w:after="0" w:line="123" w:lineRule="exact"/>
              <w:rPr>
                <w:sz w:val="20"/>
                <w:szCs w:val="20"/>
                <w:color w:val="auto"/>
              </w:rPr>
            </w:pPr>
            <w:r>
              <w:rPr>
                <w:rFonts w:ascii="Arial" w:cs="Arial" w:eastAsia="Arial" w:hAnsi="Arial"/>
                <w:sz w:val="14"/>
                <w:szCs w:val="14"/>
                <w:color w:val="auto"/>
                <w:w w:val="94"/>
              </w:rPr>
              <w:t>Anchored by a six-screen Reading Cinemas, Cannon Park</w:t>
            </w:r>
          </w:p>
        </w:tc>
        <w:tc>
          <w:tcPr>
            <w:tcW w:w="1700" w:type="dxa"/>
            <w:vAlign w:val="bottom"/>
          </w:tcPr>
          <w:p>
            <w:pPr>
              <w:ind w:left="60"/>
              <w:spacing w:after="0" w:line="123" w:lineRule="exact"/>
              <w:rPr>
                <w:sz w:val="20"/>
                <w:szCs w:val="20"/>
                <w:color w:val="auto"/>
              </w:rPr>
            </w:pPr>
            <w:r>
              <w:rPr>
                <w:rFonts w:ascii="Arial" w:cs="Arial" w:eastAsia="Arial" w:hAnsi="Arial"/>
                <w:sz w:val="14"/>
                <w:szCs w:val="14"/>
                <w:color w:val="auto"/>
              </w:rPr>
              <w:t>Cannon Park Townsville</w:t>
            </w: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is located in Townsville, Australia, and is currently</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comprised of 245,266 square feet of land and 104,744</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9"/>
              </w:rPr>
              <w:t>square feet of net rentable area, which is currently 85%</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leased.  We are working on plans to add approximately</w:t>
            </w:r>
          </w:p>
        </w:tc>
        <w:tc>
          <w:tcPr>
            <w:tcW w:w="1700" w:type="dxa"/>
            <w:vAlign w:val="bottom"/>
          </w:tcPr>
          <w:p>
            <w:pPr>
              <w:spacing w:after="0"/>
              <w:rPr>
                <w:sz w:val="12"/>
                <w:szCs w:val="12"/>
                <w:color w:val="auto"/>
              </w:rPr>
            </w:pPr>
          </w:p>
        </w:tc>
      </w:tr>
      <w:tr>
        <w:trPr>
          <w:trHeight w:val="167"/>
        </w:trPr>
        <w:tc>
          <w:tcPr>
            <w:tcW w:w="1180" w:type="dxa"/>
            <w:vAlign w:val="bottom"/>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13,100 square feet of net rentable area to the center.</w:t>
            </w:r>
          </w:p>
        </w:tc>
        <w:tc>
          <w:tcPr>
            <w:tcW w:w="1700" w:type="dxa"/>
            <w:vAlign w:val="bottom"/>
            <w:tcBorders>
              <w:bottom w:val="single" w:sz="8" w:color="auto"/>
            </w:tcBorders>
          </w:tcPr>
          <w:p>
            <w:pPr>
              <w:spacing w:after="0"/>
              <w:rPr>
                <w:sz w:val="14"/>
                <w:szCs w:val="14"/>
                <w:color w:val="auto"/>
              </w:rPr>
            </w:pPr>
          </w:p>
        </w:tc>
      </w:tr>
      <w:tr>
        <w:trPr>
          <w:trHeight w:val="123"/>
        </w:trPr>
        <w:tc>
          <w:tcPr>
            <w:tcW w:w="1180" w:type="dxa"/>
            <w:vAlign w:val="bottom"/>
          </w:tcPr>
          <w:p>
            <w:pPr>
              <w:spacing w:after="0"/>
              <w:rPr>
                <w:sz w:val="10"/>
                <w:szCs w:val="10"/>
                <w:color w:val="auto"/>
              </w:rPr>
            </w:pPr>
          </w:p>
        </w:tc>
        <w:tc>
          <w:tcPr>
            <w:tcW w:w="3700" w:type="dxa"/>
            <w:vAlign w:val="bottom"/>
          </w:tcPr>
          <w:p>
            <w:pPr>
              <w:jc w:val="center"/>
              <w:ind w:left="2629"/>
              <w:spacing w:after="0" w:line="123" w:lineRule="exact"/>
              <w:rPr>
                <w:sz w:val="20"/>
                <w:szCs w:val="20"/>
                <w:color w:val="auto"/>
              </w:rPr>
            </w:pPr>
            <w:r>
              <w:rPr>
                <w:rFonts w:ascii="Arial" w:cs="Arial" w:eastAsia="Arial" w:hAnsi="Arial"/>
                <w:sz w:val="14"/>
                <w:szCs w:val="14"/>
                <w:color w:val="auto"/>
                <w:w w:val="95"/>
              </w:rPr>
              <w:t>Australia</w:t>
            </w:r>
          </w:p>
        </w:tc>
        <w:tc>
          <w:tcPr>
            <w:tcW w:w="3540" w:type="dxa"/>
            <w:vAlign w:val="bottom"/>
          </w:tcPr>
          <w:p>
            <w:pPr>
              <w:ind w:left="100"/>
              <w:spacing w:after="0" w:line="123" w:lineRule="exact"/>
              <w:rPr>
                <w:sz w:val="20"/>
                <w:szCs w:val="20"/>
                <w:color w:val="auto"/>
              </w:rPr>
            </w:pPr>
            <w:r>
              <w:rPr>
                <w:rFonts w:ascii="Arial" w:cs="Arial" w:eastAsia="Arial" w:hAnsi="Arial"/>
                <w:sz w:val="14"/>
                <w:szCs w:val="14"/>
                <w:color w:val="auto"/>
                <w:w w:val="97"/>
              </w:rPr>
              <w:t>Anchored by a 10-screen Reading Cinema and four F&amp;B</w:t>
            </w:r>
          </w:p>
        </w:tc>
        <w:tc>
          <w:tcPr>
            <w:tcW w:w="1700" w:type="dxa"/>
            <w:vAlign w:val="bottom"/>
          </w:tcPr>
          <w:p>
            <w:pPr>
              <w:ind w:left="60"/>
              <w:spacing w:after="0" w:line="123" w:lineRule="exact"/>
              <w:rPr>
                <w:sz w:val="20"/>
                <w:szCs w:val="20"/>
                <w:color w:val="auto"/>
              </w:rPr>
            </w:pPr>
            <w:r>
              <w:rPr>
                <w:rFonts w:ascii="Arial" w:cs="Arial" w:eastAsia="Arial" w:hAnsi="Arial"/>
                <w:sz w:val="14"/>
                <w:szCs w:val="14"/>
                <w:color w:val="auto"/>
              </w:rPr>
              <w:t>The Belmont Common</w:t>
            </w: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or retail tenancies, the Belmont Common is located in</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Perth, Australia, and is currently comprised of 103,204</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w w:val="95"/>
              </w:rPr>
              <w:t>square feet of land and 59,395 square feet of net rentable</w:t>
            </w:r>
          </w:p>
        </w:tc>
        <w:tc>
          <w:tcPr>
            <w:tcW w:w="1700" w:type="dxa"/>
            <w:vAlign w:val="bottom"/>
          </w:tcPr>
          <w:p>
            <w:pPr>
              <w:spacing w:after="0"/>
              <w:rPr>
                <w:sz w:val="12"/>
                <w:szCs w:val="12"/>
                <w:color w:val="auto"/>
              </w:rPr>
            </w:pPr>
          </w:p>
        </w:tc>
      </w:tr>
      <w:tr>
        <w:trPr>
          <w:trHeight w:val="182"/>
        </w:trPr>
        <w:tc>
          <w:tcPr>
            <w:tcW w:w="11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area, which is currently 96% leased.</w:t>
            </w:r>
          </w:p>
        </w:tc>
        <w:tc>
          <w:tcPr>
            <w:tcW w:w="17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264795</wp:posOffset>
            </wp:positionV>
            <wp:extent cx="5676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-3910965</wp:posOffset>
            </wp:positionV>
            <wp:extent cx="1286510" cy="143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6510" cy="143192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-2195830</wp:posOffset>
            </wp:positionV>
            <wp:extent cx="1560830"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0830" cy="33464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-1055370</wp:posOffset>
            </wp:positionV>
            <wp:extent cx="1406525" cy="368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06525" cy="36893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-480695</wp:posOffset>
            </wp:positionV>
            <wp:extent cx="1235075"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5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0" w:right="8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3"/>
        </w:trPr>
        <w:tc>
          <w:tcPr>
            <w:tcW w:w="1180" w:type="dxa"/>
            <w:vAlign w:val="bottom"/>
          </w:tcPr>
          <w:p>
            <w:pPr>
              <w:spacing w:after="0"/>
              <w:rPr>
                <w:sz w:val="12"/>
                <w:szCs w:val="12"/>
                <w:color w:val="auto"/>
              </w:rPr>
            </w:pPr>
          </w:p>
        </w:tc>
        <w:tc>
          <w:tcPr>
            <w:tcW w:w="3620" w:type="dxa"/>
            <w:vAlign w:val="bottom"/>
            <w:tcBorders>
              <w:top w:val="single" w:sz="8" w:color="auto"/>
            </w:tcBorders>
          </w:tcPr>
          <w:p>
            <w:pPr>
              <w:ind w:left="2760"/>
              <w:spacing w:after="0" w:line="143" w:lineRule="exact"/>
              <w:rPr>
                <w:sz w:val="20"/>
                <w:szCs w:val="20"/>
                <w:color w:val="auto"/>
              </w:rPr>
            </w:pPr>
            <w:r>
              <w:rPr>
                <w:rFonts w:ascii="Arial" w:cs="Arial" w:eastAsia="Arial" w:hAnsi="Arial"/>
                <w:sz w:val="14"/>
                <w:szCs w:val="14"/>
                <w:color w:val="auto"/>
              </w:rPr>
              <w:t>New Zealand</w:t>
            </w:r>
          </w:p>
        </w:tc>
        <w:tc>
          <w:tcPr>
            <w:tcW w:w="3620" w:type="dxa"/>
            <w:vAlign w:val="bottom"/>
            <w:tcBorders>
              <w:top w:val="single" w:sz="8" w:color="auto"/>
            </w:tcBorders>
            <w:gridSpan w:val="2"/>
          </w:tcPr>
          <w:p>
            <w:pPr>
              <w:ind w:left="100"/>
              <w:spacing w:after="0" w:line="143" w:lineRule="exact"/>
              <w:rPr>
                <w:sz w:val="20"/>
                <w:szCs w:val="20"/>
                <w:color w:val="auto"/>
              </w:rPr>
            </w:pPr>
            <w:r>
              <w:rPr>
                <w:rFonts w:ascii="Arial" w:cs="Arial" w:eastAsia="Arial" w:hAnsi="Arial"/>
                <w:sz w:val="14"/>
                <w:szCs w:val="14"/>
                <w:color w:val="auto"/>
                <w:w w:val="96"/>
              </w:rPr>
              <w:t>Located in the heart of Wellington – New Zealand’s capital</w:t>
            </w:r>
          </w:p>
        </w:tc>
        <w:tc>
          <w:tcPr>
            <w:tcW w:w="17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Courtenay Central</w:t>
            </w: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city – this center is comprised of 161,071 square feet of</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land situated proximate to the Te Papa Tongarewa Museum</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(attracting over 1.5 million visitors annually), across the</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street  from  the  site  of  Wellington’s  newly  announced</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convention center (estimated to open its doors in 2022) and</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at a major public transit hub.</w:t>
            </w: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Damage from the 2016</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earthquake  necessitated  demolition  of  our  nine-story</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parking garage at the site, and unrelated seismic issues have</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caused us to close portions of the existing cinema and retail</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structure while we reevaluate the center for redevelopment</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as an entertainment themed urban center with a major food</w:t>
            </w:r>
          </w:p>
        </w:tc>
        <w:tc>
          <w:tcPr>
            <w:tcW w:w="1700" w:type="dxa"/>
            <w:vAlign w:val="bottom"/>
          </w:tcPr>
          <w:p>
            <w:pPr>
              <w:spacing w:after="0"/>
              <w:rPr>
                <w:sz w:val="12"/>
                <w:szCs w:val="12"/>
                <w:color w:val="auto"/>
              </w:rPr>
            </w:pPr>
          </w:p>
        </w:tc>
      </w:tr>
      <w:tr>
        <w:trPr>
          <w:trHeight w:val="182"/>
        </w:trPr>
        <w:tc>
          <w:tcPr>
            <w:tcW w:w="11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and grocery component.</w:t>
            </w:r>
          </w:p>
        </w:tc>
        <w:tc>
          <w:tcPr>
            <w:tcW w:w="16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63"/>
        </w:trPr>
        <w:tc>
          <w:tcPr>
            <w:tcW w:w="11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w w:val="97"/>
              </w:rPr>
              <w:t>Wellington continues to be rated as one of the top cities in</w:t>
            </w:r>
          </w:p>
        </w:tc>
        <w:tc>
          <w:tcPr>
            <w:tcW w:w="1700" w:type="dxa"/>
            <w:vAlign w:val="bottom"/>
          </w:tcPr>
          <w:p>
            <w:pPr>
              <w:spacing w:after="0"/>
              <w:rPr>
                <w:sz w:val="22"/>
                <w:szCs w:val="2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the world in which to live, and we continue to believe that</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the Courtenay Central site is located in one of the most</w:t>
            </w:r>
          </w:p>
        </w:tc>
        <w:tc>
          <w:tcPr>
            <w:tcW w:w="170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vibrant and growing commercial and entertainment sections</w:t>
            </w:r>
          </w:p>
        </w:tc>
        <w:tc>
          <w:tcPr>
            <w:tcW w:w="1700" w:type="dxa"/>
            <w:vAlign w:val="bottom"/>
          </w:tcPr>
          <w:p>
            <w:pPr>
              <w:spacing w:after="0"/>
              <w:rPr>
                <w:sz w:val="12"/>
                <w:szCs w:val="12"/>
                <w:color w:val="auto"/>
              </w:rPr>
            </w:pPr>
          </w:p>
        </w:tc>
      </w:tr>
      <w:tr>
        <w:trPr>
          <w:trHeight w:val="182"/>
        </w:trPr>
        <w:tc>
          <w:tcPr>
            <w:tcW w:w="11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of Wellington.</w:t>
            </w:r>
          </w:p>
        </w:tc>
        <w:tc>
          <w:tcPr>
            <w:tcW w:w="16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1"/>
        </w:trPr>
        <w:tc>
          <w:tcPr>
            <w:tcW w:w="11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2"/>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23"/>
        </w:trPr>
        <w:tc>
          <w:tcPr>
            <w:tcW w:w="1180" w:type="dxa"/>
            <w:vAlign w:val="bottom"/>
          </w:tcPr>
          <w:p>
            <w:pPr>
              <w:ind w:left="40"/>
              <w:spacing w:after="0" w:line="123" w:lineRule="exact"/>
              <w:rPr>
                <w:sz w:val="20"/>
                <w:szCs w:val="20"/>
                <w:color w:val="auto"/>
              </w:rPr>
            </w:pPr>
            <w:r>
              <w:rPr>
                <w:rFonts w:ascii="Arial" w:cs="Arial" w:eastAsia="Arial" w:hAnsi="Arial"/>
                <w:sz w:val="14"/>
                <w:szCs w:val="14"/>
                <w:b w:val="1"/>
                <w:bCs w:val="1"/>
                <w:color w:val="auto"/>
                <w:w w:val="99"/>
              </w:rPr>
              <w:t xml:space="preserve">Real Estate </w:t>
            </w:r>
            <w:r>
              <w:rPr>
                <w:rFonts w:ascii="Arial" w:cs="Arial" w:eastAsia="Arial" w:hAnsi="Arial"/>
                <w:sz w:val="14"/>
                <w:szCs w:val="14"/>
                <w:color w:val="auto"/>
                <w:w w:val="99"/>
              </w:rPr>
              <w:t>/ Live</w:t>
            </w:r>
          </w:p>
        </w:tc>
        <w:tc>
          <w:tcPr>
            <w:tcW w:w="3620" w:type="dxa"/>
            <w:vAlign w:val="bottom"/>
          </w:tcPr>
          <w:p>
            <w:pPr>
              <w:ind w:left="2760"/>
              <w:spacing w:after="0" w:line="123" w:lineRule="exact"/>
              <w:rPr>
                <w:sz w:val="20"/>
                <w:szCs w:val="20"/>
                <w:color w:val="auto"/>
              </w:rPr>
            </w:pPr>
            <w:r>
              <w:rPr>
                <w:rFonts w:ascii="Arial" w:cs="Arial" w:eastAsia="Arial" w:hAnsi="Arial"/>
                <w:sz w:val="14"/>
                <w:szCs w:val="14"/>
                <w:color w:val="auto"/>
                <w:w w:val="99"/>
              </w:rPr>
              <w:t>United States</w:t>
            </w:r>
          </w:p>
        </w:tc>
        <w:tc>
          <w:tcPr>
            <w:tcW w:w="3620" w:type="dxa"/>
            <w:vAlign w:val="bottom"/>
            <w:gridSpan w:val="2"/>
          </w:tcPr>
          <w:p>
            <w:pPr>
              <w:ind w:left="100"/>
              <w:spacing w:after="0" w:line="123" w:lineRule="exact"/>
              <w:rPr>
                <w:sz w:val="20"/>
                <w:szCs w:val="20"/>
                <w:color w:val="auto"/>
              </w:rPr>
            </w:pPr>
            <w:r>
              <w:rPr>
                <w:rFonts w:ascii="Arial" w:cs="Arial" w:eastAsia="Arial" w:hAnsi="Arial"/>
                <w:sz w:val="14"/>
                <w:szCs w:val="14"/>
                <w:color w:val="auto"/>
                <w:w w:val="94"/>
              </w:rPr>
              <w:t>We continue to operate three (3) off-Broadway live theatres,</w:t>
            </w:r>
          </w:p>
        </w:tc>
        <w:tc>
          <w:tcPr>
            <w:tcW w:w="1700" w:type="dxa"/>
            <w:vAlign w:val="bottom"/>
          </w:tcPr>
          <w:p>
            <w:pPr>
              <w:ind w:left="60"/>
              <w:spacing w:after="0" w:line="123" w:lineRule="exact"/>
              <w:rPr>
                <w:sz w:val="20"/>
                <w:szCs w:val="20"/>
                <w:color w:val="auto"/>
              </w:rPr>
            </w:pPr>
            <w:r>
              <w:rPr>
                <w:rFonts w:ascii="Arial" w:cs="Arial" w:eastAsia="Arial" w:hAnsi="Arial"/>
                <w:sz w:val="14"/>
                <w:szCs w:val="14"/>
                <w:color w:val="auto"/>
              </w:rPr>
              <w:t>Liberty Theatres</w:t>
            </w:r>
          </w:p>
        </w:tc>
      </w:tr>
      <w:tr>
        <w:trPr>
          <w:trHeight w:val="145"/>
        </w:trPr>
        <w:tc>
          <w:tcPr>
            <w:tcW w:w="1180" w:type="dxa"/>
            <w:vAlign w:val="bottom"/>
          </w:tcPr>
          <w:p>
            <w:pPr>
              <w:ind w:left="40"/>
              <w:spacing w:after="0" w:line="145" w:lineRule="exact"/>
              <w:rPr>
                <w:sz w:val="20"/>
                <w:szCs w:val="20"/>
                <w:color w:val="auto"/>
              </w:rPr>
            </w:pPr>
            <w:r>
              <w:rPr>
                <w:rFonts w:ascii="Arial" w:cs="Arial" w:eastAsia="Arial" w:hAnsi="Arial"/>
                <w:sz w:val="14"/>
                <w:szCs w:val="14"/>
                <w:color w:val="auto"/>
              </w:rPr>
              <w:t>Theatre</w:t>
            </w:r>
          </w:p>
        </w:tc>
        <w:tc>
          <w:tcPr>
            <w:tcW w:w="3620" w:type="dxa"/>
            <w:vAlign w:val="bottom"/>
          </w:tcPr>
          <w:p>
            <w:pPr>
              <w:spacing w:after="0"/>
              <w:rPr>
                <w:sz w:val="12"/>
                <w:szCs w:val="12"/>
                <w:color w:val="auto"/>
              </w:rPr>
            </w:pPr>
          </w:p>
        </w:tc>
        <w:tc>
          <w:tcPr>
            <w:tcW w:w="362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one (1) in Chicago and two (2) in Manhattan, New York,</w:t>
            </w:r>
          </w:p>
        </w:tc>
        <w:tc>
          <w:tcPr>
            <w:tcW w:w="1700" w:type="dxa"/>
            <w:vAlign w:val="bottom"/>
          </w:tcPr>
          <w:p>
            <w:pPr>
              <w:spacing w:after="0"/>
              <w:rPr>
                <w:sz w:val="12"/>
                <w:szCs w:val="12"/>
                <w:color w:val="auto"/>
              </w:rPr>
            </w:pPr>
          </w:p>
        </w:tc>
      </w:tr>
      <w:tr>
        <w:trPr>
          <w:trHeight w:val="153"/>
        </w:trPr>
        <w:tc>
          <w:tcPr>
            <w:tcW w:w="11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62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 xml:space="preserve">under the </w:t>
            </w:r>
            <w:r>
              <w:rPr>
                <w:rFonts w:ascii="Arial" w:cs="Arial" w:eastAsia="Arial" w:hAnsi="Arial"/>
                <w:sz w:val="14"/>
                <w:szCs w:val="14"/>
                <w:b w:val="1"/>
                <w:bCs w:val="1"/>
                <w:color w:val="auto"/>
              </w:rPr>
              <w:t>Liberty Theatres</w:t>
            </w:r>
            <w:r>
              <w:rPr>
                <w:rFonts w:ascii="Arial" w:cs="Arial" w:eastAsia="Arial" w:hAnsi="Arial"/>
                <w:sz w:val="14"/>
                <w:szCs w:val="14"/>
                <w:color w:val="auto"/>
              </w:rPr>
              <w:t xml:space="preserve"> tradename. In 2018, we</w:t>
            </w:r>
          </w:p>
        </w:tc>
        <w:tc>
          <w:tcPr>
            <w:tcW w:w="1700" w:type="dxa"/>
            <w:vAlign w:val="bottom"/>
          </w:tcPr>
          <w:p>
            <w:pPr>
              <w:spacing w:after="0"/>
              <w:rPr>
                <w:sz w:val="13"/>
                <w:szCs w:val="13"/>
                <w:color w:val="auto"/>
              </w:rPr>
            </w:pPr>
          </w:p>
        </w:tc>
      </w:tr>
      <w:tr>
        <w:trPr>
          <w:trHeight w:val="161"/>
        </w:trPr>
        <w:tc>
          <w:tcPr>
            <w:tcW w:w="11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entered into a license with Audible, a subsidiary of</w:t>
            </w:r>
          </w:p>
        </w:tc>
        <w:tc>
          <w:tcPr>
            <w:tcW w:w="17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-2310765</wp:posOffset>
            </wp:positionV>
            <wp:extent cx="1355090" cy="523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55090" cy="523240"/>
                    </a:xfrm>
                    <a:prstGeom prst="rect">
                      <a:avLst/>
                    </a:prstGeom>
                    <a:noFill/>
                  </pic:spPr>
                </pic:pic>
              </a:graphicData>
            </a:graphic>
          </wp:anchor>
        </w:drawing>
        <w:drawing>
          <wp:anchor simplePos="0" relativeHeight="251657728" behindDoc="1" locked="0" layoutInCell="0" allowOverlap="1">
            <wp:simplePos x="0" y="0"/>
            <wp:positionH relativeFrom="column">
              <wp:posOffset>1069340</wp:posOffset>
            </wp:positionH>
            <wp:positionV relativeFrom="paragraph">
              <wp:posOffset>-372110</wp:posOffset>
            </wp:positionV>
            <wp:extent cx="100330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257175"/>
                    </a:xfrm>
                    <a:prstGeom prst="rect">
                      <a:avLst/>
                    </a:prstGeom>
                    <a:noFill/>
                  </pic:spPr>
                </pic:pic>
              </a:graphicData>
            </a:graphic>
          </wp:anchor>
        </w:drawing>
      </w:r>
    </w:p>
    <w:p>
      <w:pPr>
        <w:ind w:left="4900"/>
        <w:spacing w:after="0" w:line="221" w:lineRule="auto"/>
        <w:rPr>
          <w:sz w:val="20"/>
          <w:szCs w:val="20"/>
          <w:color w:val="auto"/>
        </w:rPr>
      </w:pPr>
      <w:r>
        <w:rPr>
          <w:rFonts w:ascii="Arial" w:cs="Arial" w:eastAsia="Arial" w:hAnsi="Arial"/>
          <w:sz w:val="14"/>
          <w:szCs w:val="14"/>
          <w:color w:val="auto"/>
        </w:rPr>
        <w:t>Amazon, pursuant to which our Minetta Lane Theatre</w:t>
      </w:r>
    </w:p>
    <w:p>
      <w:pPr>
        <w:ind w:left="4900"/>
        <w:spacing w:after="0"/>
        <w:rPr>
          <w:sz w:val="20"/>
          <w:szCs w:val="20"/>
          <w:color w:val="auto"/>
        </w:rPr>
      </w:pPr>
      <w:r>
        <w:rPr>
          <w:rFonts w:ascii="Arial" w:cs="Arial" w:eastAsia="Arial" w:hAnsi="Arial"/>
          <w:sz w:val="14"/>
          <w:szCs w:val="14"/>
          <w:color w:val="auto"/>
        </w:rPr>
        <w:t>serves as Audible’s live theatre home in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423025"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23025" cy="34290"/>
                    </a:xfrm>
                    <a:prstGeom prst="rect">
                      <a:avLst/>
                    </a:prstGeom>
                    <a:noFill/>
                  </pic:spPr>
                </pic:pic>
              </a:graphicData>
            </a:graphic>
          </wp:anchor>
        </w:drawing>
      </w:r>
    </w:p>
    <w:p>
      <w:pPr>
        <w:spacing w:after="0" w:line="23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synergistically bring together cinema based entertainment and real estate and believe that these two business segments complement one another, as our cinemas have historically provided the steady cash flows that allow us to be opportunistic in acquiring and holding real estate assets (including non-income producing land) and support our real estate development activities. Our real estate allows us to develop an asset base that we believe will stand the test of time and one that is capable of providing financial leverage. More specifically, the combination of these two segments provides a variety of business advantages including the following:</w:t>
      </w:r>
    </w:p>
    <w:p>
      <w:pPr>
        <w:spacing w:after="0" w:line="37" w:lineRule="exact"/>
        <w:rPr>
          <w:sz w:val="20"/>
          <w:szCs w:val="20"/>
          <w:color w:val="auto"/>
        </w:rPr>
      </w:pPr>
    </w:p>
    <w:p>
      <w:pPr>
        <w:ind w:left="640" w:right="100" w:hanging="320"/>
        <w:spacing w:after="0" w:line="220" w:lineRule="auto"/>
        <w:tabs>
          <w:tab w:leader="none" w:pos="6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Cinema Anchor Tenancy</w:t>
      </w:r>
      <w:r>
        <w:rPr>
          <w:rFonts w:ascii="Arial" w:cs="Arial" w:eastAsia="Arial" w:hAnsi="Arial"/>
          <w:sz w:val="18"/>
          <w:szCs w:val="18"/>
          <w:color w:val="auto"/>
        </w:rPr>
        <w:t>. Cinemas can be used as anchors for larger retail developments (referred to as entertainment-themed</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or “ETCs”), and our involvement in the cinema business can give us an advantage over other real estate developers or redevelopers who must identify and negotiate with third party anchor tenants. We have used cinemas to create our own anchors at our five (5) ETCs.</w:t>
      </w:r>
    </w:p>
    <w:p>
      <w:pPr>
        <w:spacing w:after="0" w:line="83" w:lineRule="exact"/>
        <w:rPr>
          <w:rFonts w:ascii="Arial" w:cs="Arial" w:eastAsia="Arial" w:hAnsi="Arial"/>
          <w:sz w:val="29"/>
          <w:szCs w:val="29"/>
          <w:color w:val="auto"/>
          <w:vertAlign w:val="superscript"/>
        </w:rPr>
      </w:pPr>
    </w:p>
    <w:p>
      <w:pPr>
        <w:ind w:left="640" w:right="20" w:hanging="320"/>
        <w:spacing w:after="0" w:line="269" w:lineRule="auto"/>
        <w:tabs>
          <w:tab w:leader="none" w:pos="64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i w:val="1"/>
          <w:iCs w:val="1"/>
          <w:color w:val="auto"/>
        </w:rPr>
        <w:t>Reduced Pressure to Deliver Cinema Business Growth</w:t>
      </w:r>
      <w:r>
        <w:rPr>
          <w:rFonts w:ascii="Arial" w:cs="Arial" w:eastAsia="Arial" w:hAnsi="Arial"/>
          <w:sz w:val="16"/>
          <w:szCs w:val="16"/>
          <w:color w:val="auto"/>
        </w:rPr>
        <w:t>. Pure cinema operators can encounter financial difficulty as demands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them to produce cinema-based earnings growth tempt them into reinvesting their cash flow into increasingly marginal cinema sites, overpaying for existing cinemas or entering into high-rent leases. While we believe that there will continue to be attractive opportunities to acquire cinema assets and/or to develop upper-end specialty type theaters in the future, we do not feel pressure to build or acquire cinemas for the sake of adding units or building gross cinema revenues. This strategy has, over the years, allowed us to acquire cinemas at multiples of trailing theater cash flow below those paid by third parties in recent acquisitions. We intend to focus our use of cash flow on our real estate development and operating activities, to the extent that attractive cinema opportunities are not available to us or that such funds are not needed for reinvestment to maintain our cinemas in a competitive position. In 2018, we invested approximately $24.0 million in the upgrading and repositioning of our historic cinema assets or adding new cinemas, and approximately $30.7 million in the acquisition or development of our non-cinema real estate assets.</w:t>
      </w:r>
    </w:p>
    <w:p>
      <w:pPr>
        <w:spacing w:after="0" w:line="64" w:lineRule="exact"/>
        <w:rPr>
          <w:rFonts w:ascii="Arial" w:cs="Arial" w:eastAsia="Arial" w:hAnsi="Arial"/>
          <w:sz w:val="26"/>
          <w:szCs w:val="26"/>
          <w:color w:val="auto"/>
          <w:vertAlign w:val="superscript"/>
        </w:rPr>
      </w:pPr>
    </w:p>
    <w:p>
      <w:pPr>
        <w:ind w:left="640" w:right="320" w:hanging="320"/>
        <w:spacing w:after="0" w:line="223" w:lineRule="auto"/>
        <w:tabs>
          <w:tab w:leader="none" w:pos="6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i w:val="1"/>
          <w:iCs w:val="1"/>
          <w:color w:val="auto"/>
        </w:rPr>
        <w:t>Flexibility in Property Use</w:t>
      </w:r>
      <w:r>
        <w:rPr>
          <w:rFonts w:ascii="Arial" w:cs="Arial" w:eastAsia="Arial" w:hAnsi="Arial"/>
          <w:sz w:val="17"/>
          <w:szCs w:val="17"/>
          <w:color w:val="auto"/>
        </w:rPr>
        <w:t>. We are always open to the idea of converting an entertainment property to another use, if there is a</w:t>
      </w:r>
      <w:r>
        <w:rPr>
          <w:rFonts w:ascii="Arial" w:cs="Arial" w:eastAsia="Arial" w:hAnsi="Arial"/>
          <w:sz w:val="17"/>
          <w:szCs w:val="17"/>
          <w:i w:val="1"/>
          <w:iCs w:val="1"/>
          <w:color w:val="auto"/>
        </w:rPr>
        <w:t xml:space="preserve"> </w:t>
      </w:r>
      <w:r>
        <w:rPr>
          <w:rFonts w:ascii="Arial" w:cs="Arial" w:eastAsia="Arial" w:hAnsi="Arial"/>
          <w:sz w:val="17"/>
          <w:szCs w:val="17"/>
          <w:color w:val="auto"/>
        </w:rPr>
        <w:t>higher and better use for the property, or to sell individual assets if an attractive opportunity presents itself. Our Union Square property, which is in the final stages of redevelopment was initially acquired as an entertainment property.</w:t>
      </w:r>
    </w:p>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Insofar as we are aware, we are the only publicly traded company in the world to apply this two-track, synergistic approach to the cinema and real estate development businesses on an international basis. None of the major cinema exhibition companies (other than Marcus Theatres) have any material landholdings as they operate predominantly on a leased-facility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Mix and Impact of Foreign Currency Fluctuations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worked to maintain a balance both between our cinema and real estate assets and between our U.S. and our Australian and New Zealand assets. In 2018, we invested approximately $40.6 million in our U.S. assets: $23.4 million for the development of our real estate assets (principally construction of our Union Square property) and $17.2 million for the improvements of our cinema assets (principally upgrading our offerings at our existing cinemas). We invested approximately $12.3 million in our Australian assets: $6.4 million for the development of our real estate assets (principally at our Auburn (Sydney) shopping centers), and $6.0 million for the development of our cinema assets (principally renovations of our cinemas at Auburn, Elizabeth, and Charlestown and the upgrade of certain other cinemas). We invested approximately $1.8 million in our New Zealand assets: $1.0 million for the development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228" w:right="879" w:bottom="1440" w:gutter="0" w:footer="0" w:header="0"/>
        </w:sectPr>
      </w:pPr>
    </w:p>
    <w:bookmarkStart w:id="14" w:name="page15"/>
    <w:bookmarkEnd w:id="14"/>
    <w:p>
      <w:pPr>
        <w:ind w:right="20"/>
        <w:spacing w:after="0" w:line="277" w:lineRule="auto"/>
        <w:rPr>
          <w:sz w:val="20"/>
          <w:szCs w:val="20"/>
          <w:color w:val="auto"/>
        </w:rPr>
      </w:pPr>
      <w:r>
        <w:rPr>
          <w:rFonts w:ascii="Arial" w:cs="Arial" w:eastAsia="Arial" w:hAnsi="Arial"/>
          <w:sz w:val="18"/>
          <w:szCs w:val="18"/>
          <w:color w:val="auto"/>
        </w:rPr>
        <w:t>real estate assets (principally towards the redevelopment of our Courtenay Central assets), and approximately $817,000 for the development of cinema assets (principally upgrades).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shown in the chart set forth the International Business Risks section below, exchange rates for the currencies of these jurisdictions have varied, sometimes materially. These ratios naturally have an impact on our revenues and asset values, which are reported in USD. Notwithstanding these fluctuations, we continue to believe that, over the long term, operating in Australia and New Zealand is a prudent diversification of risk. Australia has been identified by the United Nations as among the Top 10 countries in the World in terms of natural resources per person. Deutsche Bank has twice named Wellington the best place in the world to live. In 2013, the Organization for Economic Co-operation and Development rated Australia as the best place to live and work in the world. In our view, the economies of Australian and New Zealand are stable economies and their lifestyles support our entertainment/lifestyle focus.</w:t>
      </w:r>
    </w:p>
    <w:p>
      <w:pPr>
        <w:spacing w:after="0" w:line="16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At December 31, 2018, the book value of our assets was $439.0 million, and, as of that same date, we had a consolidated stockholders’ book equity of $180.5 million. Calculated based on book value, $138.9 million, or 32% of our assets, relate to our cinema exhibition activities and $263.8 million, or 60%, of our assets, relate to our real estate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124460</wp:posOffset>
            </wp:positionV>
            <wp:extent cx="3730625" cy="1620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3062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For additional segment financial information, please see </w:t>
      </w:r>
      <w:r>
        <w:rPr>
          <w:rFonts w:ascii="Arial" w:cs="Arial" w:eastAsia="Arial" w:hAnsi="Arial"/>
          <w:sz w:val="18"/>
          <w:szCs w:val="18"/>
          <w:i w:val="1"/>
          <w:iCs w:val="1"/>
          <w:color w:val="auto"/>
        </w:rPr>
        <w:t>Note 1 – Description of Business and Segment Reporting</w:t>
      </w:r>
      <w:r>
        <w:rPr>
          <w:rFonts w:ascii="Arial" w:cs="Arial" w:eastAsia="Arial" w:hAnsi="Arial"/>
          <w:sz w:val="18"/>
          <w:szCs w:val="18"/>
          <w:color w:val="auto"/>
        </w:rPr>
        <w:t xml:space="preserve"> to our 2018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have diversified our assets among three countries: the United States, Australia, and New Zealand. Based on book value, at</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December 31, 2018, we had approximately 50% of our assets in the United States, 36% in Australia and 14% in New Zealand compared to 45%, 40%, and 15% respectively, at the end of 2017. This increase in U.S. assets is principally due to our investments in the redevelopment of Union Square and the upgrades to our domestic cinema assets, as well as the continued strengthening of the U.S. dollar compared to the Australian and the New Zealand dollar.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2018, we had cash and cash equivalents of $13.1 million, which are treated as a corporate assets. Our cash included</w:t>
      </w:r>
    </w:p>
    <w:p>
      <w:pPr>
        <w:spacing w:after="0" w:line="46"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$7.6 million denominated in U.S. dollars, $3.5 million (AU $4.9 million) in Australian dollars, and $2.0 million (NZ$3.0 million) in New Zealand dollars. We had total worldwide non-current assets of $408.7 million, distributed as follows: $203.8 million in the United States, $147.4 million (AU$209.2 million) in Australia and $57.5 million (NZ$85.7 million) in New Zealand. We had $55.6 unused capacity of available and unrestricted corporate credit facilities at December 31, 2018.</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2018, our gross revenues in the United States, Australia, and New Zealand were $165.8 million, $111.7 million, and $31.9 million, respectively, compared to $143.8 million, $106.5 million, and $29.7 million for 2017. All three countries posted revenue increases in 2018 as a result of higher cinema attendance in all three of our circuits.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124460</wp:posOffset>
            </wp:positionV>
            <wp:extent cx="1689735" cy="1483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8973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CINEMA EXHIBITION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Overall</w:t>
      </w:r>
    </w:p>
    <w:p>
      <w:pPr>
        <w:spacing w:after="0" w:line="225" w:lineRule="exact"/>
        <w:rPr>
          <w:sz w:val="20"/>
          <w:szCs w:val="20"/>
          <w:color w:val="auto"/>
        </w:rPr>
      </w:pPr>
    </w:p>
    <w:p>
      <w:pPr>
        <w:jc w:val="both"/>
        <w:ind w:right="700"/>
        <w:spacing w:after="0" w:line="286" w:lineRule="auto"/>
        <w:rPr>
          <w:sz w:val="20"/>
          <w:szCs w:val="20"/>
          <w:color w:val="auto"/>
        </w:rPr>
      </w:pPr>
      <w:r>
        <w:rPr>
          <w:rFonts w:ascii="Arial" w:cs="Arial" w:eastAsia="Arial" w:hAnsi="Arial"/>
          <w:sz w:val="17"/>
          <w:szCs w:val="17"/>
          <w:color w:val="auto"/>
        </w:rPr>
        <w:t>We are dedicated to creating engaging cinema experiences for our guests through hospitality-styled comfort and service, cinematic presentation, uniquely designed venues, curated film and event programming, and crafted food and beverage options. As discussed previously, we manage our worldwide cinema exhibition business under various brands.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Shown in the following table are the number of locations and theatre screens in our theatre circuit in each country, by state/territory/ region and indicating our cinema brands and our interest in the underlying asset as of December 31, 2018:</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3"/>
          </w:tcPr>
          <w:p>
            <w:pPr>
              <w:ind w:left="440"/>
              <w:spacing w:after="0" w:line="153" w:lineRule="exact"/>
              <w:rPr>
                <w:sz w:val="20"/>
                <w:szCs w:val="20"/>
                <w:color w:val="auto"/>
              </w:rPr>
            </w:pPr>
            <w:r>
              <w:rPr>
                <w:rFonts w:ascii="Arial" w:cs="Arial" w:eastAsia="Arial" w:hAnsi="Arial"/>
                <w:sz w:val="14"/>
                <w:szCs w:val="14"/>
                <w:b w:val="1"/>
                <w:bCs w:val="1"/>
                <w:color w:val="auto"/>
              </w:rPr>
              <w:t>Interest in Asset</w:t>
            </w:r>
          </w:p>
        </w:tc>
        <w:tc>
          <w:tcPr>
            <w:tcW w:w="16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tcPr>
          <w:p>
            <w:pPr>
              <w:spacing w:after="0"/>
              <w:rPr>
                <w:sz w:val="13"/>
                <w:szCs w:val="13"/>
                <w:color w:val="auto"/>
              </w:rPr>
            </w:pPr>
          </w:p>
        </w:tc>
      </w:tr>
      <w:tr>
        <w:trPr>
          <w:trHeight w:val="178"/>
        </w:trPr>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ind w:left="260"/>
              <w:spacing w:after="0"/>
              <w:rPr>
                <w:sz w:val="20"/>
                <w:szCs w:val="20"/>
                <w:color w:val="auto"/>
              </w:rPr>
            </w:pPr>
            <w:r>
              <w:rPr>
                <w:rFonts w:ascii="Arial" w:cs="Arial" w:eastAsia="Arial" w:hAnsi="Arial"/>
                <w:sz w:val="14"/>
                <w:szCs w:val="14"/>
                <w:b w:val="1"/>
                <w:bCs w:val="1"/>
                <w:color w:val="auto"/>
              </w:rPr>
              <w:t>State / Territory /</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Location</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Screen</w:t>
            </w:r>
          </w:p>
        </w:tc>
        <w:tc>
          <w:tcPr>
            <w:tcW w:w="18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Underlying the Cinema</w:t>
            </w:r>
          </w:p>
        </w:tc>
        <w:tc>
          <w:tcPr>
            <w:tcW w:w="16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03"/>
        </w:trPr>
        <w:tc>
          <w:tcPr>
            <w:tcW w:w="158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180" w:type="dxa"/>
            <w:vAlign w:val="bottom"/>
          </w:tcPr>
          <w:p>
            <w:pPr>
              <w:spacing w:after="0"/>
              <w:rPr>
                <w:sz w:val="17"/>
                <w:szCs w:val="17"/>
                <w:color w:val="auto"/>
              </w:rPr>
            </w:pPr>
          </w:p>
        </w:tc>
        <w:tc>
          <w:tcPr>
            <w:tcW w:w="1580" w:type="dxa"/>
            <w:vAlign w:val="bottom"/>
          </w:tcPr>
          <w:p>
            <w:pPr>
              <w:ind w:left="580"/>
              <w:spacing w:after="0"/>
              <w:rPr>
                <w:sz w:val="20"/>
                <w:szCs w:val="20"/>
                <w:color w:val="auto"/>
              </w:rPr>
            </w:pPr>
            <w:r>
              <w:rPr>
                <w:rFonts w:ascii="Arial" w:cs="Arial" w:eastAsia="Arial" w:hAnsi="Arial"/>
                <w:sz w:val="14"/>
                <w:szCs w:val="14"/>
                <w:b w:val="1"/>
                <w:bCs w:val="1"/>
                <w:color w:val="auto"/>
              </w:rPr>
              <w:t>Region</w:t>
            </w:r>
          </w:p>
        </w:tc>
        <w:tc>
          <w:tcPr>
            <w:tcW w:w="1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Count</w:t>
            </w:r>
          </w:p>
        </w:tc>
        <w:tc>
          <w:tcPr>
            <w:tcW w:w="16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Count</w:t>
            </w:r>
          </w:p>
        </w:tc>
        <w:tc>
          <w:tcPr>
            <w:tcW w:w="160" w:type="dxa"/>
            <w:vAlign w:val="bottom"/>
          </w:tcPr>
          <w:p>
            <w:pPr>
              <w:spacing w:after="0"/>
              <w:rPr>
                <w:sz w:val="17"/>
                <w:szCs w:val="17"/>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Leased</w:t>
            </w:r>
          </w:p>
        </w:tc>
        <w:tc>
          <w:tcPr>
            <w:tcW w:w="140" w:type="dxa"/>
            <w:vAlign w:val="bottom"/>
          </w:tcPr>
          <w:p>
            <w:pPr>
              <w:spacing w:after="0"/>
              <w:rPr>
                <w:sz w:val="17"/>
                <w:szCs w:val="17"/>
                <w:color w:val="auto"/>
              </w:rPr>
            </w:pP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Owned</w:t>
            </w:r>
          </w:p>
        </w:tc>
        <w:tc>
          <w:tcPr>
            <w:tcW w:w="29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 Brands</w:t>
            </w:r>
          </w:p>
        </w:tc>
      </w:tr>
      <w:tr>
        <w:trPr>
          <w:trHeight w:val="27"/>
        </w:trPr>
        <w:tc>
          <w:tcPr>
            <w:tcW w:w="1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760" w:type="dxa"/>
            <w:vAlign w:val="bottom"/>
            <w:shd w:val="clear" w:color="auto" w:fill="000000"/>
          </w:tcPr>
          <w:p>
            <w:pPr>
              <w:spacing w:after="0"/>
              <w:rPr>
                <w:sz w:val="2"/>
                <w:szCs w:val="2"/>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Hawaii</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Consolidated Theatres</w:t>
            </w:r>
          </w:p>
        </w:tc>
      </w:tr>
      <w:tr>
        <w:trPr>
          <w:trHeight w:val="216"/>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California</w:t>
            </w:r>
          </w:p>
        </w:tc>
        <w:tc>
          <w:tcPr>
            <w:tcW w:w="760" w:type="dxa"/>
            <w:vAlign w:val="bottom"/>
          </w:tcPr>
          <w:p>
            <w:pPr>
              <w:jc w:val="center"/>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88</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Reading Cinemas, Angelika Film Center</w:t>
            </w:r>
          </w:p>
        </w:tc>
      </w:tr>
      <w:tr>
        <w:trPr>
          <w:trHeight w:val="216"/>
        </w:trPr>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w:t>
            </w:r>
            <w:r>
              <w:rPr>
                <w:rFonts w:ascii="Arial" w:cs="Arial" w:eastAsia="Arial" w:hAnsi="Arial"/>
                <w:sz w:val="7"/>
                <w:szCs w:val="7"/>
                <w:color w:val="auto"/>
              </w:rPr>
              <w:t>(3)</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Angelika Film Center, City Cinemas</w:t>
            </w:r>
          </w:p>
        </w:tc>
      </w:tr>
      <w:tr>
        <w:trPr>
          <w:trHeight w:val="216"/>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Texas</w:t>
            </w:r>
          </w:p>
        </w:tc>
        <w:tc>
          <w:tcPr>
            <w:tcW w:w="760" w:type="dxa"/>
            <w:vAlign w:val="bottom"/>
          </w:tcPr>
          <w:p>
            <w:pPr>
              <w:jc w:val="center"/>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Angelika Film Center</w:t>
            </w:r>
          </w:p>
        </w:tc>
      </w:tr>
      <w:tr>
        <w:trPr>
          <w:trHeight w:val="216"/>
        </w:trPr>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Jersey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Virginia</w:t>
            </w:r>
          </w:p>
        </w:tc>
        <w:tc>
          <w:tcPr>
            <w:tcW w:w="760" w:type="dxa"/>
            <w:vAlign w:val="bottom"/>
          </w:tcPr>
          <w:p>
            <w:pPr>
              <w:jc w:val="center"/>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Angelika Film Center</w:t>
            </w:r>
          </w:p>
        </w:tc>
      </w:tr>
      <w:tr>
        <w:trPr>
          <w:trHeight w:val="216"/>
        </w:trPr>
        <w:tc>
          <w:tcPr>
            <w:tcW w:w="15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Washington DC</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rPr>
              <w:t>Angelika Film Center</w:t>
            </w:r>
          </w:p>
        </w:tc>
      </w:tr>
      <w:tr>
        <w:trPr>
          <w:trHeight w:val="210"/>
        </w:trPr>
        <w:tc>
          <w:tcPr>
            <w:tcW w:w="1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i w:val="1"/>
                <w:iCs w:val="1"/>
                <w:color w:val="auto"/>
              </w:rPr>
              <w:t>U.S. Total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27</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245</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26</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0"/>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Australia</w:t>
            </w: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South Wales</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Victoria</w:t>
            </w:r>
          </w:p>
        </w:tc>
        <w:tc>
          <w:tcPr>
            <w:tcW w:w="760" w:type="dxa"/>
            <w:vAlign w:val="bottom"/>
          </w:tcPr>
          <w:p>
            <w:pPr>
              <w:jc w:val="center"/>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Queensland</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 Event Cinemas</w:t>
            </w:r>
            <w:r>
              <w:rPr>
                <w:rFonts w:ascii="Arial" w:cs="Arial" w:eastAsia="Arial" w:hAnsi="Arial"/>
                <w:sz w:val="7"/>
                <w:szCs w:val="7"/>
                <w:color w:val="auto"/>
              </w:rPr>
              <w:t>(1)</w:t>
            </w:r>
          </w:p>
        </w:tc>
      </w:tr>
      <w:tr>
        <w:trPr>
          <w:trHeight w:val="216"/>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Western Australia</w:t>
            </w:r>
          </w:p>
        </w:tc>
        <w:tc>
          <w:tcPr>
            <w:tcW w:w="760" w:type="dxa"/>
            <w:vAlign w:val="bottom"/>
          </w:tcPr>
          <w:p>
            <w:pPr>
              <w:jc w:val="center"/>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w:t>
            </w: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South Australia</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0"/>
        </w:trPr>
        <w:tc>
          <w:tcPr>
            <w:tcW w:w="1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i w:val="1"/>
                <w:iCs w:val="1"/>
                <w:color w:val="auto"/>
              </w:rPr>
              <w:t>Australia Total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21</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166</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15</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w:t>
            </w: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0"/>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New Zealand</w:t>
            </w: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Wellington</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Otago</w:t>
            </w:r>
          </w:p>
        </w:tc>
        <w:tc>
          <w:tcPr>
            <w:tcW w:w="760" w:type="dxa"/>
            <w:vAlign w:val="bottom"/>
          </w:tcPr>
          <w:p>
            <w:pPr>
              <w:jc w:val="center"/>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w:t>
            </w: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Auckland</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 Rialto Cinemas</w:t>
            </w:r>
            <w:r>
              <w:rPr>
                <w:rFonts w:ascii="Arial" w:cs="Arial" w:eastAsia="Arial" w:hAnsi="Arial"/>
                <w:sz w:val="7"/>
                <w:szCs w:val="7"/>
                <w:color w:val="auto"/>
              </w:rPr>
              <w:t>(2)</w:t>
            </w:r>
          </w:p>
        </w:tc>
      </w:tr>
      <w:tr>
        <w:trPr>
          <w:trHeight w:val="216"/>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Canterbury</w:t>
            </w:r>
          </w:p>
        </w:tc>
        <w:tc>
          <w:tcPr>
            <w:tcW w:w="760" w:type="dxa"/>
            <w:vAlign w:val="bottom"/>
          </w:tcPr>
          <w:p>
            <w:pPr>
              <w:jc w:val="center"/>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Southland</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Bay of Plenty</w:t>
            </w:r>
          </w:p>
        </w:tc>
        <w:tc>
          <w:tcPr>
            <w:tcW w:w="760" w:type="dxa"/>
            <w:vAlign w:val="bottom"/>
          </w:tcPr>
          <w:p>
            <w:pPr>
              <w:jc w:val="center"/>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w:t>
            </w: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Hawke's Bay</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29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0"/>
        </w:trPr>
        <w:tc>
          <w:tcPr>
            <w:tcW w:w="1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i w:val="1"/>
                <w:iCs w:val="1"/>
                <w:color w:val="auto"/>
              </w:rPr>
              <w:t>New Zealand Total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67</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7"/>
        </w:trPr>
        <w:tc>
          <w:tcPr>
            <w:tcW w:w="1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GRAND TOTAL</w:t>
            </w:r>
          </w:p>
        </w:tc>
        <w:tc>
          <w:tcPr>
            <w:tcW w:w="15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59</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478</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47</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12</w:t>
            </w:r>
          </w:p>
        </w:tc>
        <w:tc>
          <w:tcPr>
            <w:tcW w:w="16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spacing w:after="0"/>
              <w:rPr>
                <w:sz w:val="18"/>
                <w:szCs w:val="18"/>
                <w:color w:val="auto"/>
              </w:rPr>
            </w:pPr>
          </w:p>
        </w:tc>
      </w:tr>
    </w:tbl>
    <w:p>
      <w:pPr>
        <w:spacing w:after="0" w:line="102" w:lineRule="exact"/>
        <w:rPr>
          <w:sz w:val="20"/>
          <w:szCs w:val="20"/>
          <w:color w:val="auto"/>
        </w:rPr>
      </w:pPr>
    </w:p>
    <w:p>
      <w:pPr>
        <w:ind w:left="640" w:hanging="320"/>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has a 33.3% unincorporated joint venture interest in a 16-screen cinema located in Mt. Gravatt, Queensland managed by Event Cinemas.</w:t>
      </w:r>
    </w:p>
    <w:p>
      <w:pPr>
        <w:ind w:left="640" w:right="260" w:hanging="320"/>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is a 50% joint venture partner in two (2) New Zealand Rialto cinemas. We are responsible for the booking of these cinemas and our joint venture partner, Event Cinemas, manages their day-to-day operations.</w:t>
      </w:r>
    </w:p>
    <w:p>
      <w:pPr>
        <w:ind w:left="640" w:hanging="320"/>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New York statistics include one (1) managed cinema.</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January of 2019, we acquired our first cinema in Tasmania, a well-established 4 screen cinema (with liquor license) in Devonport, bringing our current cinema count up to 60. In addition, as of today, we have entered into four lease agreements, providing for the development of an additional 25 state-of-the-art screens. While no assurances can be given, the completion of these four new complexes is anticipated to increase our cinema count to 64 before the end of 2021.</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continue to focus on upgrading our existing cinemas and developing new cinema opportunities to provide our customers with premium offerings, including luxury seating, state-of-the-art presentation including sound, lounges, cafés and bar service, and other amenities. Since 2017 and continuing through 2018, we increased the number of auditoriums featuring recliner seating from 58 to 136. In addition, we added large format TITAN XC or LUXE screen offerings to 18 of our cinemas. Our circuit has been completely converted to digital projection and sound systems. In 2018, we upgraded two of our auditoriums to feature Dolby ATMOS sound which we consider to be the best in the industry at this time.</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Attendance and gross box office was significantly higher for the exhibition industry in the U.S., Australia and New Zealand for 2018, compared to 2017. We believe that the cinema exhibition business will continue to generate increasing cash flows in the years ahead, even in recessionary or inflationary environments, because people will continue to spend a reasonable portion of their entertainment dollars on entertainment outside of the home. When compared to other forms of outside-the-home entertainment, movies continue to be a popular and competitively priced option. We believe that the advent of an array of streaming and mobile video services is a threat to traditional in-home forms of entertainment (such as traditional cable and satellite providers), the creation of new sources of program production will ultimately be beneficial to our industry, as cinema exhibition becomes an increasingly important point of differentiation for the marketing of such product.</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Recognizing that the cinema exhibition business is considered a mature business, we continue to see growth opportunities in our cinema exhibition business principally from (i) the enhancement of our existing cinemas, (ii) the development in select markets of art and specialty cinemas, (iii) the development of new state-of-the-art cinemas on land that we already own or may in the future acquire, and (iv) the development of new mainstream cinemas in selected markets. While we continue to consider possible opportunities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6" w:name="page17"/>
    <w:bookmarkEnd w:id="16"/>
    <w:p>
      <w:pPr>
        <w:ind w:right="400"/>
        <w:spacing w:after="0" w:line="264" w:lineRule="auto"/>
        <w:rPr>
          <w:sz w:val="20"/>
          <w:szCs w:val="20"/>
          <w:color w:val="auto"/>
        </w:rPr>
      </w:pPr>
      <w:r>
        <w:rPr>
          <w:rFonts w:ascii="Arial" w:cs="Arial" w:eastAsia="Arial" w:hAnsi="Arial"/>
          <w:sz w:val="18"/>
          <w:szCs w:val="18"/>
          <w:color w:val="auto"/>
        </w:rPr>
        <w:t>third party developments, we prefer, where possible, to put our capital to work in properties that we own rather than take on potentially burdensome lease obligations with their built-in rent increases and pass-throughs and their dependence on third party shopping center operators.</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We continue to expand and upgrade our circuits on an opportunistic basis. Our philosophy is not one of growth at any cost and our goal is not to have more screens than anyone else. Rather, our goal is to have high quality, consistently grossing cinemas, and to grow on a steady and sustainable basis. During 2018, we continued working on the refurbishment of several of our cinema locations including Manville and Mililani in the U.S., and Charlestown, Elizabeth, and Auburn in the Australia and New Zealand circuits. At the end of 2017, we opened a new cinema at our Newmarket Village Shopping Center in Brisbane, Australia, and re-opened our Cal Oaks cinema, located in Murrieta, California which now features our new “Spotlight” level of service in 6 out of the 17 auditoriums. “Spotlight” puts focus directly on our customers by providing an in-auditorium, waitered, enhanced F&amp;B experience for their enjoyment. We also upgraded 54 of our screens to luxury seating and extended our enhanced food offerings to 25 of our cinemas in 2017. In 2016, we opened an eight-screen, state-of-the-art cinema, branded </w:t>
      </w:r>
      <w:r>
        <w:rPr>
          <w:rFonts w:ascii="Arial" w:cs="Arial" w:eastAsia="Arial" w:hAnsi="Arial"/>
          <w:sz w:val="16"/>
          <w:szCs w:val="16"/>
          <w:i w:val="1"/>
          <w:iCs w:val="1"/>
          <w:color w:val="auto"/>
        </w:rPr>
        <w:t>Olino by Consolidated Theatres</w:t>
      </w:r>
      <w:r>
        <w:rPr>
          <w:rFonts w:ascii="Arial" w:cs="Arial" w:eastAsia="Arial" w:hAnsi="Arial"/>
          <w:sz w:val="16"/>
          <w:szCs w:val="16"/>
          <w:color w:val="auto"/>
        </w:rPr>
        <w:t>, our ninth theatre and first to break ground since 2001 in the state of Hawaii. In 2015, we opened a new state-of-the-art cinema (eight screens) in Auckland, New Zealand, completed the renovation and rebranding as an “Angelika” luxury art cinema of our conventional cinema at the Carmel Mountain Plaza in San Diego, California, completely renovated our fourteen-screen Harbourtown cinema in Queensland, Australia, and added the first IMAX screen to our circuit.</w:t>
      </w:r>
    </w:p>
    <w:p>
      <w:pPr>
        <w:spacing w:after="0" w:line="16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Since 2015, we have consistently executed our strategic priority of upgrading the food and beverage menu at a number of our U.S. cinemas. We are focused on the renovation and upgrading of our existing U.S. cinemas, along the lines of our Carmel Mountain cinema. Working with Bruce Seidel (veteran Food Network executive) of Hot Lemon Productions and chef Santos Loo, we are continuing to upgrade our food and beverage offerings. During 2017, we created our “Spotlight” service concept, which we implemented at our Cal Oaks cinema during 2018. At year-end 2018, we currently have beer and wine, and in some cases liquor, licenses for 14 of our venues in the U.S. and are in the application process for an additional 5 venues. As a result we are currently offering alcoholic beverages at 12 of our U.S. cinemas and two of our live theatres. In our international cinema operations, we offer alcoholic beverages for 11 of our cinemas in Australia and five of our cinemas in New Zealand (which includes the joint ventures).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our principal tangible assets included:</w:t>
      </w:r>
    </w:p>
    <w:p>
      <w:pPr>
        <w:spacing w:after="0" w:line="1" w:lineRule="exact"/>
        <w:rPr>
          <w:sz w:val="20"/>
          <w:szCs w:val="20"/>
          <w:color w:val="auto"/>
        </w:rPr>
      </w:pPr>
    </w:p>
    <w:p>
      <w:pPr>
        <w:ind w:left="640" w:hanging="320"/>
        <w:spacing w:after="0"/>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interests in 59 cinemas comprising some 478 screens;</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fee interests in three live theaters (the Orpheum and Minetta Lane in Manhattan and the Royal George in Chicago);</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fee interest in one cinema (the Cinemas 1,2,3), in New York City;</w:t>
      </w:r>
    </w:p>
    <w:p>
      <w:pPr>
        <w:spacing w:after="0" w:line="96" w:lineRule="exact"/>
        <w:rPr>
          <w:rFonts w:ascii="Arial" w:cs="Arial" w:eastAsia="Arial" w:hAnsi="Arial"/>
          <w:sz w:val="24"/>
          <w:szCs w:val="24"/>
          <w:color w:val="auto"/>
          <w:vertAlign w:val="superscript"/>
        </w:rPr>
      </w:pPr>
    </w:p>
    <w:p>
      <w:pPr>
        <w:ind w:left="640" w:right="460" w:hanging="320"/>
        <w:spacing w:after="0" w:line="191" w:lineRule="auto"/>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fee interests in two cinemas in Australia (Bundaberg and Maitland) and four cinemas in New Zealand (Dunedin, Invercargill, Napier and Rotorua);</w:t>
      </w:r>
    </w:p>
    <w:p>
      <w:pPr>
        <w:spacing w:after="0" w:line="80" w:lineRule="exact"/>
        <w:rPr>
          <w:rFonts w:ascii="Arial" w:cs="Arial" w:eastAsia="Arial" w:hAnsi="Arial"/>
          <w:sz w:val="29"/>
          <w:szCs w:val="29"/>
          <w:color w:val="auto"/>
          <w:vertAlign w:val="superscript"/>
        </w:rPr>
      </w:pPr>
    </w:p>
    <w:p>
      <w:pPr>
        <w:ind w:left="640" w:hanging="320"/>
        <w:spacing w:after="0" w:line="198" w:lineRule="auto"/>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fee interest in our Union Square property, previously used by us as a live theater venue and for rental to third parties and now in the final stages of redevelopment for retail and office uses;</w:t>
      </w:r>
    </w:p>
    <w:p>
      <w:pPr>
        <w:spacing w:after="0" w:line="80" w:lineRule="exact"/>
        <w:rPr>
          <w:rFonts w:ascii="Arial" w:cs="Arial" w:eastAsia="Arial" w:hAnsi="Arial"/>
          <w:sz w:val="29"/>
          <w:szCs w:val="29"/>
          <w:color w:val="auto"/>
          <w:vertAlign w:val="superscript"/>
        </w:rPr>
      </w:pPr>
    </w:p>
    <w:p>
      <w:pPr>
        <w:ind w:left="640" w:right="300" w:hanging="320"/>
        <w:spacing w:after="0" w:line="198" w:lineRule="auto"/>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our ETCs in Sydney (Redyard Center), Brisbane (Newmarket Village Center), Townsville (Cannon Park), Perth (Belmont) and Wellington (Courtenay Central), each of which includes a Reading Cinema;</w:t>
      </w:r>
    </w:p>
    <w:p>
      <w:pPr>
        <w:spacing w:after="0" w:line="80" w:lineRule="exact"/>
        <w:rPr>
          <w:rFonts w:ascii="Arial" w:cs="Arial" w:eastAsia="Arial" w:hAnsi="Arial"/>
          <w:sz w:val="29"/>
          <w:szCs w:val="29"/>
          <w:color w:val="auto"/>
          <w:vertAlign w:val="superscript"/>
        </w:rPr>
      </w:pPr>
    </w:p>
    <w:p>
      <w:pPr>
        <w:ind w:left="640" w:right="560" w:hanging="320"/>
        <w:spacing w:after="0" w:line="198" w:lineRule="auto"/>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fee interest in 70.4 acres of developable land located between Auckland and the airport, zoned for light industrial and heavy industrial purposes;</w:t>
      </w:r>
    </w:p>
    <w:p>
      <w:pPr>
        <w:spacing w:after="0" w:line="80" w:lineRule="exact"/>
        <w:rPr>
          <w:rFonts w:ascii="Arial" w:cs="Arial" w:eastAsia="Arial" w:hAnsi="Arial"/>
          <w:sz w:val="29"/>
          <w:szCs w:val="29"/>
          <w:color w:val="auto"/>
          <w:vertAlign w:val="superscript"/>
        </w:rPr>
      </w:pPr>
    </w:p>
    <w:p>
      <w:pPr>
        <w:ind w:left="640" w:right="100" w:hanging="320"/>
        <w:spacing w:after="0" w:line="198" w:lineRule="auto"/>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a 50% interest in a special purpose entity holding the fee interest in 202 acres of developable land located in Coachella, California zoned for residential and mixed use purposes;</w:t>
      </w:r>
    </w:p>
    <w:p>
      <w:pPr>
        <w:spacing w:after="0" w:line="80" w:lineRule="exact"/>
        <w:rPr>
          <w:rFonts w:ascii="Arial" w:cs="Arial" w:eastAsia="Arial" w:hAnsi="Arial"/>
          <w:sz w:val="29"/>
          <w:szCs w:val="29"/>
          <w:color w:val="auto"/>
          <w:vertAlign w:val="superscript"/>
        </w:rPr>
      </w:pPr>
    </w:p>
    <w:p>
      <w:pPr>
        <w:ind w:left="640" w:right="100" w:hanging="320"/>
        <w:spacing w:after="0" w:line="221" w:lineRule="auto"/>
        <w:tabs>
          <w:tab w:leader="none" w:pos="64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fee interest in 2 office buildings, our corporate office in Culver City, Los Angeles as well as an office in Melbourne, Australia. Both buildings are mixed use assets, housing our corporate staff with any surplus space rented, or available to rent to third parties;</w:t>
      </w:r>
    </w:p>
    <w:p>
      <w:pPr>
        <w:spacing w:after="0" w:line="81" w:lineRule="exact"/>
        <w:rPr>
          <w:rFonts w:ascii="Arial" w:cs="Arial" w:eastAsia="Arial" w:hAnsi="Arial"/>
          <w:sz w:val="26"/>
          <w:szCs w:val="26"/>
          <w:color w:val="auto"/>
          <w:vertAlign w:val="superscript"/>
        </w:rPr>
      </w:pPr>
    </w:p>
    <w:p>
      <w:pPr>
        <w:ind w:left="640" w:right="120" w:hanging="320"/>
        <w:spacing w:after="0" w:line="198" w:lineRule="auto"/>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in addition to the fee interests described immediately above, fee ownership of approximately 20.7million square feet of developed and undeveloped real estate in the United States, Australia and New Zealand; and</w:t>
      </w:r>
    </w:p>
    <w:p>
      <w:pPr>
        <w:ind w:left="640" w:hanging="320"/>
        <w:spacing w:after="0" w:line="223" w:lineRule="auto"/>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cash and cash equivalents, aggregating $13.1 million.</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we operate cinemas in three jurisdictions, the general nature of our operations and operating strategies does not vary materially from jurisdiction-to-jurisdiction. In each jurisdiction, our gross receipts are primarily from box office receipts, food and beverage sales, and screen advertising. Our ancillary revenue is created principally from theater rentals (for example, for film festivals and special events), and ancillary programming (such as concerts and sporting events).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cinemas generated approximately 64% of their 2018 revenue from box office receipts. Ticket prices vary by location, and in selected locations we offer reduced rates for senior citizens, children and, in certain markets, military and students.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7" w:name="page18"/>
    <w:bookmarkEnd w:id="17"/>
    <w:p>
      <w:pPr>
        <w:ind w:right="20"/>
        <w:spacing w:after="0" w:line="312" w:lineRule="auto"/>
        <w:rPr>
          <w:sz w:val="20"/>
          <w:szCs w:val="20"/>
          <w:color w:val="auto"/>
        </w:rPr>
      </w:pPr>
      <w:r>
        <w:rPr>
          <w:rFonts w:ascii="Arial" w:cs="Arial" w:eastAsia="Arial" w:hAnsi="Arial"/>
          <w:sz w:val="16"/>
          <w:szCs w:val="16"/>
          <w:color w:val="auto"/>
        </w:rPr>
        <w:t>Show times and features are placed in advertisements on our various websites, on internet sites and, in some markets, in local newspapers. We are increasing our presence in social media, thereby, reducing our dependency on print advertising. Film distributors may also advertise certain feature films in various print, radio and television media, as well as on the internet, and distributors generally pay those costs.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F&amp;B sales accounted for approximately 29% of our total 2018 cinema revenue. Although certain cinemas have licenses for the sale and on-premises consumption of alcoholic beverages, historically F&amp;B products have been primarily popcorn, candy, and soda. This is changing, as more of our theaters are offering expanded food and beverage offerings. One of our strategic focuses is to upgrade our existing cinemas with expanded F&amp;B offerings.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Screen advertising and other revenue contribute approximately 7% of our total 2018 cinema revenue. With the exception of certain rights that we have retained to sell to local advertisers, generally speaking, we are not in the screen advertising business and nationally recognized screen-advertising companies’ contract with us for the right to show such advertising on our screens.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of Cinemas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the exception of our three unconsolidated cinemas, we manage our cinemas with executives located in Los Angeles and Manhattan in the U.S.; Melbourne, Australia; and Wellington, New Zealand. Our two New Zealand Rialto cinemas are owned by a joint venture in which Reading New Zealand is a 50% joint venture partner. While we assist in the booking of these two cinemas, our joint venture partner, Event Cinemas, manages their day-to-day operations. In addition, we have a passive one-third interest in a 16-screen Brisbane cinema managed by Event Cinemas.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 and Pricing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Film product is available from a variety of sources, ranging from the major film distributors, such as Paramount Pictures, Twentieth Century Fox, Warner Bros, Buena Vista Pictures (Disney), Sony Pictures Releasing, Universal Pictures and Lionsgate, to a variety of smaller independent film distributors. In Australia and New Zealand, some of those major distributors distribute through local unaffiliated distributors. Worldwide, the major film distributors dominate the market for mainstream conventional films. In the U.S., art and specialty film is distributed through the art and specialty divisions of these major distributors, such as Fox Searchlight and Sony Pictures Classics, and through independent distributors such as A24. Film payment terms are generally based upon an agreed-upon percentage of box office receipts that will vary from film-to-film.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Film is allocated by the applicable distributor among competitive cinemas. Accordingly, from time-to-time, we may be unable to license every film that we desire to play. In the Australian and New Zealand markets, we generally have access to all film product in the market.</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Competition for films may be intense, depending upon the number of cinemas in a particular competitive market. Our ability to obtain top grossing first run feature films may be adversely impacted by our comparatively small size, and the limited number of screens and markets that we can supply to distributors. Moreover, because of the dramatic consolidation of screens into the hands of a few very large and powerful exhibitors such as Cineworld (the new owners of Regal), AMC (including the newly acquired Carmike), Cinemark, and Galaxy Cinemas, who control 64% of the North American market, these mega-exhibition companies are in a position to offer distributors access to many more screens in major markets than we can. Also, the majors have a significant number of markets where they operate without material competition, meaning that the distributors have no alternative exhibitor for their films in these markets. Accordingly, distributors may decide to give preference to these mega-exhibitors when it comes to licensing top-grossing films, rather than deal with independents such as ourselves. The situation is different in Australia and New Zealand, where typically every major multiplex cinema has access to all of the film currently in distribution, regardless of the ownership of that multiplex cinema. However, on the reverse side, we have suffered somewhat in these markets from competition from boutique operators, who are able to book top grossing commercial films for limited runs, thus increasing competition for customers wishing to view such top grossing films.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availability of state-of-the-art technology and/or luxury seating can also be a factor in the preference of one cinema over another. In recent periods, a number of cinemas have opened or re-opened featuring luxury seating and/or expanded food and beverage service, including the sale of alcoholic beverages and food served to the seat. We have, for a number of years, offered alcoholic beverages in certain of our Australia and New Zealand cinemas and at certain of our Angelika Film Centers in the U.S. We are currently working to upgrade the seating and food and beverage offerings (including the offering of alcoholic beverages) at a number of our existing cinemas. We now offer alcoholic beverages at 28 of our worldwide cinemas.</w:t>
      </w:r>
    </w:p>
    <w:p>
      <w:pPr>
        <w:spacing w:after="0" w:line="19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film exhibition markets in the United States, Australia, and New Zealand are to a certain extent dominated by a limited number of major exhibition companies. The principal exhibitors in the United States are AMC (with 11,247 screens in 1,027 cinemas, which includes the information of newly acquired Carmike), Regal (with 7,315 screens in 561 cinemas), recently acquired by Cineworld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8" w:name="page19"/>
    <w:bookmarkEnd w:id="18"/>
    <w:p>
      <w:pPr>
        <w:jc w:val="both"/>
        <w:ind w:right="40"/>
        <w:spacing w:after="0" w:line="308" w:lineRule="auto"/>
        <w:rPr>
          <w:sz w:val="20"/>
          <w:szCs w:val="20"/>
          <w:color w:val="auto"/>
        </w:rPr>
      </w:pPr>
      <w:r>
        <w:rPr>
          <w:rFonts w:ascii="Arial" w:cs="Arial" w:eastAsia="Arial" w:hAnsi="Arial"/>
          <w:sz w:val="17"/>
          <w:szCs w:val="17"/>
          <w:color w:val="auto"/>
        </w:rPr>
        <w:t>Group, the U.K.’s largest cinema operator, and Cinemark (with 4,561 screens in 339 cinemas). As of December 31, 2018, we were the 11th largest exhibitor with 1% of the box office in the United States with 245 screens in 27 cinemas under management.</w:t>
      </w:r>
    </w:p>
    <w:p>
      <w:pPr>
        <w:spacing w:after="0" w:line="14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principal exhibitors in Australia are Greater Union, which does business under the Event Cinemas name (a subsidiary of Amalgamated Holdings Limited) (“Event”), Hoyts Cinemas (“Hoyts”), and Village Cinemas (“Village”). The major exhibitors control approximately 78% of the total cinema box office: Event 43%, Hoyts 22%, and Village 13%. Event has 566 screens nationally, Hoyts 354 screens, and Village 210 screens. By comparison, our 149 screens (excluding any partnership theaters) represent approximately 7% of the total box office.</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principal exhibitors in New Zealand are Event Cinemas with 116 screens nationally and Hoyts with 70 screens. Reading has 54 screens (excluding its interest in unconsolidated joint ventures). The major exhibitors in New Zealand control approximately 52% of the total box office: Event 31% and Hoyts 21%. Reading has 16% of the market (Event and Reading market share figures exclude any partnership theaters) and we were the third largest exhibitor in New Zealand.</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Australia and New Zealand, the industry is somewhat vertically integrated in that Roadshow Film Distributors, a subsidiary of Village, serves as a distributor of film in Australia and New Zealand for Warner Brothers.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Many of our competitors have substantial financial resources which could allow them to operate in a more competitive manner than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In-Home, Streaming and Mobile Device Competition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“in-home,” streaming and mobile device entertainment industry has experienced significant leaps in recent periods in both the quality and affordability of in-home and mobile device entertainment systems and in the accessibility to, and quality of, entertainment programming through cable, satellite, internet distribution channels, and Blu-ray/DVD. The success of these alternative distribution channels and the entrance of new sources of product (like Netflix and Amazon) who are producing product competitive with films produced for theatrical release puts additional pressure on film distributors to reduce and/or eliminate the time period between theatrical and secondary release dates. With the acquisition of Fox, Disney is now poised to enter this market.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To a certain extent, it appears that consumers are willing to choose convenience over presentation quality. We are responding to this challenge generally by increasing the comfort and service levels available at our cinemas, by offering convenient on-line ticket reservations services with guaranteed seating, by investing in larger screens and enhanced audio, by offering more specialized and alternative product to our audiences and by providing value for the movie goer’s dollar. We are focusing on the fact that going to the movies is a social experience, and we are working to make that experience the best that it can be. Also, that we must differentiate ourselves from other forms of video entertainment by emphasizing the special nature of seeing video presentations in a cinema environment and by developing ways to position ourselves to take advantage in the increased output of film and feature product. These are issues common to both our U.S. and international cinema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Competitive issues are discussed in detail under the caption, Item 1A –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 However, the deferral of releases is becoming increasingly less common, given the need to address internet and other channels of distribution that operate on a worldwide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Overall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engage in real estate development and the ownership and rental or licensing to third parties of retail, commercial and live theater assets. We own the fee interests in all of our live theaters, and in 12 of our cinemas (as presented in the preceding table within the “</w:t>
      </w:r>
      <w:r>
        <w:rPr>
          <w:rFonts w:ascii="Arial" w:cs="Arial" w:eastAsia="Arial" w:hAnsi="Arial"/>
          <w:sz w:val="18"/>
          <w:szCs w:val="18"/>
          <w:i w:val="1"/>
          <w:iCs w:val="1"/>
          <w:color w:val="auto"/>
        </w:rPr>
        <w:t>Cinema</w:t>
      </w:r>
      <w:r>
        <w:rPr>
          <w:rFonts w:ascii="Arial" w:cs="Arial" w:eastAsia="Arial" w:hAnsi="Arial"/>
          <w:sz w:val="18"/>
          <w:szCs w:val="18"/>
          <w:color w:val="auto"/>
        </w:rPr>
        <w:t xml:space="preserve"> </w:t>
      </w:r>
      <w:r>
        <w:rPr>
          <w:rFonts w:ascii="Arial" w:cs="Arial" w:eastAsia="Arial" w:hAnsi="Arial"/>
          <w:sz w:val="18"/>
          <w:szCs w:val="18"/>
          <w:i w:val="1"/>
          <w:iCs w:val="1"/>
          <w:color w:val="auto"/>
        </w:rPr>
        <w:t>Exhibition</w:t>
      </w:r>
      <w:r>
        <w:rPr>
          <w:rFonts w:ascii="Arial" w:cs="Arial" w:eastAsia="Arial" w:hAnsi="Arial"/>
          <w:sz w:val="18"/>
          <w:szCs w:val="18"/>
          <w:color w:val="auto"/>
        </w:rPr>
        <w:t>” section). Our real estate business creates long-term value for our stockholders through the continuous improvement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our investment and operating properties, including our ETCs.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activities have historically consisted principally of:</w:t>
      </w:r>
    </w:p>
    <w:p>
      <w:pPr>
        <w:spacing w:after="0" w:line="104" w:lineRule="exact"/>
        <w:rPr>
          <w:sz w:val="20"/>
          <w:szCs w:val="20"/>
          <w:color w:val="auto"/>
        </w:rPr>
      </w:pPr>
    </w:p>
    <w:p>
      <w:pPr>
        <w:ind w:left="640" w:right="100" w:hanging="320"/>
        <w:spacing w:after="0" w:line="198"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the ownership of fee or long-term leasehold interests in properties used in our cinema exhibition activities or which were acquired for the development of cinemas or cinema-based real estate development projects;</w:t>
      </w:r>
    </w:p>
    <w:p>
      <w:pPr>
        <w:ind w:left="640" w:hanging="320"/>
        <w:spacing w:after="0" w:line="223"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the acquisition of fee interests in land for general real estate development;</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the licensing to production companies of our live theaters; and</w:t>
      </w:r>
    </w:p>
    <w:p>
      <w:pPr>
        <w:spacing w:after="0" w:line="202" w:lineRule="exact"/>
        <w:rPr>
          <w:rFonts w:ascii="Arial" w:cs="Arial" w:eastAsia="Arial" w:hAnsi="Arial"/>
          <w:sz w:val="24"/>
          <w:szCs w:val="24"/>
          <w:color w:val="auto"/>
          <w:vertAlign w:val="superscript"/>
        </w:rPr>
      </w:pPr>
    </w:p>
    <w:p>
      <w:pPr>
        <w:ind w:left="4960" w:hanging="146"/>
        <w:spacing w:after="0"/>
        <w:tabs>
          <w:tab w:leader="none" w:pos="4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9" w:name="page20"/>
    <w:bookmarkEnd w:id="19"/>
    <w:p>
      <w:pPr>
        <w:ind w:left="640" w:hanging="320"/>
        <w:spacing w:after="0"/>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redevelopment of our existing fee-owned cinema or live theater sites to their highest and best use.</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Over 2016 and 2017, we added 25,635 square feet of newly constructed net rentable space to our existing ETCs (calculated exclusive of cinema space), of which 24,924 square feet has been rented.</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light of the geographic reach of our business, and the highly localized nature of the real estate business, we have historically made use of third party contractors to provide on-site management of our real estate development and management activities. We have begun, however, in recent periods to selectively build our internal resources in this regard, concentrating on Australia and New Zealand where we have increased our overall real estate team from 3 to 7 full time employees over the last 3 years.</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2016, we began the construction phase of the redevelopment of our Union Square property into approximately 73,322 square feet of net leasable area (inclusive of anticipated BOMA adjustments), comprised of retail and office space. While no assurances can be given, we currently anticipate that the building will be ready for the commencement of the construction of tenant improvements during the second quarter of 2019. We are currently negotiating, on an exclusive basis, leases representing approximately 90% of the net leasable area of the building. A short video on this project can be seen at </w:t>
      </w:r>
      <w:r>
        <w:rPr>
          <w:rFonts w:ascii="Arial" w:cs="Arial" w:eastAsia="Arial" w:hAnsi="Arial"/>
          <w:sz w:val="17"/>
          <w:szCs w:val="17"/>
          <w:u w:val="single" w:color="auto"/>
          <w:color w:val="auto"/>
        </w:rPr>
        <w:t>www.44unionsquare.com</w:t>
      </w:r>
      <w:r>
        <w:rPr>
          <w:rFonts w:ascii="Arial" w:cs="Arial" w:eastAsia="Arial" w:hAnsi="Arial"/>
          <w:sz w:val="17"/>
          <w:szCs w:val="17"/>
          <w:color w:val="auto"/>
        </w:rPr>
        <w:t>.</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Regarding our Cinemas 1,2,3 property in Manhattan, we have received the consent of the 25% minority member of the ownership entity for the redevelopment of the property. We are evaluating the potential to redevelop the property as a mixed use property. While we are still talking with the owner of the adjacent property about a possible joint venture development, we have not been able to come to an agreement as to the terms of that joint venture. Accordingly, we have shifted our strategic plan with respect to that property and have commenced the master-planning for a go-it-alone development. The Cinemas 1,2,3, is a cash flowing contributor to our domestic cinema operations. On August 31, 2016, we secured a new three-year mortgage loan ($20.0 million) with Valley National Bank, with a one year option to extend through August 31, 2020, the proceeds of which were used to repay the then existing mortgage on the property, and to repay certain inter-company indebtedness, and for working capital purposes.</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April 11, 2016, we purchased for $11.2 million a 24,000 square foot office building with 72 parking spaces located at 5995 Sepulveda Boulevard in Culver City, California. We currently use approximately 50% of the leasable area for our headquarters offices and endeavor to lease the remainder to unaffiliated third parties. Culver City has in recent years developed as a center of entertainment and high-tech activity in Los Angeles County. We moved into the building in February, 2017, and have obtained $8.4 million in financing on the property pursuant to a 10-year, fixed rate mortgage loan at an interest rate of 4.64% per annum and in June 2017 we obtained an additional</w:t>
      </w:r>
    </w:p>
    <w:p>
      <w:pPr>
        <w:spacing w:after="0" w:line="2"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$1.5 million in financing due to a reappraisal of the property, at an interest rate of 4.44%. Currently, we own essentially all of the office space from which we conduct our executive and administrative operations. All of our leasehold interests are cinema operating properties.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All of our leasehold interests are cinema operating properties.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Overseas, on December 23, 2015, we acquired two adjoining properties in Townsville, Queensland, Australia for a total of $24.1 million (AU$33.4 million) comprising approximately 5.6 acres. The total gross leasable area of the two properties, the Cannon Park City Centre and the Cannon Park Discount Centre, is 133,000 square feet. Our multiplex cinema at the Cannon Park City Centre is the anchor tenant of that center. This acquisition is consistent with our business plan to own, where practical, the land underlying our entertainment assets. We operate these two (2) properties as a single ETC. This acquisition was funded internally. For additional information, see </w:t>
      </w:r>
      <w:r>
        <w:rPr>
          <w:rFonts w:ascii="Arial" w:cs="Arial" w:eastAsia="Arial" w:hAnsi="Arial"/>
          <w:sz w:val="18"/>
          <w:szCs w:val="18"/>
          <w:i w:val="1"/>
          <w:iCs w:val="1"/>
          <w:color w:val="auto"/>
        </w:rPr>
        <w:t>Note 4</w:t>
      </w:r>
      <w:r>
        <w:rPr>
          <w:rFonts w:ascii="Arial" w:cs="Arial" w:eastAsia="Arial" w:hAnsi="Arial"/>
          <w:sz w:val="18"/>
          <w:szCs w:val="18"/>
          <w:color w:val="auto"/>
        </w:rPr>
        <w:t xml:space="preserve"> – </w:t>
      </w:r>
      <w:r>
        <w:rPr>
          <w:rFonts w:ascii="Arial" w:cs="Arial" w:eastAsia="Arial" w:hAnsi="Arial"/>
          <w:sz w:val="18"/>
          <w:szCs w:val="18"/>
          <w:i w:val="1"/>
          <w:iCs w:val="1"/>
          <w:color w:val="auto"/>
        </w:rPr>
        <w:t>Real</w:t>
      </w:r>
      <w:r>
        <w:rPr>
          <w:rFonts w:ascii="Arial" w:cs="Arial" w:eastAsia="Arial" w:hAnsi="Arial"/>
          <w:sz w:val="18"/>
          <w:szCs w:val="18"/>
          <w:color w:val="auto"/>
        </w:rPr>
        <w:t xml:space="preserve"> </w:t>
      </w:r>
      <w:r>
        <w:rPr>
          <w:rFonts w:ascii="Arial" w:cs="Arial" w:eastAsia="Arial" w:hAnsi="Arial"/>
          <w:sz w:val="18"/>
          <w:szCs w:val="18"/>
          <w:i w:val="1"/>
          <w:iCs w:val="1"/>
          <w:color w:val="auto"/>
        </w:rPr>
        <w:t>Estate Transactions</w:t>
      </w:r>
      <w:r>
        <w:rPr>
          <w:rFonts w:ascii="Arial" w:cs="Arial" w:eastAsia="Arial" w:hAnsi="Arial"/>
          <w:sz w:val="18"/>
          <w:szCs w:val="18"/>
          <w:color w:val="auto"/>
        </w:rPr>
        <w:t>.</w:t>
      </w:r>
    </w:p>
    <w:p>
      <w:pPr>
        <w:spacing w:after="0" w:line="193"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continue to work on the expansion and upgrading of our Auburn/Redyard in Sydney, Australia and Newmarket Village in Brisbane, Australia and to master-plan the expansion and enhancement of our Cannon Park ETC in Townsville, Australia through the expansion or improvement of our Reading Cinemas at each of these centres and additional food and beverage focused space.</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Auburn/RedYard, since the beginning of 2016, we have constructed and entered into leases representing approximately 15,000 square feet of additional retail space, which increased the square footage of that center from approximately 117,000 to approximately 132,000 square feet. Of this 15,000 square feet, 9,600 square feet was completed in 2016, and the remaining 5,900 square feet was completed in Q4 2017. In 2018, we acquired a 20,870 square foot in-fill property, currently improved with a 16,830 square foot office building, leased to Telstra through July 2022. This increased our frontage on Parramatta Road to 1,620 of uninterrupted square feet. The center is now comprised of 519,992 square feet of land, 75,492 square feet of retail improvements, surface parking for 367 vehicles and subterranean parking for 727 vehicles and is 83% leased. The center also has approximately 10,586 square foot of additional land available for development. This expansion was funded internally.</w:t>
      </w:r>
    </w:p>
    <w:p>
      <w:pPr>
        <w:spacing w:after="0" w:line="19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At Newmarket Village, we added a state-of-the art eight-screen Reading Cinema, 10,150 square feet of additional retail space and 124 additional parking spaces. On November 30, 2015, we acquired an approximately 23,000 square foot parcel adjacent to our tenant Coles supermarket. This property is currently improved with an office building, which is now fully leased. These leases have early development provisions allowing us to terminate these arrangements in connection with a redevelopment of the property. We intend to ultimately demolish this office building and to integrate this parcel into Newmarket Village. This will increase our Newmarket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22" w:right="899" w:bottom="1440" w:gutter="0" w:footer="0" w:header="0"/>
        </w:sectPr>
      </w:pPr>
    </w:p>
    <w:bookmarkStart w:id="20" w:name="page21"/>
    <w:bookmarkEnd w:id="20"/>
    <w:p>
      <w:pPr>
        <w:ind w:right="500"/>
        <w:spacing w:after="0" w:line="277" w:lineRule="auto"/>
        <w:rPr>
          <w:sz w:val="20"/>
          <w:szCs w:val="20"/>
          <w:color w:val="auto"/>
        </w:rPr>
      </w:pPr>
      <w:r>
        <w:rPr>
          <w:rFonts w:ascii="Arial" w:cs="Arial" w:eastAsia="Arial" w:hAnsi="Arial"/>
          <w:sz w:val="18"/>
          <w:szCs w:val="18"/>
          <w:color w:val="auto"/>
        </w:rPr>
        <w:t>Village footprint from approximately 204,000 square feet to approximately 227,000 square feet. Our Newmarket Village project was funded internally and is currently approximately 98% leased.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Located in the heart of Wellington – New Zealand’s capital city – this center is comprised of 161,071 square feet of land situated proximate to the Te Papa Tongarewa Museum (attracting over 1.5 million visitors annually), across the street from the site of Wellington’s newly announced convention center (estimated to open its doors in 2022) and at a major public transit hub. Damage from the 2016 earthquake necessitated demolition of our nine-story parking garage at the site, and unrelated seismic issues have caused us to close portions of the existing cinema and retail structure while we reevaluate the center for redevelopment as an entertainment themed urban center with a major food and grocery component.</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Wellington continues to be rated as one of the top cities in the world in which to live, and we continue to believe that the Courtenay Central site is located in one of the most vibrant and growing commercial and entertainment sections of Wellington.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to certain historic railroad properties (such as our 6.8 acre Viaduct Property in downtown Philadelphia and certain adjacent commercial properties) and certain expansion space associated with our existing ETCs, we have two unimproved properties that we acquired for, and are currently being held for, development: (i) our 50% interest in a 202-acre parcel in Coachella, California (near the grounds where the Coachella Music Festival is held), currently zoned for residential and mixed-use uses, and (ii) our 70.4–acre parcel in Manukau, a suburb of Auckland, New Zealand (located adjacent to the Auckland Airport) currently zoned for a mixture of light and heavy industrial uses.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Coachella property was acquired as a long term land hold in a foreclosure auction by the Resolution Trust Corporation as the liquidator of the lender with the first mortgage on the property. The zoning has been established and the property freed of a burdensome development agreement. We are monitoring developments in the area, and believe that this property is likely a candidate for sale. Development activity in the vicinity appears to be strengthening.</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2016, the Auckland City Council revised the zoning of the agricultural portion of our property in Manukau (approximately 64.0 acres) to light industrial uses. The remaining 6.4 acres of our Manukau property were already zoned for heavy industrial use. Light industrial uses include certain manufacturing, production, logistic, transportation, warehouse and wholesale distribution activities and, on an ancillary basis, certain office, retail and educational uses. Now that our zoning enhancement goal has been achieved, we are working with other major landowners in the area on the development of a master plan for the construction of needed infrastructure works, while we continue to develop our long range plans for the property.</w:t>
      </w:r>
    </w:p>
    <w:p>
      <w:pPr>
        <w:spacing w:after="0" w:line="19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While we report our real estate as a separate segment, it has historically operated as an integral portion of our overall business and, historically, has principally been in support of that business. We have, however, acquired or developed certain properties that do not currently have any cinema or other entertainment component.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real estate activities, holdings and developments are described in greater detail in Item 2 – </w:t>
      </w:r>
      <w:r>
        <w:rPr>
          <w:rFonts w:ascii="Arial" w:cs="Arial" w:eastAsia="Arial" w:hAnsi="Arial"/>
          <w:sz w:val="18"/>
          <w:szCs w:val="18"/>
          <w:i w:val="1"/>
          <w:iCs w:val="1"/>
          <w:color w:val="auto"/>
        </w:rPr>
        <w:t>Properties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December 31, 2018, we had 104 full-time executive and administrative employees, 113 live theatre employees, 8 Real Estate employees and 2,719 cinema employees. A small number of our cinema employees in New Zealand are union members, as are our projectionists in Hawaii. None of our Australian-based employees or other employees are subject to union contracts. Overall, we are of the view that the existence of these collective-bargaining agreements does not materially increase our costs of labor or our ability to compete.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statements in this annual report, including the documents incorporated herein by reference,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spacing w:after="0" w:line="1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a different view as to the risks and uncertainties involved, and may have different views as to future events or our operating performance.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21" w:name="page22"/>
    <w:bookmarkEnd w:id="21"/>
    <w:p>
      <w:pPr>
        <w:ind w:right="120"/>
        <w:spacing w:after="0" w:line="277" w:lineRule="auto"/>
        <w:rPr>
          <w:sz w:val="20"/>
          <w:szCs w:val="20"/>
          <w:color w:val="auto"/>
        </w:rPr>
      </w:pPr>
      <w:r>
        <w:rPr>
          <w:rFonts w:ascii="Arial" w:cs="Arial" w:eastAsia="Arial" w:hAnsi="Arial"/>
          <w:sz w:val="18"/>
          <w:szCs w:val="18"/>
          <w:color w:val="auto"/>
        </w:rPr>
        <w:t>Among the factors that could cause actual results and our financial condition to differ materially from those expressed in or underlying our forward-looking statements are the following:</w:t>
      </w:r>
    </w:p>
    <w:p>
      <w:pPr>
        <w:ind w:left="640" w:hanging="320"/>
        <w:spacing w:after="0" w:line="201" w:lineRule="auto"/>
        <w:tabs>
          <w:tab w:leader="none" w:pos="6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with respect to our cinema operations:</w:t>
      </w:r>
    </w:p>
    <w:p>
      <w:pPr>
        <w:spacing w:after="0" w:line="1" w:lineRule="exact"/>
        <w:rPr>
          <w:rFonts w:ascii="Arial" w:cs="Arial" w:eastAsia="Arial" w:hAnsi="Arial"/>
          <w:sz w:val="29"/>
          <w:szCs w:val="29"/>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number and attractiveness to movie goers of the films released in future periods;</w:t>
      </w:r>
    </w:p>
    <w:p>
      <w:pPr>
        <w:spacing w:after="0" w:line="2"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amount of money spent by film distributors to promote their motion pictures;</w:t>
      </w:r>
    </w:p>
    <w:p>
      <w:pPr>
        <w:spacing w:after="0" w:line="2"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licensing fees and terms required by film distributors from motion picture exhibitors in order to exhibit their films;</w:t>
      </w:r>
    </w:p>
    <w:p>
      <w:pPr>
        <w:spacing w:after="0" w:line="2" w:lineRule="exact"/>
        <w:rPr>
          <w:rFonts w:ascii="Arial" w:cs="Arial" w:eastAsia="Arial" w:hAnsi="Arial"/>
          <w:sz w:val="24"/>
          <w:szCs w:val="24"/>
          <w:color w:val="auto"/>
          <w:vertAlign w:val="superscript"/>
        </w:rPr>
      </w:pPr>
    </w:p>
    <w:p>
      <w:pPr>
        <w:ind w:left="960" w:right="120" w:hanging="315"/>
        <w:spacing w:after="0" w:line="207"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spacing w:after="0" w:line="1" w:lineRule="exact"/>
        <w:rPr>
          <w:rFonts w:ascii="Arial" w:cs="Arial" w:eastAsia="Arial" w:hAnsi="Arial"/>
          <w:sz w:val="29"/>
          <w:szCs w:val="29"/>
          <w:color w:val="auto"/>
          <w:vertAlign w:val="superscript"/>
        </w:rPr>
      </w:pPr>
    </w:p>
    <w:p>
      <w:pPr>
        <w:ind w:left="960" w:right="420" w:hanging="315"/>
        <w:spacing w:after="0" w:line="217"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extent to which we encounter competition from other cinema exhibitors, from other sources of outside-the-home entertainment, and from inside-the-home entertainment options, such as “home theaters” and competitive film product distribution technology, such as, by way of example, cable, satellite broadcast and Blu-ray/DVD rentals and sales, and so called “movies on demand;”</w:t>
      </w:r>
    </w:p>
    <w:p>
      <w:pPr>
        <w:spacing w:after="0" w:line="1" w:lineRule="exact"/>
        <w:rPr>
          <w:rFonts w:ascii="Arial" w:cs="Arial" w:eastAsia="Arial" w:hAnsi="Arial"/>
          <w:sz w:val="29"/>
          <w:szCs w:val="29"/>
          <w:color w:val="auto"/>
          <w:vertAlign w:val="superscript"/>
        </w:rPr>
      </w:pPr>
    </w:p>
    <w:p>
      <w:pPr>
        <w:ind w:left="960" w:right="32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cost and impact of improvements to our cinemas, such as improved seating, enhanced food and beverage offerings and other improvements;</w:t>
      </w:r>
    </w:p>
    <w:p>
      <w:pPr>
        <w:spacing w:after="0" w:line="2" w:lineRule="exact"/>
        <w:rPr>
          <w:rFonts w:ascii="Arial" w:cs="Arial" w:eastAsia="Arial" w:hAnsi="Arial"/>
          <w:sz w:val="29"/>
          <w:szCs w:val="29"/>
          <w:color w:val="auto"/>
          <w:vertAlign w:val="superscript"/>
        </w:rPr>
      </w:pPr>
    </w:p>
    <w:p>
      <w:pPr>
        <w:ind w:left="960" w:hanging="315"/>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disruption from theater improvements; and</w:t>
      </w:r>
    </w:p>
    <w:p>
      <w:pPr>
        <w:spacing w:after="0" w:line="2" w:lineRule="exact"/>
        <w:rPr>
          <w:rFonts w:ascii="Arial" w:cs="Arial" w:eastAsia="Arial" w:hAnsi="Arial"/>
          <w:sz w:val="25"/>
          <w:szCs w:val="25"/>
          <w:color w:val="auto"/>
          <w:vertAlign w:val="superscript"/>
        </w:rPr>
      </w:pPr>
    </w:p>
    <w:p>
      <w:pPr>
        <w:ind w:left="960" w:right="74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extent to, and the efficiency with, which we are able to integrate acquisitions of cinema circuits with our existing operations.</w:t>
      </w:r>
    </w:p>
    <w:p>
      <w:pPr>
        <w:ind w:left="640" w:hanging="320"/>
        <w:spacing w:after="0" w:line="223" w:lineRule="auto"/>
        <w:tabs>
          <w:tab w:leader="none" w:pos="6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with respect to our real estate development and operation activities:</w:t>
      </w:r>
    </w:p>
    <w:p>
      <w:pPr>
        <w:spacing w:after="0" w:line="2" w:lineRule="exact"/>
        <w:rPr>
          <w:rFonts w:ascii="Arial" w:cs="Arial" w:eastAsia="Arial" w:hAnsi="Arial"/>
          <w:sz w:val="29"/>
          <w:szCs w:val="29"/>
          <w:color w:val="auto"/>
          <w:vertAlign w:val="superscript"/>
        </w:rPr>
      </w:pPr>
    </w:p>
    <w:p>
      <w:pPr>
        <w:ind w:left="960" w:right="38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rental rates and capitalization rates applicable to the markets in which we operate and the quality of properties that we own;</w:t>
      </w:r>
    </w:p>
    <w:p>
      <w:pPr>
        <w:ind w:left="960" w:right="36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extent to which we can obtain on a timely basis the various land use approvals and entitlements needed to develop our properties;</w:t>
      </w:r>
    </w:p>
    <w:p>
      <w:pPr>
        <w:spacing w:after="0" w:line="2" w:lineRule="exact"/>
        <w:rPr>
          <w:rFonts w:ascii="Arial" w:cs="Arial" w:eastAsia="Arial" w:hAnsi="Arial"/>
          <w:sz w:val="29"/>
          <w:szCs w:val="29"/>
          <w:color w:val="auto"/>
          <w:vertAlign w:val="superscript"/>
        </w:rPr>
      </w:pPr>
    </w:p>
    <w:p>
      <w:pPr>
        <w:ind w:left="960" w:hanging="315"/>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the risks and uncertainties associated with real estate development;</w:t>
      </w:r>
    </w:p>
    <w:p>
      <w:pPr>
        <w:spacing w:after="0" w:line="2" w:lineRule="exact"/>
        <w:rPr>
          <w:rFonts w:ascii="Arial" w:cs="Arial" w:eastAsia="Arial" w:hAnsi="Arial"/>
          <w:sz w:val="25"/>
          <w:szCs w:val="25"/>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availability and cost of labor and materials;</w:t>
      </w:r>
    </w:p>
    <w:p>
      <w:pPr>
        <w:spacing w:after="0" w:line="2"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ability to obtain all permits to construct improvements;</w:t>
      </w:r>
    </w:p>
    <w:p>
      <w:pPr>
        <w:spacing w:after="0" w:line="2"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ability to finance improvements;</w:t>
      </w:r>
    </w:p>
    <w:p>
      <w:pPr>
        <w:spacing w:after="0" w:line="2"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disruptions from construction;</w:t>
      </w:r>
    </w:p>
    <w:p>
      <w:pPr>
        <w:spacing w:after="0" w:line="2"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possibility of construction delays, work stoppage and material shortage;</w:t>
      </w:r>
    </w:p>
    <w:p>
      <w:pPr>
        <w:spacing w:after="0" w:line="2"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competition for development sites and tenants;</w:t>
      </w:r>
    </w:p>
    <w:p>
      <w:pPr>
        <w:spacing w:after="0" w:line="2"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environmental remediation issues;</w:t>
      </w:r>
    </w:p>
    <w:p>
      <w:pPr>
        <w:spacing w:after="0" w:line="2" w:lineRule="exact"/>
        <w:rPr>
          <w:rFonts w:ascii="Arial" w:cs="Arial" w:eastAsia="Arial" w:hAnsi="Arial"/>
          <w:sz w:val="24"/>
          <w:szCs w:val="24"/>
          <w:color w:val="auto"/>
          <w:vertAlign w:val="superscript"/>
        </w:rPr>
      </w:pPr>
    </w:p>
    <w:p>
      <w:pPr>
        <w:ind w:left="960" w:right="12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extent to which our cinemas can continue to serve as an anchor tenant that will, in turn, be influenced by the same factors as will influence generally the results of our cinema operations;</w:t>
      </w:r>
    </w:p>
    <w:p>
      <w:pPr>
        <w:ind w:left="960" w:hanging="315"/>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the ability to negotiate and execute joint venture opportunities and relationships; and</w:t>
      </w:r>
    </w:p>
    <w:p>
      <w:pPr>
        <w:spacing w:after="0" w:line="2" w:lineRule="exact"/>
        <w:rPr>
          <w:rFonts w:ascii="Arial" w:cs="Arial" w:eastAsia="Arial" w:hAnsi="Arial"/>
          <w:sz w:val="25"/>
          <w:szCs w:val="25"/>
          <w:color w:val="auto"/>
          <w:vertAlign w:val="superscript"/>
        </w:rPr>
      </w:pPr>
    </w:p>
    <w:p>
      <w:pPr>
        <w:ind w:left="960" w:right="54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certain of our activities are in geologically active areas, creating a risk of damage and/or disruption of real estate and/or cinema businesses from earthquakes and related seismic conditions.</w:t>
      </w:r>
    </w:p>
    <w:p>
      <w:pPr>
        <w:spacing w:after="0" w:line="80" w:lineRule="exact"/>
        <w:rPr>
          <w:rFonts w:ascii="Arial" w:cs="Arial" w:eastAsia="Arial" w:hAnsi="Arial"/>
          <w:sz w:val="29"/>
          <w:szCs w:val="29"/>
          <w:color w:val="auto"/>
          <w:vertAlign w:val="superscript"/>
        </w:rPr>
      </w:pPr>
    </w:p>
    <w:p>
      <w:pPr>
        <w:ind w:left="640" w:right="200" w:hanging="320"/>
        <w:spacing w:after="0" w:line="212" w:lineRule="auto"/>
        <w:tabs>
          <w:tab w:leader="none" w:pos="6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2" w:lineRule="exact"/>
        <w:rPr>
          <w:rFonts w:ascii="Arial" w:cs="Arial" w:eastAsia="Arial" w:hAnsi="Arial"/>
          <w:sz w:val="29"/>
          <w:szCs w:val="29"/>
          <w:color w:val="auto"/>
          <w:vertAlign w:val="superscript"/>
        </w:rPr>
      </w:pPr>
    </w:p>
    <w:p>
      <w:pPr>
        <w:ind w:left="960" w:hanging="315"/>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our ability to renew, extend or renegotiate our loans that mature in 2019;</w:t>
      </w:r>
    </w:p>
    <w:p>
      <w:pPr>
        <w:spacing w:after="0" w:line="2" w:lineRule="exact"/>
        <w:rPr>
          <w:rFonts w:ascii="Arial" w:cs="Arial" w:eastAsia="Arial" w:hAnsi="Arial"/>
          <w:sz w:val="25"/>
          <w:szCs w:val="25"/>
          <w:color w:val="auto"/>
          <w:vertAlign w:val="superscript"/>
        </w:rPr>
      </w:pPr>
    </w:p>
    <w:p>
      <w:pPr>
        <w:ind w:left="960" w:hanging="315"/>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our ability to grow our Company and provide value to our stockholders;</w:t>
      </w:r>
    </w:p>
    <w:p>
      <w:pPr>
        <w:spacing w:after="0" w:line="2" w:lineRule="exact"/>
        <w:rPr>
          <w:rFonts w:ascii="Arial" w:cs="Arial" w:eastAsia="Arial" w:hAnsi="Arial"/>
          <w:sz w:val="24"/>
          <w:szCs w:val="24"/>
          <w:color w:val="auto"/>
          <w:vertAlign w:val="superscript"/>
        </w:rPr>
      </w:pPr>
    </w:p>
    <w:p>
      <w:pPr>
        <w:ind w:left="960" w:right="20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our ongoing access to borrowed funds and capital and the interest that must be paid on that debt and the returns that must be paid on such capital;</w:t>
      </w:r>
    </w:p>
    <w:p>
      <w:pPr>
        <w:ind w:left="960" w:right="2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expenses, management and Board distraction and other effects of the litigation efforts mounted by James Cotter, Jr. against the Company, including his efforts to cause a sale of voting control of the Company;</w:t>
      </w:r>
    </w:p>
    <w:p>
      <w:pPr>
        <w:spacing w:after="0" w:line="2" w:lineRule="exact"/>
        <w:rPr>
          <w:rFonts w:ascii="Arial" w:cs="Arial" w:eastAsia="Arial" w:hAnsi="Arial"/>
          <w:sz w:val="29"/>
          <w:szCs w:val="29"/>
          <w:color w:val="auto"/>
          <w:vertAlign w:val="superscript"/>
        </w:rPr>
      </w:pPr>
    </w:p>
    <w:p>
      <w:pPr>
        <w:ind w:left="960" w:hanging="315"/>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the relative values of the currency used in the countries in which we operate;</w:t>
      </w:r>
    </w:p>
    <w:p>
      <w:pPr>
        <w:spacing w:after="0" w:line="2" w:lineRule="exact"/>
        <w:rPr>
          <w:rFonts w:ascii="Arial" w:cs="Arial" w:eastAsia="Arial" w:hAnsi="Arial"/>
          <w:sz w:val="25"/>
          <w:szCs w:val="25"/>
          <w:color w:val="auto"/>
          <w:vertAlign w:val="superscript"/>
        </w:rPr>
      </w:pPr>
    </w:p>
    <w:p>
      <w:pPr>
        <w:ind w:left="960" w:right="82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changes in government regulation, including by way of example, the costs resulting from the implementation of the requirements of Sarbanes-Oxley;</w:t>
      </w:r>
    </w:p>
    <w:p>
      <w:pPr>
        <w:ind w:left="960" w:right="16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our labor relations and costs of labor (including future government requirements with respect to pension liabilities, disability insurance and health coverage, and vacations and leave);</w:t>
      </w:r>
    </w:p>
    <w:p>
      <w:pPr>
        <w:spacing w:after="0" w:line="2" w:lineRule="exact"/>
        <w:rPr>
          <w:rFonts w:ascii="Arial" w:cs="Arial" w:eastAsia="Arial" w:hAnsi="Arial"/>
          <w:sz w:val="29"/>
          <w:szCs w:val="29"/>
          <w:color w:val="auto"/>
          <w:vertAlign w:val="superscript"/>
        </w:rPr>
      </w:pPr>
    </w:p>
    <w:p>
      <w:pPr>
        <w:ind w:left="960" w:hanging="315"/>
        <w:spacing w:after="0" w:line="218" w:lineRule="auto"/>
        <w:tabs>
          <w:tab w:leader="none" w:pos="960" w:val="left"/>
        </w:tabs>
        <w:numPr>
          <w:ilvl w:val="1"/>
          <w:numId w:val="8"/>
        </w:numPr>
        <w:rPr>
          <w:rFonts w:ascii="Arial" w:cs="Arial" w:eastAsia="Arial" w:hAnsi="Arial"/>
          <w:sz w:val="28"/>
          <w:szCs w:val="28"/>
          <w:color w:val="auto"/>
          <w:vertAlign w:val="superscript"/>
        </w:rPr>
      </w:pPr>
      <w:r>
        <w:rPr>
          <w:rFonts w:ascii="Arial" w:cs="Arial" w:eastAsia="Arial" w:hAnsi="Arial"/>
          <w:sz w:val="17"/>
          <w:szCs w:val="17"/>
          <w:color w:val="auto"/>
        </w:rPr>
        <w:t>our exposure from time-to-time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w:t>
      </w:r>
    </w:p>
    <w:p>
      <w:pPr>
        <w:ind w:left="960" w:right="34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our exposure to cyber-security risks, including misappropriation of customer information or other breaches of information security;</w:t>
      </w:r>
    </w:p>
    <w:p>
      <w:pPr>
        <w:spacing w:after="0" w:line="2" w:lineRule="exact"/>
        <w:rPr>
          <w:rFonts w:ascii="Arial" w:cs="Arial" w:eastAsia="Arial" w:hAnsi="Arial"/>
          <w:sz w:val="29"/>
          <w:szCs w:val="29"/>
          <w:color w:val="auto"/>
          <w:vertAlign w:val="superscript"/>
        </w:rPr>
      </w:pPr>
    </w:p>
    <w:p>
      <w:pPr>
        <w:ind w:left="960" w:right="500" w:hanging="315"/>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changes in future effective tax rates and the results of currently ongoing and future potential audits by taxing authorities having jurisdiction over our various companies; and</w:t>
      </w:r>
    </w:p>
    <w:p>
      <w:pPr>
        <w:spacing w:after="0" w:line="2" w:lineRule="exact"/>
        <w:rPr>
          <w:rFonts w:ascii="Arial" w:cs="Arial" w:eastAsia="Arial" w:hAnsi="Arial"/>
          <w:sz w:val="29"/>
          <w:szCs w:val="29"/>
          <w:color w:val="auto"/>
          <w:vertAlign w:val="superscript"/>
        </w:rPr>
      </w:pPr>
    </w:p>
    <w:p>
      <w:pPr>
        <w:ind w:left="960" w:hanging="315"/>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changes in applicable accounting policies and practices.</w:t>
      </w:r>
    </w:p>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above list is not necessarily exhaustive, as business is by definition unpredictable and risky, and it is subject to influence by numerous factors outside of our control, such as changes in government regulation or policy, competition, interest rates, supply,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22" w:name="page23"/>
    <w:bookmarkEnd w:id="22"/>
    <w:p>
      <w:pPr>
        <w:ind w:right="200"/>
        <w:spacing w:after="0" w:line="308" w:lineRule="auto"/>
        <w:rPr>
          <w:sz w:val="20"/>
          <w:szCs w:val="20"/>
          <w:color w:val="auto"/>
        </w:rPr>
      </w:pPr>
      <w:r>
        <w:rPr>
          <w:rFonts w:ascii="Arial" w:cs="Arial" w:eastAsia="Arial" w:hAnsi="Arial"/>
          <w:sz w:val="17"/>
          <w:szCs w:val="17"/>
          <w:color w:val="auto"/>
        </w:rPr>
        <w:t xml:space="preserve">technological innovation, changes in consumer taste, the weather, and the extent to which consumers in our markets have the economic wherewithal to spend money on beyond-the-home entertainment. Refer to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for more information.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Finally,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Additionally, certain of the presentations included in this annual report may contain “non-US GAAP financial measures.” In such case, a reconciliation of this information to our US GAAP financial statements will be made available in connection with such statements.</w:t>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40"/>
          </w:cols>
          <w:pgMar w:left="900" w:top="125" w:right="105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u w:val="single" w:color="auto"/>
          <w:color w:val="auto"/>
        </w:rPr>
        <w:t>Item 1A – Risk Factors</w:t>
      </w:r>
    </w:p>
    <w:p>
      <w:pPr>
        <w:spacing w:after="0" w:line="2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and our plans to address or mitigate the risks involved, are discussed in significantly greater detail in the context of specific discussions of our business plan, our operating results, and the various competitive forces that we face.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 FACTORS</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are currently engaged principally in the cinema exhibition and real estate businesses. Because we operate in two business segments (cinema exhibition and real estate), we discuss separately below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theater operations as real estate operations – because we are principally in the business of renting space to producers rather than in producing plays ourselves – the cinema exhibition and live theater businesses share certain risk factors and are, accordingly, discussed together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Cinema Exhibition and Live Theater Business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highly competitive environment with many competitors who are significantly larger and may have significantly better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access to funds than we do. </w:t>
      </w:r>
      <w:r>
        <w:rPr>
          <w:rFonts w:ascii="Arial" w:cs="Arial" w:eastAsia="Arial" w:hAnsi="Arial"/>
          <w:sz w:val="18"/>
          <w:szCs w:val="18"/>
          <w:color w:val="auto"/>
        </w:rPr>
        <w:t>We are a comparatively small cinema operator and face competition from much larger cinema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exhibitors. These larger exhibitors are able to offer distributors more screens in more markets – including markets where they may be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exclusive exhibitor – than can we. Faced with such competition, we may not be able to get access to all of the films we want, which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adversely affect our revenue and profitability. While we are concerned about the use of larger competitors of national and international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booking power to limit our access to film, there is little we can do to mitigate this risk as antitrust litigation is very expensive and typically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long lived. While several private lawsuits are currently pending challenging the practice of certain competitors to prevent or limit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access to film product, these are private lawsuits. We have no control over the prosecution of such lawsuits or the terms on which they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privately resolved or settled. While several distributors have announced that they will generally provide access of film to all who desire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 this practice is not universal. Also, for major films, the terms of exhibition as a practical matter limited the competitors who could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exhibit the film.  This competitive disadvantage has been, in our view, exacerbated in recent periods with the further concentration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cinema exhibition industry, for example, Cineworld Group Plc’s acquisition of Regal Entertainment Group and Dalian Wanda’s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AMC Entertainment, which has now acquired Carmike Cinemas, Odeon &amp; UCI Cinemas Group and Nordic Cinema Group.</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and (iv) better economies of scale than us.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 In 2016, we closed our principal live theater in New York, the Union Square incident to our redevelopment of that property.</w:t>
      </w:r>
    </w:p>
    <w:p>
      <w:pPr>
        <w:spacing w:after="0" w:line="1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We face competition from other sources of entertainment and other entertainment delivery systems. </w:t>
      </w:r>
      <w:r>
        <w:rPr>
          <w:rFonts w:ascii="Arial" w:cs="Arial" w:eastAsia="Arial" w:hAnsi="Arial"/>
          <w:sz w:val="18"/>
          <w:szCs w:val="18"/>
          <w:color w:val="auto"/>
        </w:rPr>
        <w:t>Both our cinema and live theater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face competition from “in-home” and mobile device sources of entertainment. These include competition from network, cable and satellite television, internet streaming video services, Video on Demand, Blu-ray/DVD, the internet, video games and other sources of entertainment. The quality of “in-home” and mobile entertainment systems, as well as programming available on an in-home and mobile basis, has increased, while the cost to consumers of such systems (and such programming) has decreased in recent periods, and some consumers may prefer the security and/or convenience of an “in-home” or mobile entertainment experience to the more public and presentation oriented experience offered by our cinemas and live theaters. Film distributors have been responding to these developments by, in some cases, decreasing or eliminating the period of time between cinema release and the date such product is made available to “in-home” or mobile forms of distribution. The competitive pressure from streaming video may increase as a result of the acquisition of Fox by Disney.</w:t>
      </w:r>
    </w:p>
    <w:p>
      <w:pPr>
        <w:spacing w:after="0" w:line="19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order to compete with these in-home and mobile forms of distribution, it is likely that we will make material capital improvements to our cinemas to increase the amenities and quality of presentation delivered. It may also be necessary to reduce admission prices.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There is the risk that, over time, distributors may move towards simultaneous release of motion picture product in multiple channels of distribution. Also, some traditional in-home and mobile distributors have begun the production of full-length movies, specifically for the purpose of direct or simultaneous release to the in-home and mobile markets. These factors may adversely affect the competitive advantage enjoyed by cinemas over “in-home” and mobile forms of entertainment, as it may be that the cinema market and the “in-home” and mobile markets will have simultaneous access to the same motion picture product. In recent times, a number of movies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were released on a simultaneous basis to movie exhibitors and to in-home and mobile markets. It is likely that this trend will continue,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making it, in our view, increasingly important for exhibitors to enhance the convenience and quality of the theater-going experience.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 require substantial capital outlays and increased labor expense, which exhibitors may not be able to fully pass on to their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customers.  Also, the amount of programming (including without limitation, the live streaming of sporting, theatrical and political events)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on an “in-home” and mobile basis continues to increase.</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narrowing and/or elimination of this so-called “window” for cinema exhibition may be problematic for the cinema exhibition industry. However, to date, attempts by the major film distributors to continue to narrow or eliminate the window have been strenuously resisted by the cinema exhibition industry, and we view the total elimination of the cinema exhibition window by major film distributors, while theoretically possible, to be unlikely.</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face competition from various other forms of “beyond-the-home” entertainment, including sporting events, concerts, restaurants, casinos, video game arcades, and nightclubs. Our cinemas also face competition from live theaters and vice versa. Also, social media offerings – such as Facebook, Instagram and Snapchat – appear to be commanding increasing portions of the recreational time of our potential audience.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Our cinema and live theater businesses may be vulnerable to fears of terrorism and random shooter incidents which could cause customers to avoid public assembly seating, and natural disasters</w:t>
      </w:r>
      <w:r>
        <w:rPr>
          <w:rFonts w:ascii="Arial" w:cs="Arial" w:eastAsia="Arial" w:hAnsi="Arial"/>
          <w:sz w:val="18"/>
          <w:szCs w:val="18"/>
          <w:color w:val="auto"/>
        </w:rPr>
        <w:t>. Political events, such as terrorist attacks, random shooter incidents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health-related epidemics, such as flu outbreaks, could cause patrons to avoid our cinemas or other public places where large crowds are in attendance. In addition, a natural disaster, such as a typhoon or an earthquake, could impact our ability to operate certain of our cinemas, which could adversely affect our results of operations.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Our cinema operations depend upon access to film and alternative entertainment product that is attractive to our patrons, and our live theater operations depend upon the continued attractiveness of our theaters to producers. </w:t>
      </w:r>
      <w:r>
        <w:rPr>
          <w:rFonts w:ascii="Arial" w:cs="Arial" w:eastAsia="Arial" w:hAnsi="Arial"/>
          <w:sz w:val="17"/>
          <w:szCs w:val="17"/>
          <w:color w:val="auto"/>
        </w:rPr>
        <w:t>Our ability to generate revenue and profits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largely dependent on factors outside of our control, specifically, the continued ability of motion picture, alternative entertainment and live theater producers to produce films, alternative entertainment and plays that are attractive to audiences, the amount of money spent by film and alternative entertainment distributors and theatrical producers to promote their motion pictures, alternative entertainment and plays, and the willingness of these distributors and producers to license their films and alternative entertainment on terms that are financially viable to our cinemas and to rent our theaters for the presentation of their plays. To the extent that popular movies, alternative entertainment and plays are produced, our cinema and live theater activities are ultimately dependent upon our ability, in the face of competition from other cinema and live theater operators to book such movies, alternative entertainment and plays into our facilities, and to provide a superior customer offering.</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Distribution of film is in the discretion of the film distribution companies. </w:t>
      </w:r>
      <w:r>
        <w:rPr>
          <w:rFonts w:ascii="Arial" w:cs="Arial" w:eastAsia="Arial" w:hAnsi="Arial"/>
          <w:sz w:val="18"/>
          <w:szCs w:val="18"/>
          <w:color w:val="auto"/>
        </w:rPr>
        <w:t>Accordingly, we are at risk that the distributors may not give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film we request.</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Adverse economic conditions could materially affect our business by reducing discretionary income and by limiting or reducing sources of film and live theater funding. </w:t>
      </w:r>
      <w:r>
        <w:rPr>
          <w:rFonts w:ascii="Arial" w:cs="Arial" w:eastAsia="Arial" w:hAnsi="Arial"/>
          <w:sz w:val="16"/>
          <w:szCs w:val="16"/>
          <w:color w:val="auto"/>
        </w:rPr>
        <w:t>Cinema and live theater attendance is a luxury, not a necessity. Furthermore, consumer demand for better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better amenities and food 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that are very risky due to the absence of any ability to recoup investment in secondary markets like Blu-ray/DVD, cable, satellite or internet distribution.</w:t>
      </w:r>
    </w:p>
    <w:p>
      <w:pPr>
        <w:spacing w:after="0" w:line="16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 xml:space="preserve">Our screen advertising or auditorium leasing revenue may decline. </w:t>
      </w:r>
      <w:r>
        <w:rPr>
          <w:rFonts w:ascii="Arial" w:cs="Arial" w:eastAsia="Arial" w:hAnsi="Arial"/>
          <w:sz w:val="17"/>
          <w:szCs w:val="17"/>
          <w:color w:val="auto"/>
        </w:rPr>
        <w:t>Over the past several years, cinema exhibitors have been looking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increasingly to screen advertising and auditorium leasing as a way to improve income. No assurances can be given that this source of income will be continuing, or that the use of screen advertising will not ultimately prove to be counterproductive, by giving consumers a disincentive to choose going to the movies over “in-home” or mobile entertainment alternatives.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We face uncertainty as to the timing and direction of technological innovations in the cinema exhibition business and as to our access to those technologies. </w:t>
      </w:r>
      <w:r>
        <w:rPr>
          <w:rFonts w:ascii="Arial" w:cs="Arial" w:eastAsia="Arial" w:hAnsi="Arial"/>
          <w:sz w:val="18"/>
          <w:szCs w:val="18"/>
          <w:color w:val="auto"/>
        </w:rPr>
        <w:t>We have converted all of our cinema auditoriums to digital projection. However, no assurances can be given that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technological advances will not require us to make further material investments in our cinemas or face loss of business. Also, equipment is currently being developed for holographic or laser projection. The future of these technologies in the cinema exhibition industry is uncertain.</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We face competition from competitors offering food and beverage and luxury seating as an integral part of their cinema offerings. </w:t>
      </w:r>
      <w:r>
        <w:rPr>
          <w:rFonts w:ascii="Arial" w:cs="Arial" w:eastAsia="Arial" w:hAnsi="Arial"/>
          <w:sz w:val="16"/>
          <w:szCs w:val="16"/>
          <w:color w:val="auto"/>
        </w:rPr>
        <w: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our competitors offering an expanded food and beverage menu (including the sale of alcoholic beverages) and luxury seating, have emerged in recent periods. In addition, some competitors such as AMC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25" w:name="page26"/>
    <w:bookmarkEnd w:id="25"/>
    <w:p>
      <w:pPr>
        <w:ind w:right="200"/>
        <w:spacing w:after="0" w:line="259" w:lineRule="auto"/>
        <w:rPr>
          <w:sz w:val="20"/>
          <w:szCs w:val="20"/>
          <w:color w:val="auto"/>
        </w:rPr>
      </w:pPr>
      <w:r>
        <w:rPr>
          <w:rFonts w:ascii="Arial" w:cs="Arial" w:eastAsia="Arial" w:hAnsi="Arial"/>
          <w:sz w:val="18"/>
          <w:szCs w:val="18"/>
          <w:color w:val="auto"/>
        </w:rPr>
        <w:t>compete with these new cinemas, the Company has begun to materially increase its capital expenditures to add such features to many of our cinemas and to take on additional and more highly trained (and, consequently, compensated) staff. Also, the conversion to luxury seating typically requires a material reduction in the number of seats that an auditorium can accommodate which may translate into fewer movie tickets being sold.</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Our failure to obtain and maintain liquor licenses at any of our cinemas could adversely affect our business, results of operations or financial condition. </w:t>
      </w:r>
      <w:r>
        <w:rPr>
          <w:rFonts w:ascii="Arial" w:cs="Arial" w:eastAsia="Arial" w:hAnsi="Arial"/>
          <w:sz w:val="17"/>
          <w:szCs w:val="17"/>
          <w:color w:val="auto"/>
        </w:rPr>
        <w:t>Each of our cinemas offering beer and wine, and in some cases liquor, is subject to licensing and regulation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alcoholic beverage control agency in the state, county and municipality in which the cinema is located. Each cinema is required to obtain a license to sell alcoholic beverages on the premises from a state authority and, in certain locations, county and municipal authorities. Typically, licenses must be renewed annually and may be revoked or suspended for cause at any time. Alcoholic beverage control regulations relate to numerous aspects of the daily operations of each store, including minimum age of patrons and employees, hours of operation, advertising, wholesale purchasing, inventory control and handling and storage and dispensing of alcoholic beverages. The failure to receive or retain a liquor license, or any other required permit or license, in a particular location, or to continue to qualify for, or renew licenses, could have a material adverse effect on our profitability, our ability to attract patrons, and our ability to obtain such a liquor license in other locations.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We may be subject to increased labor and benefits costs generally. </w:t>
      </w:r>
      <w:r>
        <w:rPr>
          <w:rFonts w:ascii="Arial" w:cs="Arial" w:eastAsia="Arial" w:hAnsi="Arial"/>
          <w:sz w:val="18"/>
          <w:szCs w:val="18"/>
          <w:color w:val="auto"/>
        </w:rPr>
        <w:t>We are subject to laws governing such matters as minimum wages,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working conditions and overtime. As minimum wage rates increase, we may need to increase not only the wages of our minimum wage employees, but also the wages paid to employees at wage rates that are above minimum wage. Labor shortages, increased employee turnover and health care mandates could also increase our labor costs. This in turn could lead us to increase prices which could impact our sales. Conversely, if competitive pressures or other factors prevent us from offsetting increased labor costs by increases in prices, our results of operations may be adversely impacted.</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Cyber security threats and our failure to protect our electronically stored data could adversely affect our business. </w:t>
      </w:r>
      <w:r>
        <w:rPr>
          <w:rFonts w:ascii="Arial" w:cs="Arial" w:eastAsia="Arial" w:hAnsi="Arial"/>
          <w:sz w:val="17"/>
          <w:szCs w:val="17"/>
          <w:color w:val="auto"/>
        </w:rPr>
        <w:t>We store and maintain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information and data necessary to conduct our business. Data maintained in electronic form is subject to the risk of intrusion, tampering and theft. While we have adopted industry-accepted security measures and technology to protect the confidential and proprietary information, the development and maintenance of these systems is costly and require ongoing monitoring and updating as technologies change and efforts to overcome security measures become more sophisticated. As such, we may be unable to anticipate and implement adequate preventive measures in time. This may adversely affect our business, including exposure to government enforcement actions and private litigation, and our reputation with our customers and employees may be injured. In addition to Company-specific cyber threats or attacks, our business and results of operations could also be impacted by breaches affecting our peers and partners within the entertainment industry, as well as other retail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Development and Ownership Business Risks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We operate in a highly competitive environment in which we must compete against companies with much greater financial and human resources than we have. </w:t>
      </w:r>
      <w:r>
        <w:rPr>
          <w:rFonts w:ascii="Arial" w:cs="Arial" w:eastAsia="Arial" w:hAnsi="Arial"/>
          <w:sz w:val="16"/>
          <w:szCs w:val="16"/>
          <w:color w:val="auto"/>
        </w:rPr>
        <w:t>We have limited financial and human resources, compared to our principal real estate competitors. In recent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periods, we have relied heavily on outside professionals in connection with our real estate development activities. Many of our competitors have significantly greater resources and may be able to achieve greater economies of scale than we can. Given our structure as a taxable corporation, our cost of capital is typically higher than other real estate investment vehicles such as real estate investment trusts.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Real Estate Industry Generally</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Our financial performance will be affected by risks associated with the real estate industry generally. </w:t>
      </w:r>
      <w:r>
        <w:rPr>
          <w:rFonts w:ascii="Arial" w:cs="Arial" w:eastAsia="Arial" w:hAnsi="Arial"/>
          <w:sz w:val="17"/>
          <w:szCs w:val="17"/>
          <w:color w:val="auto"/>
        </w:rPr>
        <w:t>Events and conditions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government regulations,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may decline, and due to the increasing popularity of tele-commuting demand for traditional office space may decline), or the public perception that any of these events may occur, could result in declining rents or increased lease defaults. Increasing cap rates can result in lower property values. Also, we have holdings in areas that are subject to earthquake, storm and flooding risk.</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 xml:space="preserve">We may incur costs complying with the Americans with Disabilities Act and similar laws. </w:t>
      </w:r>
      <w:r>
        <w:rPr>
          <w:rFonts w:ascii="Arial" w:cs="Arial" w:eastAsia="Arial" w:hAnsi="Arial"/>
          <w:sz w:val="16"/>
          <w:szCs w:val="16"/>
          <w:color w:val="auto"/>
        </w:rPr>
        <w:t>Under the Americans with Disabilities Act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similar statutory regimes in Australia and New Zealand or under applicable state or local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26" w:name="page27"/>
    <w:bookmarkEnd w:id="26"/>
    <w:p>
      <w:pPr>
        <w:ind w:left="4" w:right="120"/>
        <w:spacing w:after="0" w:line="277" w:lineRule="auto"/>
        <w:rPr>
          <w:sz w:val="20"/>
          <w:szCs w:val="20"/>
          <w:color w:val="auto"/>
        </w:rPr>
      </w:pPr>
      <w:r>
        <w:rPr>
          <w:rFonts w:ascii="Arial" w:cs="Arial" w:eastAsia="Arial" w:hAnsi="Arial"/>
          <w:sz w:val="18"/>
          <w:szCs w:val="18"/>
          <w:color w:val="auto"/>
        </w:rPr>
        <w:t>our properties could result in the imposition of fines or an award of damages to private litigants. The cost of addressing these issues could be substantial.</w:t>
      </w:r>
    </w:p>
    <w:p>
      <w:pPr>
        <w:spacing w:after="0" w:line="170" w:lineRule="exact"/>
        <w:rPr>
          <w:sz w:val="20"/>
          <w:szCs w:val="20"/>
          <w:color w:val="auto"/>
        </w:rPr>
      </w:pPr>
    </w:p>
    <w:p>
      <w:pPr>
        <w:ind w:left="4" w:right="120"/>
        <w:spacing w:after="0" w:line="293" w:lineRule="auto"/>
        <w:rPr>
          <w:sz w:val="20"/>
          <w:szCs w:val="20"/>
          <w:color w:val="auto"/>
        </w:rPr>
      </w:pPr>
      <w:r>
        <w:rPr>
          <w:rFonts w:ascii="Arial" w:cs="Arial" w:eastAsia="Arial" w:hAnsi="Arial"/>
          <w:sz w:val="16"/>
          <w:szCs w:val="16"/>
          <w:b w:val="1"/>
          <w:bCs w:val="1"/>
          <w:i w:val="1"/>
          <w:iCs w:val="1"/>
          <w:color w:val="auto"/>
        </w:rPr>
        <w:t xml:space="preserve">Illiquidity of real estate investments could impede our ability to respond to adverse changes in the performance of our properties. </w:t>
      </w:r>
      <w:r>
        <w:rPr>
          <w:rFonts w:ascii="Arial" w:cs="Arial" w:eastAsia="Arial" w:hAnsi="Arial"/>
          <w:sz w:val="16"/>
          <w:szCs w:val="16"/>
          <w:color w:val="auto"/>
        </w:rPr>
        <w:t>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Real estate development involves a variety of risks.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Real estate development involves a variety of risks, including the following:</w:t>
      </w:r>
    </w:p>
    <w:p>
      <w:pPr>
        <w:spacing w:after="0" w:line="104" w:lineRule="exact"/>
        <w:rPr>
          <w:sz w:val="20"/>
          <w:szCs w:val="20"/>
          <w:color w:val="auto"/>
        </w:rPr>
      </w:pPr>
    </w:p>
    <w:p>
      <w:pPr>
        <w:ind w:left="644" w:right="60" w:hanging="320"/>
        <w:spacing w:after="0" w:line="249" w:lineRule="auto"/>
        <w:tabs>
          <w:tab w:leader="none" w:pos="644"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i w:val="1"/>
          <w:iCs w:val="1"/>
          <w:color w:val="auto"/>
        </w:rPr>
        <w:t>The identification and acquisition of suitable development properties</w:t>
      </w:r>
      <w:r>
        <w:rPr>
          <w:rFonts w:ascii="Arial" w:cs="Arial" w:eastAsia="Arial" w:hAnsi="Arial"/>
          <w:sz w:val="16"/>
          <w:szCs w:val="16"/>
          <w:color w:val="auto"/>
        </w:rPr>
        <w:t>. Competition for suitable development properties is intense.</w:t>
      </w:r>
      <w:r>
        <w:rPr>
          <w:rFonts w:ascii="Arial" w:cs="Arial" w:eastAsia="Arial" w:hAnsi="Arial"/>
          <w:sz w:val="16"/>
          <w:szCs w:val="16"/>
          <w:i w:val="1"/>
          <w:iCs w:val="1"/>
          <w:color w:val="auto"/>
        </w:rPr>
        <w:t xml:space="preserve"> </w:t>
      </w:r>
      <w:r>
        <w:rPr>
          <w:rFonts w:ascii="Arial" w:cs="Arial" w:eastAsia="Arial" w:hAnsi="Arial"/>
          <w:sz w:val="16"/>
          <w:szCs w:val="16"/>
          <w:color w:val="auto"/>
        </w:rPr>
        <w:t>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spacing w:after="0" w:line="76" w:lineRule="exact"/>
        <w:rPr>
          <w:rFonts w:ascii="Arial" w:cs="Arial" w:eastAsia="Arial" w:hAnsi="Arial"/>
          <w:sz w:val="26"/>
          <w:szCs w:val="26"/>
          <w:color w:val="auto"/>
          <w:vertAlign w:val="superscript"/>
        </w:rPr>
      </w:pPr>
    </w:p>
    <w:p>
      <w:pPr>
        <w:ind w:left="644" w:right="160" w:hanging="320"/>
        <w:spacing w:after="0" w:line="226" w:lineRule="auto"/>
        <w:tabs>
          <w:tab w:leader="none" w:pos="644"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procurement of necessary land use entitlements for the project</w:t>
      </w:r>
      <w:r>
        <w:rPr>
          <w:rFonts w:ascii="Arial" w:cs="Arial" w:eastAsia="Arial" w:hAnsi="Arial"/>
          <w:sz w:val="18"/>
          <w:szCs w:val="18"/>
          <w:color w:val="auto"/>
        </w:rPr>
        <w:t>. This process can take many years, particularly if opposed by</w:t>
      </w:r>
      <w:r>
        <w:rPr>
          <w:rFonts w:ascii="Arial" w:cs="Arial" w:eastAsia="Arial" w:hAnsi="Arial"/>
          <w:sz w:val="18"/>
          <w:szCs w:val="18"/>
          <w:i w:val="1"/>
          <w:iCs w:val="1"/>
          <w:color w:val="auto"/>
        </w:rPr>
        <w:t xml:space="preserve"> </w:t>
      </w:r>
      <w:r>
        <w:rPr>
          <w:rFonts w:ascii="Arial" w:cs="Arial" w:eastAsia="Arial" w:hAnsi="Arial"/>
          <w:sz w:val="18"/>
          <w:szCs w:val="18"/>
          <w:color w:val="auto"/>
        </w:rPr>
        <w:t>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81" w:lineRule="exact"/>
        <w:rPr>
          <w:rFonts w:ascii="Arial" w:cs="Arial" w:eastAsia="Arial" w:hAnsi="Arial"/>
          <w:sz w:val="29"/>
          <w:szCs w:val="29"/>
          <w:color w:val="auto"/>
          <w:vertAlign w:val="superscript"/>
        </w:rPr>
      </w:pPr>
    </w:p>
    <w:p>
      <w:pPr>
        <w:ind w:left="644" w:right="120" w:hanging="320"/>
        <w:spacing w:after="0" w:line="220" w:lineRule="auto"/>
        <w:tabs>
          <w:tab w:leader="none" w:pos="644"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construction of the project on time and on budget</w:t>
      </w:r>
      <w:r>
        <w:rPr>
          <w:rFonts w:ascii="Arial" w:cs="Arial" w:eastAsia="Arial" w:hAnsi="Arial"/>
          <w:sz w:val="18"/>
          <w:szCs w:val="18"/>
          <w:color w:val="auto"/>
        </w:rPr>
        <w:t>. Construction risks include the availability and cost of financing;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and costs of material and labor; the costs of dealing with unknown site conditions (including addressing pollution or environmental wastes deposited upon the property by prior owners); inclement weather conditions; and the ever-present potential for labor-related disruptions.</w:t>
      </w:r>
    </w:p>
    <w:p>
      <w:pPr>
        <w:spacing w:after="0" w:line="83" w:lineRule="exact"/>
        <w:rPr>
          <w:rFonts w:ascii="Arial" w:cs="Arial" w:eastAsia="Arial" w:hAnsi="Arial"/>
          <w:sz w:val="29"/>
          <w:szCs w:val="29"/>
          <w:color w:val="auto"/>
          <w:vertAlign w:val="superscript"/>
        </w:rPr>
      </w:pPr>
    </w:p>
    <w:p>
      <w:pPr>
        <w:ind w:left="644" w:right="100" w:hanging="320"/>
        <w:spacing w:after="0" w:line="238" w:lineRule="auto"/>
        <w:tabs>
          <w:tab w:leader="none" w:pos="644"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i w:val="1"/>
          <w:iCs w:val="1"/>
          <w:color w:val="auto"/>
        </w:rPr>
        <w:t>The leasing or sell-out of the project</w:t>
      </w:r>
      <w:r>
        <w:rPr>
          <w:rFonts w:ascii="Arial" w:cs="Arial" w:eastAsia="Arial" w:hAnsi="Arial"/>
          <w:sz w:val="17"/>
          <w:szCs w:val="17"/>
          <w:color w:val="auto"/>
        </w:rPr>
        <w:t>. Ultimately, there are risks involved in the leasing of a rental property or the sale of a</w:t>
      </w:r>
      <w:r>
        <w:rPr>
          <w:rFonts w:ascii="Arial" w:cs="Arial" w:eastAsia="Arial" w:hAnsi="Arial"/>
          <w:sz w:val="17"/>
          <w:szCs w:val="17"/>
          <w:i w:val="1"/>
          <w:iCs w:val="1"/>
          <w:color w:val="auto"/>
        </w:rPr>
        <w:t xml:space="preserve"> </w:t>
      </w:r>
      <w:r>
        <w:rPr>
          <w:rFonts w:ascii="Arial" w:cs="Arial" w:eastAsia="Arial" w:hAnsi="Arial"/>
          <w:sz w:val="17"/>
          <w:szCs w:val="17"/>
          <w:color w:val="auto"/>
        </w:rPr>
        <w:t>condominium or built-for-sale property. For our ETCs,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spacing w:after="0" w:line="80" w:lineRule="exact"/>
        <w:rPr>
          <w:rFonts w:ascii="Arial" w:cs="Arial" w:eastAsia="Arial" w:hAnsi="Arial"/>
          <w:sz w:val="28"/>
          <w:szCs w:val="28"/>
          <w:color w:val="auto"/>
          <w:vertAlign w:val="superscript"/>
        </w:rPr>
      </w:pPr>
    </w:p>
    <w:p>
      <w:pPr>
        <w:ind w:left="644" w:hanging="320"/>
        <w:spacing w:after="0" w:line="220" w:lineRule="auto"/>
        <w:tabs>
          <w:tab w:leader="none" w:pos="644"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refinancing of completed properties</w:t>
      </w:r>
      <w:r>
        <w:rPr>
          <w:rFonts w:ascii="Arial" w:cs="Arial" w:eastAsia="Arial" w:hAnsi="Arial"/>
          <w:sz w:val="18"/>
          <w:szCs w:val="18"/>
          <w:color w:val="auto"/>
        </w:rPr>
        <w:t>. Properties are often developed using relatively short-term loans. Upon completion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w:t>
      </w:r>
    </w:p>
    <w:p>
      <w:pPr>
        <w:spacing w:after="0" w:line="206" w:lineRule="exact"/>
        <w:rPr>
          <w:sz w:val="20"/>
          <w:szCs w:val="20"/>
          <w:color w:val="auto"/>
        </w:rPr>
      </w:pPr>
    </w:p>
    <w:p>
      <w:pPr>
        <w:ind w:left="4" w:right="100"/>
        <w:spacing w:after="0" w:line="291" w:lineRule="auto"/>
        <w:rPr>
          <w:sz w:val="20"/>
          <w:szCs w:val="20"/>
          <w:color w:val="auto"/>
        </w:rPr>
      </w:pPr>
      <w:r>
        <w:rPr>
          <w:rFonts w:ascii="Arial" w:cs="Arial" w:eastAsia="Arial" w:hAnsi="Arial"/>
          <w:sz w:val="16"/>
          <w:szCs w:val="16"/>
          <w:b w:val="1"/>
          <w:bCs w:val="1"/>
          <w:i w:val="1"/>
          <w:iCs w:val="1"/>
          <w:color w:val="auto"/>
        </w:rPr>
        <w:t xml:space="preserve">The ownership of properties involves risk. </w:t>
      </w:r>
      <w:r>
        <w:rPr>
          <w:rFonts w:ascii="Arial" w:cs="Arial" w:eastAsia="Arial" w:hAnsi="Arial"/>
          <w:sz w:val="16"/>
          <w:szCs w:val="16"/>
          <w:color w:val="auto"/>
        </w:rPr>
        <w:t>The ownership of investment properties involves risks, such as: (i) ongoing leasing and re-leasing risks, (ii) ongoing financing and re-financing risks, (iii) market risks as to the multiples offered by buyers of investment properties,</w:t>
      </w:r>
    </w:p>
    <w:p>
      <w:pPr>
        <w:ind w:left="4" w:right="80" w:hanging="4"/>
        <w:spacing w:after="0" w:line="269" w:lineRule="auto"/>
        <w:tabs>
          <w:tab w:leader="none" w:pos="309"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w:t>
      </w:r>
    </w:p>
    <w:p>
      <w:pPr>
        <w:spacing w:after="0" w:line="181"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b w:val="1"/>
          <w:bCs w:val="1"/>
          <w:i w:val="1"/>
          <w:iCs w:val="1"/>
          <w:color w:val="auto"/>
        </w:rPr>
        <w:t xml:space="preserve">A number of our assets are in geologically active areas, presenting risk of earthquake and land movement. </w:t>
      </w:r>
      <w:r>
        <w:rPr>
          <w:rFonts w:ascii="Arial" w:cs="Arial" w:eastAsia="Arial" w:hAnsi="Arial"/>
          <w:sz w:val="17"/>
          <w:szCs w:val="17"/>
          <w:color w:val="auto"/>
        </w:rPr>
        <w:t>We have properties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California and New Zealand, areas that present a greater risk of earthquake and/or land movement than other locations. New Zealand has in recent periods had several major earthquakes damaging our facilities in Christchurch and Wellington. The ability to insure for such casualties is limited and may become more difficult and/or more expensive in future periods.</w:t>
      </w:r>
    </w:p>
    <w:p>
      <w:pPr>
        <w:spacing w:after="0" w:line="171"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b w:val="1"/>
          <w:bCs w:val="1"/>
          <w:i w:val="1"/>
          <w:iCs w:val="1"/>
          <w:color w:val="auto"/>
        </w:rPr>
        <w:t xml:space="preserve">We may be subject to liability under environmental laws and regulations. </w:t>
      </w:r>
      <w:r>
        <w:rPr>
          <w:rFonts w:ascii="Arial" w:cs="Arial" w:eastAsia="Arial" w:hAnsi="Arial"/>
          <w:sz w:val="16"/>
          <w:szCs w:val="16"/>
          <w:color w:val="auto"/>
        </w:rPr>
        <w:t>We own and operate a large number of cinemas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properties within the U.S. and internationally, 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materials or wastes. Certain of these laws and regulations may impose liability, including on a joint and several liability, which can result in a liable party being obliged to pay for greater than its share, regardless of fault or the legality of the</w:t>
      </w:r>
    </w:p>
    <w:p>
      <w:pPr>
        <w:spacing w:after="0" w:line="16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4"/>
          </w:cols>
          <w:pgMar w:left="896" w:top="125" w:right="919" w:bottom="1440" w:gutter="0" w:footer="0" w:header="0"/>
        </w:sectPr>
      </w:pPr>
    </w:p>
    <w:bookmarkStart w:id="27" w:name="page28"/>
    <w:bookmarkEnd w:id="27"/>
    <w:p>
      <w:pPr>
        <w:ind w:right="80"/>
        <w:spacing w:after="0" w:line="277" w:lineRule="auto"/>
        <w:rPr>
          <w:sz w:val="20"/>
          <w:szCs w:val="20"/>
          <w:color w:val="auto"/>
        </w:rPr>
      </w:pPr>
      <w:r>
        <w:rPr>
          <w:rFonts w:ascii="Arial" w:cs="Arial" w:eastAsia="Arial" w:hAnsi="Arial"/>
          <w:sz w:val="18"/>
          <w:szCs w:val="18"/>
          <w:color w:val="auto"/>
        </w:rPr>
        <w:t>original disposal. Environmental conditions relating to our properties or operations could have an adverse effect on our business and results of operations and cash flows.</w:t>
      </w:r>
    </w:p>
    <w:p>
      <w:pPr>
        <w:spacing w:after="0" w:line="17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i w:val="1"/>
          <w:iCs w:val="1"/>
          <w:color w:val="auto"/>
        </w:rPr>
        <w:t xml:space="preserve">Legislative or regulatory initiatives related to global warming/climate change concerns may negatively impact our business. </w:t>
      </w:r>
      <w:r>
        <w:rPr>
          <w:rFonts w:ascii="Arial" w:cs="Arial" w:eastAsia="Arial" w:hAnsi="Arial"/>
          <w:sz w:val="16"/>
          <w:szCs w:val="16"/>
          <w:color w:val="auto"/>
        </w:rPr>
        <w:t>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has been an increasing focus and continuous 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However, we are unable to predict at this time, the potential effects, if any, that any future environmental initiatives may have on our business.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Changes in interest rates may increase our interest expense. </w:t>
      </w:r>
      <w:r>
        <w:rPr>
          <w:rFonts w:ascii="Arial" w:cs="Arial" w:eastAsia="Arial" w:hAnsi="Arial"/>
          <w:sz w:val="17"/>
          <w:szCs w:val="17"/>
          <w:color w:val="auto"/>
        </w:rPr>
        <w:t>Because a portion of our debt bears interest at variable rates, increases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rates could materially increase our interest expense. In each of March, June, September and December 2018, the U.S. Federal Reserve raised its benchmark interest rate by a quarter of a percentage point, with additional increases expected to come over the next year. If interest rates continue increasing, our debt service obligations on the variable rate indebtedness would increase even though the amount borrowed remained the same, and our net income and cash flows, including cash available for servicing our indebtedness, will correspondingly decrease. Based on our debt outstanding as of December 31, 2018, if interest rates were to increase by 1%, the corresponding increase in interest expense on our variable rate debt would decrease future earnings and cash flows by approximately $1.4 million per year. Potential future increases in interest rates may therefore negatively affect our financial condition and results of operations, and reduce our access to the debt or equity capital markets.</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some of our variable rate indebtedness uses LIBOR as a benchmark for establishing the rate. LIBOR is the subject of recent national, international and other regulatory guidance and proposals for reform. On July 27, 2017, the United Kingdom’s Financial Conduct Authority announced that it intends to phase out LIBOR by the end of 2021. These reforms and other pressures may cause LIBOR to disappear entirely or to perform differently than in the past. The consequences of these developments cannot be entirely predicted, but could include an increase in the cost of our variable rate indebtedness.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International Business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variety of risks, including the following:</w:t>
      </w:r>
    </w:p>
    <w:p>
      <w:pPr>
        <w:spacing w:after="0" w:line="104" w:lineRule="exact"/>
        <w:rPr>
          <w:sz w:val="20"/>
          <w:szCs w:val="20"/>
          <w:color w:val="auto"/>
        </w:rPr>
      </w:pPr>
    </w:p>
    <w:p>
      <w:pPr>
        <w:ind w:left="640" w:hanging="320"/>
        <w:spacing w:after="0" w:line="236" w:lineRule="auto"/>
        <w:tabs>
          <w:tab w:leader="none" w:pos="6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b w:val="1"/>
          <w:bCs w:val="1"/>
          <w:i w:val="1"/>
          <w:iCs w:val="1"/>
          <w:color w:val="auto"/>
        </w:rPr>
        <w:t>Currency Risk</w:t>
      </w:r>
      <w:r>
        <w:rPr>
          <w:rFonts w:ascii="Arial" w:cs="Arial" w:eastAsia="Arial" w:hAnsi="Arial"/>
          <w:sz w:val="18"/>
          <w:szCs w:val="18"/>
          <w:color w:val="auto"/>
        </w:rPr>
        <w:t>: while we report our earnings and net assets in U.S. dollars, substantial portions of our revenue and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 compared to the U.S. dollar. Also, our use of local borrowings to mitigate the business risk of currency fluctuations has reduced our flexibility to move cash between jurisdictions. Set forth below is a chart of the exchange ratios between these three currencies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139065</wp:posOffset>
            </wp:positionV>
            <wp:extent cx="4210685" cy="2915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106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recent periods, we have repaid intercompany debt and used the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will effectively raise the overall cost of our borrowing and capital and make it more expensive to return funds from the United States to Australia and New Zealand.</w:t>
      </w:r>
    </w:p>
    <w:p>
      <w:pPr>
        <w:spacing w:after="0" w:line="67" w:lineRule="exact"/>
        <w:rPr>
          <w:sz w:val="20"/>
          <w:szCs w:val="20"/>
          <w:color w:val="auto"/>
        </w:rPr>
      </w:pPr>
    </w:p>
    <w:p>
      <w:pPr>
        <w:ind w:left="640" w:right="60" w:hanging="320"/>
        <w:spacing w:after="0" w:line="223" w:lineRule="auto"/>
        <w:tabs>
          <w:tab w:leader="none" w:pos="6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Risk of adverse government regulation</w:t>
      </w:r>
      <w:r>
        <w:rPr>
          <w:rFonts w:ascii="Arial" w:cs="Arial" w:eastAsia="Arial" w:hAnsi="Arial"/>
          <w:sz w:val="17"/>
          <w:szCs w:val="17"/>
          <w:color w:val="auto"/>
        </w:rPr>
        <w:t>: currently, we believe that relations between the United States, Australia,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Zealand are good. However, no assurances can be given that these relationships will continue and that Australia and New Zealand will not in the future seek to regulate more highly the business done by U.S. companies in their countries.</w:t>
      </w:r>
    </w:p>
    <w:p>
      <w:pPr>
        <w:spacing w:after="0" w:line="80" w:lineRule="exact"/>
        <w:rPr>
          <w:rFonts w:ascii="Arial" w:cs="Arial" w:eastAsia="Arial" w:hAnsi="Arial"/>
          <w:sz w:val="28"/>
          <w:szCs w:val="28"/>
          <w:color w:val="auto"/>
          <w:vertAlign w:val="superscript"/>
        </w:rPr>
      </w:pPr>
    </w:p>
    <w:p>
      <w:pPr>
        <w:ind w:left="640" w:right="300" w:hanging="320"/>
        <w:spacing w:after="0" w:line="221" w:lineRule="auto"/>
        <w:tabs>
          <w:tab w:leader="none" w:pos="64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Risk of adverse labor relations</w:t>
      </w:r>
      <w:r>
        <w:rPr>
          <w:rFonts w:ascii="Arial" w:cs="Arial" w:eastAsia="Arial" w:hAnsi="Arial"/>
          <w:sz w:val="16"/>
          <w:szCs w:val="16"/>
          <w:color w:val="auto"/>
        </w:rPr>
        <w:t>: deterioration in labor relations could lead to an increased cost of labor (including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requirements with respect to pension liabilities, disability insurance and health coverage, and vacations and leave).</w:t>
      </w:r>
    </w:p>
    <w:p>
      <w:pPr>
        <w:spacing w:after="0" w:line="200" w:lineRule="exact"/>
        <w:rPr>
          <w:rFonts w:ascii="Arial" w:cs="Arial" w:eastAsia="Arial" w:hAnsi="Arial"/>
          <w:sz w:val="26"/>
          <w:szCs w:val="26"/>
          <w:color w:val="auto"/>
          <w:vertAlign w:val="superscript"/>
        </w:rPr>
      </w:pPr>
    </w:p>
    <w:p>
      <w:pPr>
        <w:spacing w:after="0" w:line="219" w:lineRule="exact"/>
        <w:rPr>
          <w:rFonts w:ascii="Arial" w:cs="Arial" w:eastAsia="Arial" w:hAnsi="Arial"/>
          <w:sz w:val="26"/>
          <w:szCs w:val="26"/>
          <w:color w:val="auto"/>
          <w:vertAlign w:val="superscript"/>
        </w:rPr>
      </w:pPr>
    </w:p>
    <w:p>
      <w:pPr>
        <w:ind w:left="4960" w:hanging="146"/>
        <w:spacing w:after="0"/>
        <w:tabs>
          <w:tab w:leader="none" w:pos="4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29" w:name="page30"/>
    <w:bookmarkEnd w:id="29"/>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Trade disputes and geopolitical instability outside of the U.S. may adversely impact the U.S. and global economies. </w:t>
      </w:r>
      <w:r>
        <w:rPr>
          <w:rFonts w:ascii="Arial" w:cs="Arial" w:eastAsia="Arial" w:hAnsi="Arial"/>
          <w:sz w:val="16"/>
          <w:szCs w:val="16"/>
          <w:color w:val="auto"/>
        </w:rPr>
        <w:t>In 2018,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growth weakened, trade tensions heightened, and several emerging markets experienced significant downturns as macroeconomic and geopolitical developments weighed on market sentiments. Governmental policies of developed economies, such as the U.S., have a substantial effect on emerging markets, and the consequences of a trade war between two developed countries, like that of the U.S. and China, could further contribute to the adverse economic and political conditions of emerging and other developed economies. Additionally, North Korea’s nuclear weapons capabilities continue to be an ongoing security concern and worsening relations between the U.S. and North Korea continue to create a global security issue that may adversely affect international business and economic conditions. While it is difficult for us to predict the effect of such trade wars and heightened geopolitical and economic instability on our business, they could lead to currency devaluation, economic and political turmoil, market volatility, and a loss of consumer confidence in the broader U.S. economy.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Certain Discontinued Operations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Financial Structure and Borrowing Risk</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 xml:space="preserve">From time to time, we may have negative working capital. </w:t>
      </w:r>
      <w:r>
        <w:rPr>
          <w:rFonts w:ascii="Arial" w:cs="Arial" w:eastAsia="Arial" w:hAnsi="Arial"/>
          <w:sz w:val="17"/>
          <w:szCs w:val="17"/>
          <w:color w:val="auto"/>
        </w:rPr>
        <w:t>In recent years, as we have invested our cash in new acquisitions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of our existing properties, we have had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We are subject to complex taxation, changes in tax rates, adoption of new U.S. or international tax legislation and disagreements with tax authorities that could adversely affect our business, financial condition or results of operations. </w:t>
      </w:r>
      <w:r>
        <w:rPr>
          <w:rFonts w:ascii="Arial" w:cs="Arial" w:eastAsia="Arial" w:hAnsi="Arial"/>
          <w:sz w:val="18"/>
          <w:szCs w:val="18"/>
          <w:color w:val="auto"/>
        </w:rPr>
        <w:t>We are subject to many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forms of taxation in both the U.S. and in foreign jurisdictions where we operate, such as the U.S. Tax Cuts and Jobs Act signed into law in December 2017. The new laws are still evolving and require we interpret the provisions of the law as we try to comply with them. The costs of compliance with these laws and regulations are high and are likely to increase in the future. Any failure on our part to comply with these laws and regulations can result in negative publicity and diversion of management time and effort and may subject us to significant liabilities and other penalties.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Changes in U.S. accounting standards may adversely impact our business. </w:t>
      </w:r>
      <w:r>
        <w:rPr>
          <w:rFonts w:ascii="Arial" w:cs="Arial" w:eastAsia="Arial" w:hAnsi="Arial"/>
          <w:sz w:val="17"/>
          <w:szCs w:val="17"/>
          <w:color w:val="auto"/>
        </w:rPr>
        <w:t>In February 2016, the Financial Accounting Standard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(FASB) issued Accounting Standards Update (ASU) 2016-02 Leases (ASC 842). This ASU was a joint effort by FASB and the International Accounting Standards Board (IASB) to improve the financial reporting of leasing transactions by requiring companies to recognize lease assets and lease liabilities on their balance sheet. ASU 2016-02 could require significant changes to our balance sheet relating to the recognition of operating leases as assets or liabilities based on existing lease terms and whether we are the lessor or lessee. Although these standards become effective in 2019, these changes in accounting standards could have a material effect on our financial condition or results of operations which, ultimately, could materially impact the price of our stock.</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We have substantial short to medium term debt. </w:t>
      </w:r>
      <w:r>
        <w:rPr>
          <w:rFonts w:ascii="Arial" w:cs="Arial" w:eastAsia="Arial" w:hAnsi="Arial"/>
          <w:sz w:val="18"/>
          <w:szCs w:val="18"/>
          <w:color w:val="auto"/>
        </w:rPr>
        <w:t>Generally speaking, we have historically financed our operations through relatively short-term debt. No assurances can be given that we will be able to refinance this debt, or if we can, that the terms will be reasonable. However, as a counterbalance to this debt, we have certain unencumbered real property assets, which could be sold to pay debt or encumbered to assist in the refinancing of existing debt, if necessary.</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We have substantial lease liabilities. </w:t>
      </w:r>
      <w:r>
        <w:rPr>
          <w:rFonts w:ascii="Arial" w:cs="Arial" w:eastAsia="Arial" w:hAnsi="Arial"/>
          <w:sz w:val="18"/>
          <w:szCs w:val="18"/>
          <w:color w:val="auto"/>
        </w:rPr>
        <w:t>Most of our cinemas operate in leased facilities. These leases typically have “cost of living”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rent adjustment features and require that we operate the properties as cinemas. A downturn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Our stock is thinly traded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 is thinly traded, with an average daily volume in 2018 of only approximately 45,123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Our Class B Stock is very thinly traded with even less volume. This can result in significant volatility, as demand by buyers and sellers can easily get out of balance.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Management Structure, Corporate Governance, and Change of Control Risks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Pending disputes among the heirs of James J. Cotter, Sr., have over the past three years caused, and may continue to cause, uncertainty regarding the ongoing control of the Company by the Cotter family and have distracted and may continue to distract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30" w:name="page31"/>
    <w:bookmarkEnd w:id="30"/>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the time and attention of our officers and directors from our business and operations and may ultimately interfere with the effective management of the Company. </w:t>
      </w:r>
      <w:r>
        <w:rPr>
          <w:rFonts w:ascii="Arial" w:cs="Arial" w:eastAsia="Arial" w:hAnsi="Arial"/>
          <w:sz w:val="18"/>
          <w:szCs w:val="18"/>
          <w:color w:val="auto"/>
        </w:rPr>
        <w:t>Up until his death on September 13, 2014, James J. Cotter, Sr., the father of Ellen Cotter, James J. Cotter, Jr.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Margaret Cotter, was our controlling stockholder, having the sole power to vote approximately 66.9% of the outstanding voting stock of the Company. Under applicable Nevada Law, a stockholder holding more than 2/3rds of the Company’s voting stock has the power at any time, with or without cause, to remove any one or more directors (up to and including the entire board of directors) by written consent taken without a meeting of the stockholders.</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Since his death, disputes have arisen among Ellen Cotter, James J. Cotter, Jr. and Margaret Cotter concerning the voting control of those shares and regarding the exercise by the Estate of James J. Cotter, Sr. Deceased (the “Cotter Estate”) of options to acquire an additional 100,000 shares of Class B Stock. At the present time, Ellen Cotter is the Chair, President and Chief Executive Officer of our Company. Margaret Cotter is the Vice-Chair of our Company, Executive Vice-President – Real Estate Management and Development, NYC and the President of Liberty Theaters, LLC, the company through which we own and operate our live theaters. She heads up the management and redevelopment of our New York properties. James J. Cotter, Jr., from June 2013 until June 12, 2015 was the President and from August 7, 2014 until June 12, 2015 was the Chief Executive Officer of our Company, having been removed from those positions by Board action on June 12, 2015. From 2002 until November 7, 2018, Mr. Cotter, Jr., was also a director of our Company.</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31, 2018, according to the books of the Company, the Living Trust established by the Declaration of Trust dated June 5, 2013, by James J. Cotter, Sr. (the “Cotter Trust”), held of record 696,080 shares of our Class B Stock constituting approximately 41.4% of the voting power of our outstanding capital stock. According to the books of the Company, the Cotter Estate as of that date held of record an additional 427,808 shares of Class B Stock, constituting approximately 25.5% of the voting power of our outstanding capital stock. We are advised, based upon public filings made by one or more of Ellen Cotter, Margaret Cotter and James J. Cotter, Jr. (the “Cotter Filings”) that the Class B Stock currently held of record by the Cotter Estate will eventually pour over into the Cotter Trust. We are further advised from the Cotter Filings that the Cotter Trust also provides for the establishment of a voting trust (the “Cotter Voting Trust”) which will eventually hold the Class B Stock currently held by the Cotter Estate and the Cotter Trust. At the present time, however, such Class B Stock is held of record by the Cotter Trust and the Cotter Estate, respectively.</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On December 22, 2014, the District Court of Clark County, Nevada, (the “Nevada District Court”) appointed Ellen Cotter and Margaret Cotter as co-executors of the Cotter Estate. On March 23, 2018, the Superior Court of the State of California, County of Los Angeles (the “California Superior Court”), issued its judgement in the case captioned </w:t>
      </w:r>
      <w:r>
        <w:rPr>
          <w:rFonts w:ascii="Arial" w:cs="Arial" w:eastAsia="Arial" w:hAnsi="Arial"/>
          <w:sz w:val="17"/>
          <w:szCs w:val="17"/>
          <w:i w:val="1"/>
          <w:iCs w:val="1"/>
          <w:color w:val="auto"/>
        </w:rPr>
        <w:t>In re James J. Cotter Living Trust dated August 1, 2000</w:t>
      </w:r>
      <w:r>
        <w:rPr>
          <w:rFonts w:ascii="Arial" w:cs="Arial" w:eastAsia="Arial" w:hAnsi="Arial"/>
          <w:sz w:val="17"/>
          <w:szCs w:val="17"/>
          <w:color w:val="auto"/>
        </w:rPr>
        <w:t xml:space="preserve"> (Case No. BP159755) (the “Trust Case”), to the effect that Ellen Cotter and Margaret Cotter are the Co-Trustees of the Cotter Trust and that Margaret Cotter is the sole Trustee of the Voting Trust. As the appeal period for that judgment has expired, the California Superior Court’s determination in this regard is now final and not subject to review. Accordingly, in the view of the Company, Ellen Cotter and Margaret Cotter have voting control over the shares held by the Cotter Trust and the Cotter Estate, collectively representing 66.9% of our Company’s Class B Stock. Taking into account Ellen Cotter and Margaret Cotter’s personal holdings of voting stock, Ellen Cotter and Margaret Cotter have the power to vote 71.9% of our Company’s voting stock.</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understand from public filings made by Ellen Cotter and Margaret Cotter and public filings made by James J. Cotter, that James J.</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Cotter, Jr. is the first alternate trustee of the Voting Trust, in the event that Margaret Cotter is unable or unwilling to serve as trustee.</w:t>
      </w:r>
    </w:p>
    <w:p>
      <w:pPr>
        <w:spacing w:after="0" w:line="22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our Company is not a party to the Trust Case, our Company has appeared to protect (a) the business plan adopted by our Board of Directors and its determination that stockholder interests are best achieved by continuing with that business plan rather than selling the Company at this time and (b) in the event that the California Court were to disregard the advice of our Board and order that a controlling interest in our Company be marketed or sold, that the interests of our Company and stockholders generally are protected. Our Company’s participation in the Trust Case since August 2017 has been overseen by a Special Independent Committee of the Board of Directors currently comprised of directors Doug McEachern and Judy Codding.</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8, 2017, James Cotter, Jr. filed in the Trust Case an Ex Parte Petition for Appointment of a trustee ad litem and of a guardian ad litem for the benefit of Cotter, Sr.’s, minor grandchildren (two of whom are the children of Margaret Cotter and three of whom are the children of James Cotter, Jr., and who are referred to herein as the “Cotter Grandchildren”). Mr. Cotter, Jr., sought the appointment of a trustee ad litem, to evaluate the non-binding indication of interest sent by Patton Vision, LLC (“Patton Vision”), to the Trustees of the Cotter Trust to acquire the RDI shares held by the Cotter Trust at $18.50 per share (referred to in Mr. Cotter, Jr’s pleadings as the “Offer”) and to take reasonable steps to act on the Offer in the trustee’s sole discretion. Specifically, Mr. Cotter Jr. sought an order “granting the trustee ad litem with full power, authority, and protections under the Cotter Trust and California trust law, as any other named trustee would have, to evaluate the Offer, conduct due diligence, negotiate with Patton Vision or any other potential offerors, and take all actions necessary or appropriate to consummate the sale of the Cotter Trust’s RDI shares, including but not limited to:</w:t>
      </w:r>
    </w:p>
    <w:p>
      <w:pPr>
        <w:spacing w:after="0" w:line="167" w:lineRule="exact"/>
        <w:rPr>
          <w:sz w:val="20"/>
          <w:szCs w:val="20"/>
          <w:color w:val="auto"/>
        </w:rPr>
      </w:pPr>
    </w:p>
    <w:p>
      <w:pPr>
        <w:ind w:left="640" w:hanging="32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communicate solely with Patton Vision regarding their Offer to purchase the Cotter Trust’s RDI shares;</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 solely and exclusively all offers for the purchase of the Cotter Trust’s RDI shares;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purchase and sale agreements with respect to the Cotter Trust’s RDI shares;</w:t>
      </w:r>
    </w:p>
    <w:p>
      <w:pPr>
        <w:spacing w:after="0" w:line="210" w:lineRule="exact"/>
        <w:rPr>
          <w:rFonts w:ascii="Arial" w:cs="Arial" w:eastAsia="Arial" w:hAnsi="Arial"/>
          <w:sz w:val="18"/>
          <w:szCs w:val="18"/>
          <w:color w:val="auto"/>
        </w:rPr>
      </w:pPr>
    </w:p>
    <w:p>
      <w:pPr>
        <w:ind w:left="4960" w:hanging="146"/>
        <w:spacing w:after="0"/>
        <w:tabs>
          <w:tab w:leader="none" w:pos="4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31" w:name="page32"/>
    <w:bookmarkEnd w:id="31"/>
    <w:p>
      <w:pPr>
        <w:ind w:left="640" w:right="60" w:hanging="320"/>
        <w:spacing w:after="0" w:line="25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all actions necessary to carry out the terms, conditions, and obligations of any purchase and sale agreement with respect to the Cotter Trust’s RDI shares, including negotiating any modifications thereto;</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all proceeds of sale from the Cotter Trust’s RDI shares;</w:t>
      </w:r>
    </w:p>
    <w:p>
      <w:pPr>
        <w:spacing w:after="0" w:line="9" w:lineRule="exact"/>
        <w:rPr>
          <w:rFonts w:ascii="Arial" w:cs="Arial" w:eastAsia="Arial" w:hAnsi="Arial"/>
          <w:sz w:val="18"/>
          <w:szCs w:val="18"/>
          <w:color w:val="auto"/>
        </w:rPr>
      </w:pPr>
    </w:p>
    <w:p>
      <w:pPr>
        <w:ind w:left="640" w:right="120" w:hanging="320"/>
        <w:spacing w:after="0" w:line="281"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return to the co-trustees of the Cotter Trust, namely Margaret Cotter, Ellen Cotter, and James J. Cotter, Jr., net proceeds of the sale of the Cotter Trust’s RDI shares to be invested, managed and distributed in accordance with the terms of the Cotter Trust;</w:t>
      </w:r>
    </w:p>
    <w:p>
      <w:pPr>
        <w:spacing w:after="0" w:line="1" w:lineRule="exact"/>
        <w:rPr>
          <w:rFonts w:ascii="Arial" w:cs="Arial" w:eastAsia="Arial" w:hAnsi="Arial"/>
          <w:sz w:val="16"/>
          <w:szCs w:val="16"/>
          <w:color w:val="auto"/>
        </w:rPr>
      </w:pPr>
    </w:p>
    <w:p>
      <w:pPr>
        <w:ind w:left="640" w:right="500" w:hanging="320"/>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investment advisors, tax advisors, accountants, attorneys, or any other advisors the trustee ad litem deems necessary and reasonable, in his or her sole discretion, to carry out his powers; and,</w:t>
      </w:r>
    </w:p>
    <w:p>
      <w:pPr>
        <w:ind w:left="640" w:right="220" w:hanging="320"/>
        <w:spacing w:after="0" w:line="261"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temporarily suspending James J. Cotter, Jr., Margaret and Ellen’s powers with respect to all of the foregoing matters until further order of this Court.”</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Notwithstanding its determination that Mr. Cotter, Jr. was not a trustee of either the Cotter Trust or the Voting Trust, on February 14, 2018, the California Superior Court issued its “Statement of Decision” to appoint a temporary trustee ad litem (the “TTAL”) “with the narrow and specific authority to obtain offers to purchase the RDI stock in the voting trust, but not to exercise any other powers without court approval, specifically the sale of the company or any other powers possessed by the trustees.” The California Superior Court’s order based on that Statement of Decision was entered on March 23, 2018. That order was appealed by Ellen Cotter and Margaret Cotter to the California Court of Appeals for the Second District (the “California Court of Appeals”), and on April 2, 2018, the California Court of Appeals entered its order to show cause and a stay (the “Order to Show Cause and Stay”) as to why the court below “should not be compelled to vacate your order of March 23, 2018 directing that trustee ad litem be appointed to obtain offers to purchase the voting-stock trust’s interest in Reading International, Inc., and issue a new and different order denying the ex parte petition seeking a trustee ad litem. . . . All trial court proceedings are stayed pending disposition of this proceeding or further order of this court.” Briefs have been submitted by all parties, and a hearing is set for April 5, 2019. Accordingly, no temporary trustee ad litem has been appointed and no solicitation of offers is ongoing.</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so far as we are aware, based upon public filings and our internal records, at the present time the Voting Trust does not own any shares of RDI stock. The shares which are anticipated to flow into the Voting Trust are, insofar as our Company is aware, currently owned by the Cotter Estate and the Cotter Trust.</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continue to believe that, whether or not a final determination is made to sell the voting shares, the appointment of a TTAL would pose risks to our Company and our stockholders for a variety of reasons, including the resultant potential for: (i) distraction of management and key employees from focusing on the conduct of our business, including the implementation of our three year business strategy, (ii) incurrence of additional general and administrative costs due to the need to implement employee retention programs and to incur legal expenses of the type and at levels not typically required in the ordinary conduct of our Company’s business, (iii) interference with contractual relationships, negotiations and potential negotiations with third parties important to our Company’s business, including, without limitation, current and future lenders, tenants, landlords, suppliers and co-developers, (iv) increased difficulty in hiring and retaining high quality employees, and (v) exposure of our Company to potential litigation claims of the type which often accompany any extraordinary corporate transactions together with the expense, distraction and time loss that typically results from any such litigation. If the California Superior Court’s order is not reversed by the California Court of Appeals and if a decision to sell a controlling interest is made by the California Superior Court, then there would be the additional risk that control might be sold to an unqualified purchaser who might exploit such control position in a manner not consistent with the best interests of our Company or stockholders generally.</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May 2016, Patton Vision has sent various non-binding indications of interest to us to purchase all of our Company’s outstanding shares. In each case our Board of Directors has determined that our Company and our stockholders would be best served by our continued independence and by our pursuit of our business strategy. We were informed that on January 23, 2017, Patton Vision separately sent a similar indication of interest to the co-trustees of the Cotter Trust to purchase the Cotter Trust’s shares and to the Co-Executors of the Cotter Estate to purchase the Cotter Estate’s shares. We have been advised by Ellen Cotter and Margaret Cotter that, acting in their capacities as the Co-Executors of the Cotter Estate and as the Co-Trustees of the Cotter Trust and by Margaret Cotter, acting in her capacity as the Trustee of the to-be-formed Voting Trust, that they do not have any current plans to sell voting control of our Company.</w:t>
      </w:r>
    </w:p>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Most recently, on November 6, 2018, we received a non-binding indication of interest from Patton Vision dated November 5, 2018, stating an indicated purchase price of $444.0 million, allocated $17.22 per share for our Class A Common Stock and $37.38 per share for our Class B Common Stock. In a further letter dated January 17, 2019, Patton Vision clarified that “the value per Class A and Class B shares reflected [in the November 5, 2018 non-binding indication of interest] were exemplary and intended to reflect that the proposal represented a substantial equity value premium across Reading classes of common stock” and extended the term of its non-binding indication of interest to March 29, 2019. On March 14, 2019, our Board of Directors, following consideration and adoption of our three year business strategy, once again confirmed its determination that our Company and our stockholders would be best served by our continued independence and by our pursuit of our business strategy. Our Board of Directors instructed our management to inform Patton Vision once again that our Board had no present interest in engaging in discussions regarding our possible sale.</w:t>
      </w:r>
    </w:p>
    <w:p>
      <w:pPr>
        <w:spacing w:after="0" w:line="16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California Superior Court, in the Trust Case, has jurisdiction over a potentially controlling block of our voting power. The Cotter Trust, which as described in more detail above, currently owns 41.4% of our Class B Stock, and, at such time as the Cotter Estate 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32" w:name="page33"/>
    <w:bookmarkEnd w:id="32"/>
    <w:p>
      <w:pPr>
        <w:ind w:right="100"/>
        <w:spacing w:after="0" w:line="287" w:lineRule="auto"/>
        <w:rPr>
          <w:sz w:val="20"/>
          <w:szCs w:val="20"/>
          <w:color w:val="auto"/>
        </w:rPr>
      </w:pPr>
      <w:r>
        <w:rPr>
          <w:rFonts w:ascii="Arial" w:cs="Arial" w:eastAsia="Arial" w:hAnsi="Arial"/>
          <w:sz w:val="16"/>
          <w:szCs w:val="16"/>
          <w:color w:val="auto"/>
        </w:rPr>
        <w:t>probated, may receive up to an additional 25.5% of our Class B Stock, should the California Superior Court order the sale of the Trusts’ Class B Stock and such sale be completed, then there may be a change of control of our Company (depending on, among other things, who the ultimate purchaser(s) of such shares might be, the number of shares of Voting Stock distributed by the Cotter Estate to the Cotter Trust, and whether the California Superior Court orders a sale of all or only some portion to the Class B Stock held by the Cotter Trust). We cannot predict what reactions, including appeals or other steps, might be taken by Ellen Cotter and Margaret Cotter in their respective capacities as Trustees under the Cotter Trust, or in other capacities (for example, as Co-Executors of the Cotter Estate or as stockholders acting in their own right), should the California Superior Court make such an order. We do note, however, that Ellen Cotter and Margaret Cotter have publicly stated that, if there is to be a sale of controlling shares, they intend to be the purchaser of such shares. We also cannot predict what action our Board of Directors would take in response, if any. However, our Board of Directors has an obligation to act in the best interest of our Company, and in the event the California Superior Court were to order a sale of the Class B Stock held by the Cotter Trust, our Board of Directors would be obligated to consider the interests of the Company and to act accordingly.</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addition, James J. Cotter, Jr., has filed a derivative action (discussed in greater detail below) against Ellen Cotter and Margaret Cotter and certain of our Directors, alleging a variety of misconduct on their part and, among other things, seeking the reinstatement of James J. Cotter, Jr. as president and chief executive officer of our Company, and challenging the voting by Ellen Cotter and Margaret Cotter of the shares held by the Cotter Estate. The Nevada District Court has now dismissed on summary judgment all of Mr. Cotter, Jr.’s claims in that action, including his claims relating to the handling of the Patton Vision non-binding indications of interest. The Nevada District Court has also entered a cost order against Mr. Cotter, Jr., in the amount of $1.55 million. However, Mr. Cotter, Jr., has appealed those decisions so they continue as an overhang over our Company. See </w:t>
      </w:r>
      <w:r>
        <w:rPr>
          <w:rFonts w:ascii="Arial" w:cs="Arial" w:eastAsia="Arial" w:hAnsi="Arial"/>
          <w:sz w:val="17"/>
          <w:szCs w:val="17"/>
          <w:i w:val="1"/>
          <w:iCs w:val="1"/>
          <w:color w:val="auto"/>
        </w:rPr>
        <w:t>Notes to Consolidated Financial Statements—Note 12—Commitments and Contingencies</w:t>
      </w:r>
      <w:r>
        <w:rPr>
          <w:rFonts w:ascii="Arial" w:cs="Arial" w:eastAsia="Arial" w:hAnsi="Arial"/>
          <w:sz w:val="17"/>
          <w:szCs w:val="17"/>
          <w:color w:val="auto"/>
        </w:rPr>
        <w:t xml:space="preserve"> </w:t>
      </w:r>
      <w:r>
        <w:rPr>
          <w:rFonts w:ascii="Arial" w:cs="Arial" w:eastAsia="Arial" w:hAnsi="Arial"/>
          <w:sz w:val="17"/>
          <w:szCs w:val="17"/>
          <w:i w:val="1"/>
          <w:iCs w:val="1"/>
          <w:color w:val="auto"/>
        </w:rPr>
        <w:t>—Cotter Jr. Related Litigation Matters (including legal costs coverage)</w:t>
      </w:r>
      <w:r>
        <w:rPr>
          <w:rFonts w:ascii="Arial" w:cs="Arial" w:eastAsia="Arial" w:hAnsi="Arial"/>
          <w:sz w:val="17"/>
          <w:szCs w:val="17"/>
          <w:color w:val="auto"/>
        </w:rPr>
        <w:t>.</w:t>
      </w:r>
    </w:p>
    <w:p>
      <w:pPr>
        <w:spacing w:after="0" w:line="1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Nevada derivative litigation and related matters has for multiple years, required the time and attention of Ellen Cotter, Margaret Cotter, our directors and members of our management team and could, in the future, potentially further distract the time and attention of these key persons from the business and operations of our Company.</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the uncertainty as to the future management and control of our Company could potentially adversely impact, among other things (i) our ability to develop and maintain favorable business relationships, (ii) our ability to attract and retain talented and experienced directors, executives and employees, (iii) the compensation and other terms needed to attract and retain such individuals (including, without limitation, the potential need for retentions agreements and other incentive arrangements typically put into place when control of a public company is uncertain), (iv) our ability to borrow money on favorable long-term terms, and (v) our ability to pursue and complete long-term business objectives.</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The interests of our controlling stockholder may conflict with your interests. </w:t>
      </w:r>
      <w:r>
        <w:rPr>
          <w:rFonts w:ascii="Arial" w:cs="Arial" w:eastAsia="Arial" w:hAnsi="Arial"/>
          <w:sz w:val="16"/>
          <w:szCs w:val="16"/>
          <w:color w:val="auto"/>
        </w:rPr>
        <w:t>As of December 31, 2018, the Cotter Estate and the Cotter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 beneficially own 66.9% of our outstanding Class B Stock. At the present time, according to the books of the Company, Ellen Cotter and Margaret Cotter vote (including their direct holdings of 50,000 shares and 35,100 shares respectively of the Class B Stock), Class B Stock representing 71.9% of our outstanding Class B Stock. Our Class A Stock is non-voting, while our Class B Stock represents all of the voting power of our Company. For as long as the Cotter Estate, the Cotter Trust and/or the Cotter Voting Trust (referred to herein collectively as the “Cotter Entities”) continue to own shares of Class B Stock representing more than 50% of the voting power of our common stock, the Cotter Entities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The Cotter Entities will also have the power to prevent or cause a change in control, and could take other actions that might be desirable to the Cotter Entities but not to other stockholders. To the extent that the Cotter Entities hold more than 2/3rds of our outstanding Class B Stock, the Cotter Entities will have the power at any time, with or without cause, to remove any one or more Directors (up to and including the entire board of directors) by written consent taken without a meeting of the stockholders.</w:t>
      </w:r>
    </w:p>
    <w:p>
      <w:pPr>
        <w:spacing w:after="0" w:line="39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 xml:space="preserve">In addition, the Cotter Estate or the Cotter Trust and/or their respective affiliates have controlling interests in companies in related and unrelated industries. In the future, we may participate in transactions with these companies (see </w:t>
      </w:r>
      <w:r>
        <w:rPr>
          <w:rFonts w:ascii="Arial" w:cs="Arial" w:eastAsia="Arial" w:hAnsi="Arial"/>
          <w:sz w:val="16"/>
          <w:szCs w:val="16"/>
          <w:i w:val="1"/>
          <w:iCs w:val="1"/>
          <w:color w:val="auto"/>
        </w:rPr>
        <w:t>Note 19</w:t>
      </w:r>
      <w:r>
        <w:rPr>
          <w:rFonts w:ascii="Arial" w:cs="Arial" w:eastAsia="Arial" w:hAnsi="Arial"/>
          <w:sz w:val="16"/>
          <w:szCs w:val="16"/>
          <w:color w:val="auto"/>
        </w:rPr>
        <w:t xml:space="preserve"> – </w:t>
      </w:r>
      <w:r>
        <w:rPr>
          <w:rFonts w:ascii="Arial" w:cs="Arial" w:eastAsia="Arial" w:hAnsi="Arial"/>
          <w:sz w:val="16"/>
          <w:szCs w:val="16"/>
          <w:i w:val="1"/>
          <w:iCs w:val="1"/>
          <w:color w:val="auto"/>
        </w:rPr>
        <w:t>Related Parties</w:t>
      </w:r>
      <w:r>
        <w:rPr>
          <w:rFonts w:ascii="Arial" w:cs="Arial" w:eastAsia="Arial" w:hAnsi="Arial"/>
          <w:sz w:val="16"/>
          <w:szCs w:val="16"/>
          <w:color w:val="auto"/>
        </w:rPr>
        <w:t>).</w:t>
      </w:r>
    </w:p>
    <w:p>
      <w:pPr>
        <w:spacing w:after="0" w:line="12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While controlling stockholders may owe certain fiduciary duties to our Company and/or minority stockholders, these duties are limited. No assurances can be given that the Cotter Entities will not take action that, while beneficial to them and legally enforceable, would not necessarily be in the best interests of our Company and/or our stockholders generally.</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We are a “Controlled Company” under applicable NASDAQ Regulations. As permitted by those Regulations, our Board has elected to opt-out of certain corporate governance rules applicable to non-controlled companies. </w:t>
      </w:r>
      <w:r>
        <w:rPr>
          <w:rFonts w:ascii="Arial" w:cs="Arial" w:eastAsia="Arial" w:hAnsi="Arial"/>
          <w:sz w:val="16"/>
          <w:szCs w:val="16"/>
          <w:color w:val="auto"/>
        </w:rPr>
        <w:t>Generally speaking, the NASDAQ requires listed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to meet certain minimum corporate governance provisions. However, a “Controlled 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 Directors. Notwithstanding the determination by our Board of Directors to opt-out of these NASDAQ requirements, we believe that a majority of our Board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33" w:name="page34"/>
    <w:bookmarkEnd w:id="33"/>
    <w:p>
      <w:pPr>
        <w:ind w:right="100"/>
        <w:spacing w:after="0" w:line="277" w:lineRule="auto"/>
        <w:rPr>
          <w:sz w:val="20"/>
          <w:szCs w:val="20"/>
          <w:color w:val="auto"/>
        </w:rPr>
      </w:pPr>
      <w:r>
        <w:rPr>
          <w:rFonts w:ascii="Arial" w:cs="Arial" w:eastAsia="Arial" w:hAnsi="Arial"/>
          <w:sz w:val="18"/>
          <w:szCs w:val="18"/>
          <w:color w:val="auto"/>
        </w:rPr>
        <w:t>Directors is nevertheless currently comprised of independent Directors. As a practical matter, subject to their fiduciary duties, Ellen Cotter and Margaret Cotter control the composition of our Board of Directors.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We depend on key personnel for our current and future performance. </w:t>
      </w:r>
      <w:r>
        <w:rPr>
          <w:rFonts w:ascii="Arial" w:cs="Arial" w:eastAsia="Arial" w:hAnsi="Arial"/>
          <w:sz w:val="17"/>
          <w:szCs w:val="17"/>
          <w:color w:val="auto"/>
        </w:rPr>
        <w:t>Our current and future performance depends to a significant degree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our company suffers cyber-security attacks, data security challenges or privacy incidents that result in security breaches, we could suffer a loss of sales, additional liability, reputational harm or other adverse consequences</w:t>
      </w:r>
      <w:r>
        <w:rPr>
          <w:rFonts w:ascii="Arial" w:cs="Arial" w:eastAsia="Arial" w:hAnsi="Arial"/>
          <w:sz w:val="18"/>
          <w:szCs w:val="18"/>
          <w:color w:val="auto"/>
        </w:rPr>
        <w:t>.</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effective operation of our international businesses depends on our network infrastructure, computer systems, physical, virtual and/or cloud based, and software. Our information technology systems collect and process information provided by customers, employees and vendors. In addition, third party vendors’ systems process ticketing for our theaters. These various information technology systems and the data stored within them are subject to penetration by cyber attackers. We utilize industry accepted security protocols to securely maintain and protect proprietary and confidential information. However, in spite of our best efforts, our information systems may fail to operate for a variety of technological or human reasons. An interruption or failure of our information technology systems and of those maintained by our third party providers could adversely affect our business, liquidity or results of operations and result in increases in reputational risk, litigation or penalties. Furthermore, any such occurrence, if significant could require us to expend resources to remediate and upgrade information technology systems. Since 2015, we have annually procured cybersecurity insurance to protect against cyber-security risks; however, such we cannot provide any assurance regarding the adequacy of such insurance coverage.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1B – Unresolved Staff Comments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u w:val="single" w:color="auto"/>
          <w:color w:val="auto"/>
        </w:rPr>
        <w:t>Item 2 – Properties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ADMINISTRATIVE OFFICES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previously, in February 2017, we moved our executive headquarters in the U.S. from an 11,700 square foot leased office space located at 6100 Center Drive, Suite 900, Los Angeles, California 90045 to a 24,000 square foot Class B office building with 72 parking spaces located at 5995 Sepulveda Boulevard, Suite 300, Culver City, California 90230, which we purchased on April 11, 2016. We are currently using approximately 50% of the leasable area for our headquarters’ offices and continue to look for an unaffiliated third party tenant to lease the remainder.</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own an 8,300 square foot office building in Melbourne, Australia, approximately 5,200 square feet of which serve as the headquarters for our Australian and New Zealand operations (the remainder being leased to an unrelated third party). We maintain our accounting personnel and certain IT and operational personnel in approximately 5,900 square feet of office spaces located in our Wellington Courtenay Central ETC. We also occupy approximately 3,500 square feet at our Village East leasehold property in New York for administrative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Use Leasehold Interests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we lease approximately 1,800,000 square feet of completed cinema space in the United States, Australia,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Zealand as follows: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Range</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Remaining</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Lease Terms</w:t>
            </w:r>
          </w:p>
        </w:tc>
        <w:tc>
          <w:tcPr>
            <w:tcW w:w="0" w:type="dxa"/>
            <w:vAlign w:val="bottom"/>
          </w:tcPr>
          <w:p>
            <w:pPr>
              <w:spacing w:after="0"/>
              <w:rPr>
                <w:sz w:val="1"/>
                <w:szCs w:val="1"/>
                <w:color w:val="auto"/>
              </w:rPr>
            </w:pPr>
          </w:p>
        </w:tc>
      </w:tr>
      <w:tr>
        <w:trPr>
          <w:trHeight w:val="178"/>
        </w:trPr>
        <w:tc>
          <w:tcPr>
            <w:tcW w:w="6460" w:type="dxa"/>
            <w:vAlign w:val="bottom"/>
          </w:tcPr>
          <w:p>
            <w:pPr>
              <w:spacing w:after="0"/>
              <w:rPr>
                <w:sz w:val="15"/>
                <w:szCs w:val="15"/>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Square Footage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(including renewals)</w:t>
            </w:r>
          </w:p>
        </w:tc>
        <w:tc>
          <w:tcPr>
            <w:tcW w:w="0" w:type="dxa"/>
            <w:vAlign w:val="bottom"/>
          </w:tcPr>
          <w:p>
            <w:pPr>
              <w:spacing w:after="0"/>
              <w:rPr>
                <w:sz w:val="1"/>
                <w:szCs w:val="1"/>
                <w:color w:val="auto"/>
              </w:rPr>
            </w:pPr>
          </w:p>
        </w:tc>
      </w:tr>
      <w:tr>
        <w:trPr>
          <w:trHeight w:val="216"/>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962,000</w:t>
            </w: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2019 – 2052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Australia</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659,000</w:t>
            </w:r>
          </w:p>
        </w:tc>
        <w:tc>
          <w:tcPr>
            <w:tcW w:w="1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2019 – 2039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191,000</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 – 2050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December 2014, we entered into a lease for a new luxury cinema, Olino by Consolidated Theatres, which opened on October 21, 2016 at the new Ka Makana Ali'i Shopping Center developed in Kapolei, Hawaii by an affiliate of DeBartolo Development.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Interests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Australia, as of December 31, 2018, we owned approximately 1,200,000 square feet of land at nine locations. Most of this land is located in the greater metropolitan areas of Brisbane, Perth, and Sydney. Of these fee interests, approximately 208,000 square feet are currently improved with cinemas. We also own an approximately 23,000 square foot parcel currently improved with an approximately 22,000 square foot office building that we intend to integrate with and into our Newmarket Village ETC and that, accordingly, is not included in the above table. In 2018, we acquired a building of 16,830 square feet which borders on three sides of our Auburn ETC for $3.5 million (AU$ 4.5 million) This building has a lease in place, which expires in July 2022, after which we intend to integrate the property with our ETC.</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New Zealand, as of December 31, 2018, we owned approximately 3,300,000 square feet of land at six locations. The foregoing includes the Courtenay Central ETC in Wellington, the development land adjacent to our Courtenay Central ETC, the 70.4-acre Manukau site, and the fee interests underlying four cinemas in New Zealand, which properties include approximately 20,000 square feet of ancillary retail space.</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United States, as of December 31, 2018, we owned approximately 134,000 square feet of improved real estate comprised of three live theater buildings, which include approximately 37,000 square feet of leasable space, the fee interest in the Union Square property (currently being redeveloped), and the fee interest in our Cinemas 1,2,3 in Manhattan (held through a limited liability company in which we have a 75% managing member interest) and (through a limited liability company [Shadow View Land and Farming, LLC] in which we have a 50% managing member interest) 202 acres of developable land in Coachella, California, zoned for residential and mixed use purposes. We also own various properties relating to our historic railroad business, including the Reading Viaduct in central Philadelphia.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Live Theaters</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Included among our real estate holdings are three Off-Broadway style live theaters, operated through our Liberty Theaters subsidiary. We license theater auditoriums to the producers of Off-Broadway theatrical productions and provide various box office and food &amp; beverage services. The terms of our licenses are, naturally, principally dependent upon the commercial success of our tenants. While we attempt to choose productions that we believe will be successful, we have no control over the production itself. At the current time, we have two single-auditorium theaters in Manhattan:</w:t>
      </w:r>
    </w:p>
    <w:p>
      <w:pPr>
        <w:ind w:left="640" w:hanging="320"/>
        <w:spacing w:after="0" w:line="213" w:lineRule="auto"/>
        <w:tabs>
          <w:tab w:leader="none" w:pos="6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Minetta Lane (399 seats); and</w:t>
      </w:r>
    </w:p>
    <w:p>
      <w:pPr>
        <w:spacing w:after="0" w:line="97"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the Orpheum (347 seats).</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own a four-auditorium theater complex, the Royal George Theatre in Chicago (main stage 452 seats, cabaret 199 seats, great room 100 seats and gallery 60 seats), which has ancillary retail, office space, and parking.</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Liberty Theaters is primarily in the business of licensing theatre space. However, we may from time-to-time participate as an investor in a play, which can help facilitate the exhibition of the play at one of our facilities, and do from time-to-time rent space on a basis that allows us to share in a production’s revenue or profits. Revenue, expense, and profits are reported as a part of the real estate segment of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Interests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Real estate joint ventures comprise of a 75% managing member interest in the limited liability company that owns our Cinemas 1,2,3 property and a 50% managing member interest in Shadow View Land &amp; Farming, LLC, which owns an approximately 202-acre property in Coachella, California that is currently zoned for residential and mixed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PROPERTY</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December 31, 2018, we own fee interests on approximately 879,000 square feet of income-producing properties (including certain properties principally occupied by our cinemas)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Square Feet of</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Net Book</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Improvements</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7"/>
                <w:szCs w:val="7"/>
                <w:b w:val="1"/>
                <w:bCs w:val="1"/>
                <w:color w:val="auto"/>
                <w:w w:val="95"/>
              </w:rPr>
              <w:t>(3)</w:t>
            </w:r>
          </w:p>
        </w:tc>
        <w:tc>
          <w:tcPr>
            <w:tcW w:w="80" w:type="dxa"/>
            <w:vAlign w:val="bottom"/>
          </w:tcPr>
          <w:p>
            <w:pPr>
              <w:spacing w:after="0"/>
              <w:rPr>
                <w:sz w:val="12"/>
                <w:szCs w:val="12"/>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Reporting</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Property</w:t>
            </w:r>
          </w:p>
        </w:tc>
        <w:tc>
          <w:tcPr>
            <w:tcW w:w="8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(rental/</w:t>
            </w: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Arial" w:cs="Arial" w:eastAsia="Arial" w:hAnsi="Arial"/>
                <w:sz w:val="14"/>
                <w:szCs w:val="14"/>
                <w:i w:val="1"/>
                <w:iCs w:val="1"/>
                <w:color w:val="auto"/>
                <w:w w:val="97"/>
              </w:rPr>
              <w:t>(US Dollars</w:t>
            </w:r>
          </w:p>
        </w:tc>
        <w:tc>
          <w:tcPr>
            <w:tcW w:w="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Address</w:t>
            </w:r>
          </w:p>
        </w:tc>
        <w:tc>
          <w:tcPr>
            <w:tcW w:w="0" w:type="dxa"/>
            <w:vAlign w:val="bottom"/>
          </w:tcPr>
          <w:p>
            <w:pPr>
              <w:spacing w:after="0"/>
              <w:rPr>
                <w:sz w:val="1"/>
                <w:szCs w:val="1"/>
                <w:color w:val="auto"/>
              </w:rPr>
            </w:pPr>
          </w:p>
        </w:tc>
      </w:tr>
      <w:tr>
        <w:trPr>
          <w:trHeight w:val="178"/>
        </w:trPr>
        <w:tc>
          <w:tcPr>
            <w:tcW w:w="188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entertainment)</w:t>
            </w:r>
            <w:r>
              <w:rPr>
                <w:rFonts w:ascii="Arial" w:cs="Arial" w:eastAsia="Arial" w:hAnsi="Arial"/>
                <w:sz w:val="7"/>
                <w:szCs w:val="7"/>
                <w:b w:val="1"/>
                <w:bCs w:val="1"/>
                <w:color w:val="auto"/>
                <w:w w:val="94"/>
              </w:rPr>
              <w:t>(1)</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Leased</w:t>
            </w:r>
            <w:r>
              <w:rPr>
                <w:rFonts w:ascii="Arial" w:cs="Arial" w:eastAsia="Arial" w:hAnsi="Arial"/>
                <w:sz w:val="7"/>
                <w:szCs w:val="7"/>
                <w:b w:val="1"/>
                <w:bCs w:val="1"/>
                <w:color w:val="auto"/>
                <w:w w:val="91"/>
              </w:rPr>
              <w:t>(2)</w:t>
            </w:r>
          </w:p>
        </w:tc>
        <w:tc>
          <w:tcPr>
            <w:tcW w:w="100" w:type="dxa"/>
            <w:vAlign w:val="bottom"/>
          </w:tcPr>
          <w:p>
            <w:pPr>
              <w:spacing w:after="0"/>
              <w:rPr>
                <w:sz w:val="15"/>
                <w:szCs w:val="15"/>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i w:val="1"/>
                <w:iCs w:val="1"/>
                <w:color w:val="auto"/>
                <w:w w:val="92"/>
              </w:rPr>
              <w:t>in thousands)</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Segment</w:t>
            </w:r>
          </w:p>
        </w:tc>
        <w:tc>
          <w:tcPr>
            <w:tcW w:w="2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Borders>
              <w:top w:val="single" w:sz="8" w:color="auto"/>
            </w:tcBorders>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United States</w:t>
            </w:r>
          </w:p>
        </w:tc>
        <w:tc>
          <w:tcPr>
            <w:tcW w:w="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Cinemas 1, 2, 3</w:t>
            </w:r>
            <w:r>
              <w:rPr>
                <w:rFonts w:ascii="Arial" w:cs="Arial" w:eastAsia="Arial" w:hAnsi="Arial"/>
                <w:sz w:val="7"/>
                <w:szCs w:val="7"/>
                <w:color w:val="auto"/>
              </w:rPr>
              <w:t>(4)</w:t>
            </w:r>
          </w:p>
        </w:tc>
        <w:tc>
          <w:tcPr>
            <w:tcW w:w="150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0 / 21,000</w:t>
            </w:r>
          </w:p>
        </w:tc>
        <w:tc>
          <w:tcPr>
            <w:tcW w:w="10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2"/>
              </w:rPr>
              <w:t>n/a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24,267</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Cinema Exhibition</w:t>
            </w:r>
          </w:p>
        </w:tc>
        <w:tc>
          <w:tcPr>
            <w:tcW w:w="2960" w:type="dxa"/>
            <w:vAlign w:val="bottom"/>
          </w:tcPr>
          <w:p>
            <w:pPr>
              <w:spacing w:after="0"/>
              <w:rPr>
                <w:sz w:val="20"/>
                <w:szCs w:val="20"/>
                <w:color w:val="auto"/>
              </w:rPr>
            </w:pPr>
            <w:r>
              <w:rPr>
                <w:rFonts w:ascii="Arial" w:cs="Arial" w:eastAsia="Arial" w:hAnsi="Arial"/>
                <w:sz w:val="14"/>
                <w:szCs w:val="14"/>
                <w:color w:val="auto"/>
              </w:rPr>
              <w:t>1003 Third Avenue, Manhattan, NY</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w:t>
            </w:r>
          </w:p>
        </w:tc>
        <w:tc>
          <w:tcPr>
            <w:tcW w:w="168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LA Office Building,</w:t>
            </w:r>
          </w:p>
        </w:tc>
        <w:tc>
          <w:tcPr>
            <w:tcW w:w="1500" w:type="dxa"/>
            <w:vAlign w:val="bottom"/>
            <w:gridSpan w:val="2"/>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12,000 / 14,000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8"/>
              </w:rPr>
              <w:t>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13,004</w:t>
            </w:r>
          </w:p>
        </w:tc>
        <w:tc>
          <w:tcPr>
            <w:tcW w:w="8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1"/>
              </w:rPr>
              <w:t>Real Estate</w:t>
            </w:r>
          </w:p>
        </w:tc>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5995 Sepulveda Blvd, Culver City, CA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Culver City</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3</w:t>
            </w: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Minetta Lane Theatre</w:t>
            </w:r>
          </w:p>
        </w:tc>
        <w:tc>
          <w:tcPr>
            <w:tcW w:w="150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0 / 9,000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2,477</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18-22 Minetta Lane, Manhattan, NY</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Orpheum Theatre</w:t>
            </w:r>
          </w:p>
        </w:tc>
        <w:tc>
          <w:tcPr>
            <w:tcW w:w="15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2"/>
              </w:rPr>
              <w:t>1,000 / 5,000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Real Estate</w:t>
            </w: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126 2nd Street, Manhattan, NY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5</w:t>
            </w: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Royal George</w:t>
            </w:r>
          </w:p>
        </w:tc>
        <w:tc>
          <w:tcPr>
            <w:tcW w:w="150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37,000 / 23,000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2,227</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1633 N. Halsted Street, Chicago, IL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plus a 55-space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parking structure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Australia</w:t>
            </w: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Newmarket</w:t>
            </w:r>
          </w:p>
        </w:tc>
        <w:tc>
          <w:tcPr>
            <w:tcW w:w="150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102,000 / 42,000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52,453</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400 Newmarket Road, Newmarket, QLD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plus a 574-space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parking structure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Auburn</w:t>
            </w:r>
            <w:r>
              <w:rPr>
                <w:rFonts w:ascii="Arial" w:cs="Arial" w:eastAsia="Arial" w:hAnsi="Arial"/>
                <w:sz w:val="7"/>
                <w:szCs w:val="7"/>
                <w:color w:val="auto"/>
              </w:rPr>
              <w:t>(5)</w:t>
            </w:r>
          </w:p>
        </w:tc>
        <w:tc>
          <w:tcPr>
            <w:tcW w:w="15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2"/>
              </w:rPr>
              <w:t>92,000 / 57,000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23,498</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Cinema Exhibition /</w:t>
            </w: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99 Parramatta Road, Auburn, NSW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plus a 727-space</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Real Estate</w:t>
            </w:r>
          </w:p>
        </w:tc>
        <w:tc>
          <w:tcPr>
            <w:tcW w:w="2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parking structure</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 w:type="dxa"/>
            <w:vAlign w:val="bottom"/>
          </w:tcPr>
          <w:p>
            <w:pPr>
              <w:jc w:val="right"/>
              <w:spacing w:after="0" w:line="130" w:lineRule="exact"/>
              <w:rPr>
                <w:sz w:val="20"/>
                <w:szCs w:val="20"/>
                <w:color w:val="auto"/>
              </w:rPr>
            </w:pPr>
            <w:r>
              <w:rPr>
                <w:rFonts w:ascii="Arial" w:cs="Arial" w:eastAsia="Arial" w:hAnsi="Arial"/>
                <w:sz w:val="14"/>
                <w:szCs w:val="14"/>
                <w:color w:val="auto"/>
              </w:rPr>
              <w:t>3</w:t>
            </w:r>
          </w:p>
        </w:tc>
        <w:tc>
          <w:tcPr>
            <w:tcW w:w="168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Cannon Park</w:t>
            </w:r>
            <w:r>
              <w:rPr>
                <w:rFonts w:ascii="Arial" w:cs="Arial" w:eastAsia="Arial" w:hAnsi="Arial"/>
                <w:sz w:val="7"/>
                <w:szCs w:val="7"/>
                <w:color w:val="auto"/>
              </w:rPr>
              <w:t>(6)</w:t>
            </w:r>
          </w:p>
        </w:tc>
        <w:tc>
          <w:tcPr>
            <w:tcW w:w="1500" w:type="dxa"/>
            <w:vAlign w:val="bottom"/>
            <w:gridSpan w:val="2"/>
          </w:tcPr>
          <w:p>
            <w:pPr>
              <w:jc w:val="center"/>
              <w:ind w:left="8"/>
              <w:spacing w:after="0" w:line="130" w:lineRule="exact"/>
              <w:rPr>
                <w:sz w:val="20"/>
                <w:szCs w:val="20"/>
                <w:color w:val="auto"/>
              </w:rPr>
            </w:pPr>
            <w:r>
              <w:rPr>
                <w:rFonts w:ascii="Arial" w:cs="Arial" w:eastAsia="Arial" w:hAnsi="Arial"/>
                <w:sz w:val="14"/>
                <w:szCs w:val="14"/>
                <w:color w:val="auto"/>
                <w:w w:val="93"/>
              </w:rPr>
              <w:t>105,000 / 44,000</w:t>
            </w:r>
          </w:p>
        </w:tc>
        <w:tc>
          <w:tcPr>
            <w:tcW w:w="10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4"/>
                <w:szCs w:val="14"/>
                <w:color w:val="auto"/>
                <w:w w:val="92"/>
              </w:rPr>
              <w:t>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Arial" w:cs="Arial" w:eastAsia="Arial" w:hAnsi="Arial"/>
                <w:sz w:val="14"/>
                <w:szCs w:val="14"/>
                <w:color w:val="auto"/>
              </w:rPr>
              <w:t>21,579</w:t>
            </w:r>
          </w:p>
        </w:tc>
        <w:tc>
          <w:tcPr>
            <w:tcW w:w="80" w:type="dxa"/>
            <w:vAlign w:val="bottom"/>
          </w:tcPr>
          <w:p>
            <w:pPr>
              <w:spacing w:after="0"/>
              <w:rPr>
                <w:sz w:val="11"/>
                <w:szCs w:val="11"/>
                <w:color w:val="auto"/>
              </w:rPr>
            </w:pPr>
          </w:p>
        </w:tc>
        <w:tc>
          <w:tcPr>
            <w:tcW w:w="162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7"/>
              </w:rPr>
              <w:t>Cinema Exhibition /</w:t>
            </w:r>
          </w:p>
        </w:tc>
        <w:tc>
          <w:tcPr>
            <w:tcW w:w="2960" w:type="dxa"/>
            <w:vAlign w:val="bottom"/>
          </w:tcPr>
          <w:p>
            <w:pPr>
              <w:spacing w:after="0" w:line="130" w:lineRule="exact"/>
              <w:rPr>
                <w:sz w:val="20"/>
                <w:szCs w:val="20"/>
                <w:color w:val="auto"/>
              </w:rPr>
            </w:pPr>
            <w:r>
              <w:rPr>
                <w:rFonts w:ascii="Arial" w:cs="Arial" w:eastAsia="Arial" w:hAnsi="Arial"/>
                <w:sz w:val="14"/>
                <w:szCs w:val="14"/>
                <w:color w:val="auto"/>
              </w:rPr>
              <w:t>High Range Drive, Thuringowa, QLD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w:t>
            </w:r>
          </w:p>
        </w:tc>
        <w:tc>
          <w:tcPr>
            <w:tcW w:w="168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Belmont</w:t>
            </w:r>
          </w:p>
        </w:tc>
        <w:tc>
          <w:tcPr>
            <w:tcW w:w="1500" w:type="dxa"/>
            <w:vAlign w:val="bottom"/>
            <w:gridSpan w:val="2"/>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15,000 / 45,000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92%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6,104</w:t>
            </w:r>
          </w:p>
        </w:tc>
        <w:tc>
          <w:tcPr>
            <w:tcW w:w="8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7"/>
              </w:rPr>
              <w:t>Cinema Exhibition</w:t>
            </w:r>
          </w:p>
        </w:tc>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Knutsford Avenue and Fulham Street,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Belmont, WA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5</w:t>
            </w: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York Street Office</w:t>
            </w:r>
          </w:p>
        </w:tc>
        <w:tc>
          <w:tcPr>
            <w:tcW w:w="150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8,000 / 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1,769</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98 York Street, South Melbourne, VIC</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Maitland Cinema</w:t>
            </w:r>
          </w:p>
        </w:tc>
        <w:tc>
          <w:tcPr>
            <w:tcW w:w="150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3"/>
              </w:rPr>
              <w:t>0 / 22,000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i w:val="1"/>
                <w:iCs w:val="1"/>
                <w:color w:val="auto"/>
                <w:w w:val="92"/>
              </w:rPr>
              <w:t>n/a</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Cinema Exhibition</w:t>
            </w: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Ken Tubman Drive, Maitland, NSW</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7</w:t>
            </w: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Bundaberg Cinema</w:t>
            </w:r>
          </w:p>
        </w:tc>
        <w:tc>
          <w:tcPr>
            <w:tcW w:w="150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0 / 14,000</w:t>
            </w:r>
          </w:p>
        </w:tc>
        <w:tc>
          <w:tcPr>
            <w:tcW w:w="10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2"/>
              </w:rPr>
              <w:t>n/a</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1,118</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Cinema Exhibition</w:t>
            </w:r>
          </w:p>
        </w:tc>
        <w:tc>
          <w:tcPr>
            <w:tcW w:w="2960" w:type="dxa"/>
            <w:vAlign w:val="bottom"/>
          </w:tcPr>
          <w:p>
            <w:pPr>
              <w:spacing w:after="0"/>
              <w:rPr>
                <w:sz w:val="20"/>
                <w:szCs w:val="20"/>
                <w:color w:val="auto"/>
              </w:rPr>
            </w:pPr>
            <w:r>
              <w:rPr>
                <w:rFonts w:ascii="Arial" w:cs="Arial" w:eastAsia="Arial" w:hAnsi="Arial"/>
                <w:sz w:val="14"/>
                <w:szCs w:val="14"/>
                <w:color w:val="auto"/>
              </w:rPr>
              <w:t>1 Johanna Boulevard, Bundaberg, QLD</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6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Zealand</w:t>
            </w: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Courtenay Central</w:t>
            </w:r>
            <w:r>
              <w:rPr>
                <w:rFonts w:ascii="Arial" w:cs="Arial" w:eastAsia="Arial" w:hAnsi="Arial"/>
                <w:sz w:val="7"/>
                <w:szCs w:val="7"/>
                <w:color w:val="auto"/>
              </w:rPr>
              <w:t>(5)</w:t>
            </w:r>
          </w:p>
        </w:tc>
        <w:tc>
          <w:tcPr>
            <w:tcW w:w="150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29,000 / 76,000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12,344</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Cinema Exhibition /</w:t>
            </w:r>
          </w:p>
        </w:tc>
        <w:tc>
          <w:tcPr>
            <w:tcW w:w="2960" w:type="dxa"/>
            <w:vAlign w:val="bottom"/>
          </w:tcPr>
          <w:p>
            <w:pPr>
              <w:spacing w:after="0"/>
              <w:rPr>
                <w:sz w:val="20"/>
                <w:szCs w:val="20"/>
                <w:color w:val="auto"/>
              </w:rPr>
            </w:pPr>
            <w:r>
              <w:rPr>
                <w:rFonts w:ascii="Arial" w:cs="Arial" w:eastAsia="Arial" w:hAnsi="Arial"/>
                <w:sz w:val="14"/>
                <w:szCs w:val="14"/>
                <w:color w:val="auto"/>
              </w:rPr>
              <w:t>100 Courtenay Place, Wellington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7"/>
          </w:tcPr>
          <w:p>
            <w:pPr>
              <w:ind w:left="20"/>
              <w:spacing w:after="0"/>
              <w:rPr>
                <w:sz w:val="20"/>
                <w:szCs w:val="20"/>
                <w:color w:val="auto"/>
              </w:rPr>
            </w:pPr>
            <w:r>
              <w:rPr>
                <w:rFonts w:ascii="Arial" w:cs="Arial" w:eastAsia="Arial" w:hAnsi="Arial"/>
                <w:sz w:val="14"/>
                <w:szCs w:val="14"/>
                <w:color w:val="auto"/>
                <w:w w:val="95"/>
              </w:rPr>
              <w:t>Plus an additional 37,000 feet of land currently used as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24 Tory Street, Wellington (Parking)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7"/>
          </w:tcPr>
          <w:p>
            <w:pPr>
              <w:ind w:left="20"/>
              <w:spacing w:after="0"/>
              <w:rPr>
                <w:sz w:val="20"/>
                <w:szCs w:val="20"/>
                <w:color w:val="auto"/>
              </w:rPr>
            </w:pPr>
            <w:r>
              <w:rPr>
                <w:rFonts w:ascii="Arial" w:cs="Arial" w:eastAsia="Arial" w:hAnsi="Arial"/>
                <w:sz w:val="14"/>
                <w:szCs w:val="14"/>
                <w:color w:val="auto"/>
                <w:w w:val="97"/>
              </w:rPr>
              <w:t>car parking where our car parking structure once was.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Dunedin Cinema</w:t>
            </w:r>
          </w:p>
        </w:tc>
        <w:tc>
          <w:tcPr>
            <w:tcW w:w="150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3"/>
              </w:rPr>
              <w:t>0 / 25,000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i w:val="1"/>
                <w:iCs w:val="1"/>
                <w:color w:val="auto"/>
                <w:w w:val="92"/>
              </w:rPr>
              <w:t>n/a</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5,994</w:t>
            </w: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Cinema Exhibition</w:t>
            </w: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33 The Octagon, Dunedin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3</w:t>
            </w: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Napier Cinema</w:t>
            </w:r>
          </w:p>
        </w:tc>
        <w:tc>
          <w:tcPr>
            <w:tcW w:w="150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12,000 / 18,000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1,878</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Cinema Exhibition</w:t>
            </w:r>
          </w:p>
        </w:tc>
        <w:tc>
          <w:tcPr>
            <w:tcW w:w="2960" w:type="dxa"/>
            <w:vAlign w:val="bottom"/>
          </w:tcPr>
          <w:p>
            <w:pPr>
              <w:spacing w:after="0"/>
              <w:rPr>
                <w:sz w:val="20"/>
                <w:szCs w:val="20"/>
                <w:color w:val="auto"/>
              </w:rPr>
            </w:pPr>
            <w:r>
              <w:rPr>
                <w:rFonts w:ascii="Arial" w:cs="Arial" w:eastAsia="Arial" w:hAnsi="Arial"/>
                <w:sz w:val="14"/>
                <w:szCs w:val="14"/>
                <w:color w:val="auto"/>
              </w:rPr>
              <w:t>154 Station Street, Napier</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Invercargill Cinema</w:t>
            </w:r>
          </w:p>
        </w:tc>
        <w:tc>
          <w:tcPr>
            <w:tcW w:w="15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3"/>
              </w:rPr>
              <w:t>8,000 / 24,000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61%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Cinema Exhibition</w:t>
            </w: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29 Dee Street, Invercargill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5</w:t>
            </w: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Rotorua Cinema</w:t>
            </w:r>
          </w:p>
        </w:tc>
        <w:tc>
          <w:tcPr>
            <w:tcW w:w="150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0 / 19,000</w:t>
            </w:r>
          </w:p>
        </w:tc>
        <w:tc>
          <w:tcPr>
            <w:tcW w:w="10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2"/>
              </w:rPr>
              <w:t>n/a</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1,673</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Cinema Exhibition</w:t>
            </w:r>
          </w:p>
        </w:tc>
        <w:tc>
          <w:tcPr>
            <w:tcW w:w="2960" w:type="dxa"/>
            <w:vAlign w:val="bottom"/>
          </w:tcPr>
          <w:p>
            <w:pPr>
              <w:spacing w:after="0"/>
              <w:rPr>
                <w:sz w:val="20"/>
                <w:szCs w:val="20"/>
                <w:color w:val="auto"/>
              </w:rPr>
            </w:pPr>
            <w:r>
              <w:rPr>
                <w:rFonts w:ascii="Arial" w:cs="Arial" w:eastAsia="Arial" w:hAnsi="Arial"/>
                <w:sz w:val="14"/>
                <w:szCs w:val="14"/>
                <w:color w:val="auto"/>
              </w:rPr>
              <w:t>1281 Eruera Street, Rotorua</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7"/>
                <w:szCs w:val="7"/>
                <w:b w:val="1"/>
                <w:bCs w:val="1"/>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174,157</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40" w:right="260" w:hanging="320"/>
        <w:spacing w:after="0" w:line="248" w:lineRule="auto"/>
        <w:tabs>
          <w:tab w:leader="none" w:pos="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640" w:hanging="320"/>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percentage of rental square footage currently leased or licensed to third parties.</w:t>
      </w:r>
    </w:p>
    <w:p>
      <w:pPr>
        <w:spacing w:after="0" w:line="196" w:lineRule="exact"/>
        <w:rPr>
          <w:rFonts w:ascii="Arial" w:cs="Arial" w:eastAsia="Arial" w:hAnsi="Arial"/>
          <w:sz w:val="14"/>
          <w:szCs w:val="14"/>
          <w:color w:val="auto"/>
        </w:rPr>
      </w:pPr>
    </w:p>
    <w:p>
      <w:pPr>
        <w:ind w:left="4960" w:hanging="146"/>
        <w:spacing w:after="0"/>
        <w:tabs>
          <w:tab w:leader="none" w:pos="4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6" w:name="page37"/>
    <w:bookmarkEnd w:id="36"/>
    <w:p>
      <w:pPr>
        <w:ind w:left="640" w:right="120" w:hanging="320"/>
        <w:spacing w:after="0" w:line="229"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Refers to the net carrying value of the land and buildings of the property presented as “Operating Property” in our Consolidated Balance Sheet as of December 31, 2018 (net of any impairments recorded).</w:t>
      </w:r>
    </w:p>
    <w:p>
      <w:pPr>
        <w:spacing w:after="0" w:line="1" w:lineRule="exact"/>
        <w:rPr>
          <w:rFonts w:ascii="Arial" w:cs="Arial" w:eastAsia="Arial" w:hAnsi="Arial"/>
          <w:sz w:val="14"/>
          <w:szCs w:val="14"/>
          <w:color w:val="auto"/>
        </w:rPr>
      </w:pPr>
    </w:p>
    <w:p>
      <w:pPr>
        <w:ind w:left="640" w:right="160" w:hanging="320"/>
        <w:spacing w:after="0" w:line="221"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Owned by a limited liability company in which we hold a 75% managing member interest. The remaining 25% is owned by Sutton Hill Capital, LLC (“SHC”), a company owned in equal parts by the Cotter Estate or the Cotter Trust and a third party.</w:t>
      </w:r>
    </w:p>
    <w:p>
      <w:pPr>
        <w:ind w:left="640" w:right="140" w:hanging="320"/>
        <w:spacing w:after="0" w:line="221"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Courtenay Central parking structure has been demolished due to an earthquake on November 14, 2016. For further information on the on-going development projects of these properties, refer to succeeding section "</w:t>
      </w:r>
      <w:r>
        <w:rPr>
          <w:rFonts w:ascii="Arial" w:cs="Arial" w:eastAsia="Arial" w:hAnsi="Arial"/>
          <w:sz w:val="14"/>
          <w:szCs w:val="14"/>
          <w:i w:val="1"/>
          <w:iCs w:val="1"/>
          <w:color w:val="auto"/>
        </w:rPr>
        <w:t>Investment and Development Property.</w:t>
      </w:r>
      <w:r>
        <w:rPr>
          <w:rFonts w:ascii="Arial" w:cs="Arial" w:eastAsia="Arial" w:hAnsi="Arial"/>
          <w:sz w:val="14"/>
          <w:szCs w:val="14"/>
          <w:color w:val="auto"/>
        </w:rPr>
        <w:t>"</w:t>
      </w:r>
    </w:p>
    <w:p>
      <w:pPr>
        <w:ind w:left="640" w:hanging="320"/>
        <w:spacing w:after="0" w:line="221"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Cannon Park City and Discount Centers are operated as a single ETC.</w:t>
      </w:r>
    </w:p>
    <w:p>
      <w:pPr>
        <w:ind w:left="640" w:right="80" w:hanging="320"/>
        <w:spacing w:after="0" w:line="237"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schedule does not include (i) our leasehold assets on cinemas under leased-facility model, (ii) those portion of the owned assets that are not income-producing or purely used for administrative purposes, and (iii) our assets on our legacy business principally in Pennsylvania.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LEASEHOLD OPERATING PROPERTY</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certain cases, we have long-term leases that we view more akin to real estate investments than cinema leases. As of December 31, 2018, we had approximately 149,000 square foot of space subject to such long-term leases, which are reported as part of our Cinema Exhibition segment, detailed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Square Feet</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of Improvements</w:t>
            </w: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i w:val="1"/>
                <w:iCs w:val="1"/>
                <w:color w:val="auto"/>
                <w:w w:val="91"/>
              </w:rPr>
              <w:t>Net Book Value</w:t>
            </w:r>
            <w:r>
              <w:rPr>
                <w:rFonts w:ascii="Arial" w:cs="Arial" w:eastAsia="Arial" w:hAnsi="Arial"/>
                <w:sz w:val="7"/>
                <w:szCs w:val="7"/>
                <w:b w:val="1"/>
                <w:bCs w:val="1"/>
                <w:i w:val="1"/>
                <w:iCs w:val="1"/>
                <w:color w:val="auto"/>
                <w:w w:val="91"/>
              </w:rPr>
              <w:t>(3)</w:t>
            </w: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(rental/</w:t>
            </w: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59"/>
              <w:spacing w:after="0" w:line="149" w:lineRule="exact"/>
              <w:rPr>
                <w:sz w:val="20"/>
                <w:szCs w:val="20"/>
                <w:color w:val="auto"/>
              </w:rPr>
            </w:pPr>
            <w:r>
              <w:rPr>
                <w:rFonts w:ascii="Arial" w:cs="Arial" w:eastAsia="Arial" w:hAnsi="Arial"/>
                <w:sz w:val="14"/>
                <w:szCs w:val="14"/>
                <w:i w:val="1"/>
                <w:iCs w:val="1"/>
                <w:color w:val="auto"/>
                <w:w w:val="99"/>
              </w:rPr>
              <w:t>(US Dollars in</w:t>
            </w:r>
          </w:p>
        </w:tc>
        <w:tc>
          <w:tcPr>
            <w:tcW w:w="0" w:type="dxa"/>
            <w:vAlign w:val="bottom"/>
          </w:tcPr>
          <w:p>
            <w:pPr>
              <w:spacing w:after="0"/>
              <w:rPr>
                <w:sz w:val="1"/>
                <w:szCs w:val="1"/>
                <w:color w:val="auto"/>
              </w:rPr>
            </w:pPr>
          </w:p>
        </w:tc>
      </w:tr>
      <w:tr>
        <w:trPr>
          <w:trHeight w:val="178"/>
        </w:trPr>
        <w:tc>
          <w:tcPr>
            <w:tcW w:w="5480" w:type="dxa"/>
            <w:vAlign w:val="bottom"/>
            <w:gridSpan w:val="2"/>
            <w:vMerge w:val="continue"/>
          </w:tcPr>
          <w:p>
            <w:pPr>
              <w:spacing w:after="0"/>
              <w:rPr>
                <w:sz w:val="15"/>
                <w:szCs w:val="15"/>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entertainment)</w:t>
            </w:r>
            <w:r>
              <w:rPr>
                <w:rFonts w:ascii="Arial" w:cs="Arial" w:eastAsia="Arial" w:hAnsi="Arial"/>
                <w:sz w:val="7"/>
                <w:szCs w:val="7"/>
                <w:b w:val="1"/>
                <w:bCs w:val="1"/>
                <w:color w:val="auto"/>
                <w:w w:val="94"/>
              </w:rPr>
              <w:t>(1)</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Leased</w:t>
            </w:r>
            <w:r>
              <w:rPr>
                <w:rFonts w:ascii="Arial" w:cs="Arial" w:eastAsia="Arial" w:hAnsi="Arial"/>
                <w:sz w:val="7"/>
                <w:szCs w:val="7"/>
                <w:b w:val="1"/>
                <w:bCs w:val="1"/>
                <w:color w:val="auto"/>
                <w:w w:val="91"/>
              </w:rPr>
              <w:t>(2)</w:t>
            </w:r>
          </w:p>
        </w:tc>
        <w:tc>
          <w:tcPr>
            <w:tcW w:w="140" w:type="dxa"/>
            <w:vAlign w:val="bottom"/>
          </w:tcPr>
          <w:p>
            <w:pPr>
              <w:spacing w:after="0"/>
              <w:rPr>
                <w:sz w:val="15"/>
                <w:szCs w:val="15"/>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i w:val="1"/>
                <w:iCs w:val="1"/>
                <w:color w:val="auto"/>
                <w:w w:val="89"/>
              </w:rPr>
              <w:t>thousands)</w:t>
            </w:r>
          </w:p>
        </w:tc>
        <w:tc>
          <w:tcPr>
            <w:tcW w:w="0" w:type="dxa"/>
            <w:vAlign w:val="bottom"/>
          </w:tcPr>
          <w:p>
            <w:pPr>
              <w:spacing w:after="0"/>
              <w:rPr>
                <w:sz w:val="1"/>
                <w:szCs w:val="1"/>
                <w:color w:val="auto"/>
              </w:rPr>
            </w:pPr>
          </w:p>
        </w:tc>
      </w:tr>
      <w:tr>
        <w:trPr>
          <w:trHeight w:val="216"/>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 United States</w:t>
            </w:r>
          </w:p>
        </w:tc>
        <w:tc>
          <w:tcPr>
            <w:tcW w:w="1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100"/>
              <w:spacing w:after="0"/>
              <w:rPr>
                <w:sz w:val="20"/>
                <w:szCs w:val="20"/>
                <w:color w:val="auto"/>
              </w:rPr>
            </w:pPr>
            <w:r>
              <w:rPr>
                <w:rFonts w:ascii="Arial" w:cs="Arial" w:eastAsia="Arial" w:hAnsi="Arial"/>
                <w:sz w:val="18"/>
                <w:szCs w:val="18"/>
                <w:color w:val="auto"/>
              </w:rPr>
              <w:t>1 Manville</w:t>
            </w:r>
          </w:p>
        </w:tc>
        <w:tc>
          <w:tcPr>
            <w:tcW w:w="1560" w:type="dxa"/>
            <w:vAlign w:val="bottom"/>
          </w:tcPr>
          <w:p>
            <w:pPr>
              <w:jc w:val="right"/>
              <w:ind w:right="342"/>
              <w:spacing w:after="0"/>
              <w:rPr>
                <w:sz w:val="20"/>
                <w:szCs w:val="20"/>
                <w:color w:val="auto"/>
              </w:rPr>
            </w:pPr>
            <w:r>
              <w:rPr>
                <w:rFonts w:ascii="Arial" w:cs="Arial" w:eastAsia="Arial" w:hAnsi="Arial"/>
                <w:sz w:val="18"/>
                <w:szCs w:val="18"/>
                <w:color w:val="auto"/>
              </w:rPr>
              <w:t>0 / 46,000</w:t>
            </w:r>
          </w:p>
        </w:tc>
        <w:tc>
          <w:tcPr>
            <w:tcW w:w="16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5"/>
              </w:rPr>
              <w:t>n/a</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 Australia</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1 Waurn Ponds</w:t>
            </w:r>
          </w:p>
        </w:tc>
        <w:tc>
          <w:tcPr>
            <w:tcW w:w="1560" w:type="dxa"/>
            <w:vAlign w:val="bottom"/>
            <w:tcBorders>
              <w:bottom w:val="single" w:sz="8" w:color="CCEEFF"/>
            </w:tcBorders>
          </w:tcPr>
          <w:p>
            <w:pPr>
              <w:jc w:val="right"/>
              <w:ind w:right="182"/>
              <w:spacing w:after="0"/>
              <w:rPr>
                <w:sz w:val="20"/>
                <w:szCs w:val="20"/>
                <w:color w:val="auto"/>
              </w:rPr>
            </w:pPr>
            <w:r>
              <w:rPr>
                <w:rFonts w:ascii="Arial" w:cs="Arial" w:eastAsia="Arial" w:hAnsi="Arial"/>
                <w:sz w:val="18"/>
                <w:szCs w:val="18"/>
                <w:color w:val="auto"/>
              </w:rPr>
              <w:t>6,000 / 38,000</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7"/>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right="260" w:hanging="320"/>
        <w:spacing w:after="0" w:line="248"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640" w:hanging="320"/>
        <w:spacing w:after="0" w:line="221"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percentage of rental square footage currently leased to third parties.</w:t>
      </w:r>
    </w:p>
    <w:p>
      <w:pPr>
        <w:ind w:left="640" w:right="20" w:hanging="320"/>
        <w:spacing w:after="0" w:line="237"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Refers to the net carrying value of the leasehold property presented as “Operating Property” in our Consolidated Balance Sheet as of December 31, 2018 (net of any impairments recorded).</w:t>
      </w:r>
    </w:p>
    <w:p>
      <w:pPr>
        <w:spacing w:after="0" w:line="187" w:lineRule="exact"/>
        <w:rPr>
          <w:rFonts w:ascii="Arial" w:cs="Arial" w:eastAsia="Arial" w:hAnsi="Arial"/>
          <w:sz w:val="14"/>
          <w:szCs w:val="14"/>
          <w:color w:val="auto"/>
        </w:rPr>
      </w:pPr>
    </w:p>
    <w:p>
      <w:pPr>
        <w:ind w:left="4960" w:hanging="146"/>
        <w:spacing w:after="0"/>
        <w:tabs>
          <w:tab w:leader="none" w:pos="4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INVESTMENT AND DEVELOPMENT PROPERTY</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are engaged in several investment and development projects relative to our currently undeveloped parcels of land. In addition, we are currently executing, or still pursuing to execute, our redevelopment plans on several of our existing developed properties to take them to their highest and best use. The following table summarizes our investment and development projects as of December 31, 2018: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Net Book</w:t>
            </w:r>
          </w:p>
        </w:tc>
        <w:tc>
          <w:tcPr>
            <w:tcW w:w="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7"/>
                <w:szCs w:val="7"/>
                <w:b w:val="1"/>
                <w:bCs w:val="1"/>
                <w:color w:val="auto"/>
                <w:w w:val="95"/>
              </w:rPr>
              <w:t>(2)</w:t>
            </w:r>
          </w:p>
        </w:tc>
        <w:tc>
          <w:tcPr>
            <w:tcW w:w="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Property</w:t>
            </w:r>
            <w:r>
              <w:rPr>
                <w:rFonts w:ascii="Arial" w:cs="Arial" w:eastAsia="Arial" w:hAnsi="Arial"/>
                <w:sz w:val="7"/>
                <w:szCs w:val="7"/>
                <w:b w:val="1"/>
                <w:bCs w:val="1"/>
                <w:color w:val="auto"/>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Acreage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08"/>
              <w:spacing w:after="0" w:line="149" w:lineRule="exact"/>
              <w:rPr>
                <w:sz w:val="20"/>
                <w:szCs w:val="20"/>
                <w:color w:val="auto"/>
              </w:rPr>
            </w:pPr>
            <w:r>
              <w:rPr>
                <w:rFonts w:ascii="Arial" w:cs="Arial" w:eastAsia="Arial" w:hAnsi="Arial"/>
                <w:sz w:val="14"/>
                <w:szCs w:val="14"/>
                <w:i w:val="1"/>
                <w:iCs w:val="1"/>
                <w:color w:val="auto"/>
                <w:w w:val="97"/>
              </w:rPr>
              <w:t>(US Dollars</w:t>
            </w:r>
          </w:p>
        </w:tc>
        <w:tc>
          <w:tcPr>
            <w:tcW w:w="4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4"/>
        </w:trPr>
        <w:tc>
          <w:tcPr>
            <w:tcW w:w="2760" w:type="dxa"/>
            <w:vAlign w:val="bottom"/>
            <w:gridSpan w:val="6"/>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i w:val="1"/>
                <w:iCs w:val="1"/>
                <w:color w:val="auto"/>
                <w:w w:val="92"/>
              </w:rPr>
              <w:t>in thousands)</w:t>
            </w:r>
          </w:p>
        </w:tc>
        <w:tc>
          <w:tcPr>
            <w:tcW w:w="4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Borders>
              <w:top w:val="single" w:sz="8" w:color="auto"/>
            </w:tcBorders>
            <w:gridSpan w:val="4"/>
          </w:tcPr>
          <w:p>
            <w:pPr>
              <w:spacing w:after="0" w:line="135" w:lineRule="exact"/>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5"/>
            <w:shd w:val="clear" w:color="auto" w:fill="CCEEFF"/>
          </w:tcPr>
          <w:p>
            <w:pPr>
              <w:ind w:left="80"/>
              <w:spacing w:after="0" w:line="130" w:lineRule="exact"/>
              <w:rPr>
                <w:sz w:val="20"/>
                <w:szCs w:val="20"/>
                <w:color w:val="auto"/>
              </w:rPr>
            </w:pPr>
            <w:r>
              <w:rPr>
                <w:rFonts w:ascii="Arial" w:cs="Arial" w:eastAsia="Arial" w:hAnsi="Arial"/>
                <w:sz w:val="14"/>
                <w:szCs w:val="14"/>
                <w:color w:val="auto"/>
              </w:rPr>
              <w:t>1  44 Union Square</w:t>
            </w: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7"/>
              </w:rPr>
              <w:t>0.27</w:t>
            </w:r>
          </w:p>
        </w:tc>
        <w:tc>
          <w:tcPr>
            <w:tcW w:w="28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62,423</w:t>
            </w:r>
          </w:p>
        </w:tc>
        <w:tc>
          <w:tcPr>
            <w:tcW w:w="45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We are currently in exclusive lease negotiations for long term leases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7"/>
              </w:rPr>
              <w:t>respect to approximately 90% of the net rentable area of the building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while no assurances can be given, it is currently anticipated that our base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building will be ready for tenant improvement work before the end of the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second quarter of this year.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5"/>
          </w:tcPr>
          <w:p>
            <w:pPr>
              <w:ind w:left="80"/>
              <w:spacing w:after="0" w:line="130" w:lineRule="exact"/>
              <w:rPr>
                <w:sz w:val="20"/>
                <w:szCs w:val="20"/>
                <w:color w:val="auto"/>
              </w:rPr>
            </w:pPr>
            <w:r>
              <w:rPr>
                <w:rFonts w:ascii="Arial" w:cs="Arial" w:eastAsia="Arial" w:hAnsi="Arial"/>
                <w:sz w:val="14"/>
                <w:szCs w:val="14"/>
                <w:color w:val="auto"/>
              </w:rPr>
              <w:t>2 Coachella, CA</w:t>
            </w: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3"/>
              </w:rPr>
              <w:t>202.39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0" w:lineRule="exact"/>
              <w:rPr>
                <w:sz w:val="20"/>
                <w:szCs w:val="20"/>
                <w:color w:val="auto"/>
              </w:rPr>
            </w:pPr>
            <w:r>
              <w:rPr>
                <w:rFonts w:ascii="Arial" w:cs="Arial" w:eastAsia="Arial" w:hAnsi="Arial"/>
                <w:sz w:val="14"/>
                <w:szCs w:val="14"/>
                <w:color w:val="auto"/>
              </w:rPr>
              <w:t>4,351</w:t>
            </w:r>
          </w:p>
        </w:tc>
        <w:tc>
          <w:tcPr>
            <w:tcW w:w="45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We hold this property for the potential long-term development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6"/>
              </w:rPr>
              <w:t>benefit. During 2018, we cleared and secured the property. The property is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60" w:type="dxa"/>
            <w:vAlign w:val="bottom"/>
            <w:gridSpan w:val="2"/>
          </w:tcPr>
          <w:p>
            <w:pPr>
              <w:ind w:left="80"/>
              <w:spacing w:after="0"/>
              <w:rPr>
                <w:sz w:val="20"/>
                <w:szCs w:val="20"/>
                <w:color w:val="auto"/>
              </w:rPr>
            </w:pPr>
            <w:r>
              <w:rPr>
                <w:rFonts w:ascii="Arial" w:cs="Arial" w:eastAsia="Arial" w:hAnsi="Arial"/>
                <w:sz w:val="14"/>
                <w:szCs w:val="14"/>
                <w:color w:val="auto"/>
              </w:rPr>
              <w:t>zoned for residential and mixed-use uses.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Australia</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5"/>
          </w:tcPr>
          <w:p>
            <w:pPr>
              <w:ind w:left="80"/>
              <w:spacing w:after="0" w:line="130" w:lineRule="exact"/>
              <w:rPr>
                <w:sz w:val="20"/>
                <w:szCs w:val="20"/>
                <w:color w:val="auto"/>
              </w:rPr>
            </w:pPr>
            <w:r>
              <w:rPr>
                <w:rFonts w:ascii="Arial" w:cs="Arial" w:eastAsia="Arial" w:hAnsi="Arial"/>
                <w:sz w:val="14"/>
                <w:szCs w:val="14"/>
                <w:color w:val="auto"/>
              </w:rPr>
              <w:t>1 Auburn/RedYard, Sydney, New South</w:t>
            </w: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87"/>
              </w:rPr>
              <w:t>2.62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0" w:lineRule="exact"/>
              <w:rPr>
                <w:sz w:val="20"/>
                <w:szCs w:val="20"/>
                <w:color w:val="auto"/>
              </w:rPr>
            </w:pPr>
            <w:r>
              <w:rPr>
                <w:rFonts w:ascii="Arial" w:cs="Arial" w:eastAsia="Arial" w:hAnsi="Arial"/>
                <w:sz w:val="14"/>
                <w:szCs w:val="14"/>
                <w:color w:val="auto"/>
              </w:rPr>
              <w:t>1,428</w:t>
            </w:r>
          </w:p>
        </w:tc>
        <w:tc>
          <w:tcPr>
            <w:tcW w:w="45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We continue our expansion of this center. During 2018, we acquired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ind w:left="80"/>
              <w:spacing w:after="0" w:line="149" w:lineRule="exact"/>
              <w:rPr>
                <w:sz w:val="20"/>
                <w:szCs w:val="20"/>
                <w:color w:val="auto"/>
              </w:rPr>
            </w:pPr>
            <w:r>
              <w:rPr>
                <w:rFonts w:ascii="Arial" w:cs="Arial" w:eastAsia="Arial" w:hAnsi="Arial"/>
                <w:sz w:val="14"/>
                <w:szCs w:val="14"/>
                <w:color w:val="auto"/>
              </w:rPr>
              <w:t>Wales</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approximately 20,870 square foot infill property, improved with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approximately 16,830 square foot office building rented to Telstra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4"/>
              </w:rPr>
              <w:t>July 2022. This acquisition has increased the square footage of the center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approximately 519,982 square feet and the rentable area to approximately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6"/>
              </w:rPr>
              <w:t>149,020 square feet.  The property includes approximately 118,000 square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feet of developable land, which will be an area of focus in 2019. The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book value referenced for this property references only the above referenced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60" w:type="dxa"/>
            <w:vAlign w:val="bottom"/>
            <w:gridSpan w:val="2"/>
          </w:tcPr>
          <w:p>
            <w:pPr>
              <w:ind w:left="80"/>
              <w:spacing w:after="0"/>
              <w:rPr>
                <w:sz w:val="20"/>
                <w:szCs w:val="20"/>
                <w:color w:val="auto"/>
              </w:rPr>
            </w:pPr>
            <w:r>
              <w:rPr>
                <w:rFonts w:ascii="Arial" w:cs="Arial" w:eastAsia="Arial" w:hAnsi="Arial"/>
                <w:sz w:val="14"/>
                <w:szCs w:val="14"/>
                <w:color w:val="auto"/>
              </w:rPr>
              <w:t>118,000 square feet of developable land.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Zealand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5"/>
          </w:tcPr>
          <w:p>
            <w:pPr>
              <w:ind w:left="80"/>
              <w:spacing w:after="0" w:line="130" w:lineRule="exact"/>
              <w:rPr>
                <w:sz w:val="20"/>
                <w:szCs w:val="20"/>
                <w:color w:val="auto"/>
              </w:rPr>
            </w:pPr>
            <w:r>
              <w:rPr>
                <w:rFonts w:ascii="Arial" w:cs="Arial" w:eastAsia="Arial" w:hAnsi="Arial"/>
                <w:sz w:val="14"/>
                <w:szCs w:val="14"/>
                <w:color w:val="auto"/>
              </w:rPr>
              <w:t>1 Manukau, Auckland</w:t>
            </w: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3"/>
              </w:rPr>
              <w:t>64.0 acres zoned light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0" w:lineRule="exact"/>
              <w:rPr>
                <w:sz w:val="20"/>
                <w:szCs w:val="20"/>
                <w:color w:val="auto"/>
              </w:rPr>
            </w:pPr>
            <w:r>
              <w:rPr>
                <w:rFonts w:ascii="Arial" w:cs="Arial" w:eastAsia="Arial" w:hAnsi="Arial"/>
                <w:sz w:val="14"/>
                <w:szCs w:val="14"/>
                <w:color w:val="auto"/>
              </w:rPr>
              <w:t>11,867</w:t>
            </w:r>
          </w:p>
        </w:tc>
        <w:tc>
          <w:tcPr>
            <w:tcW w:w="45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 August 2016, the agricultural portion of our property in Manukau</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3"/>
              </w:rPr>
              <w:t>industrial use and 6.4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(approximately 64.0 acres) was rezoned to light industrial uses.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acres zoned heavy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remainder of this property (6.4 acres) is zoned for heavy industrial use.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2"/>
              </w:rPr>
              <w:t>industrial use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2018, we worked with adjoining landholders to jointly advance necessary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infrastructure improvement issues. We estimate that our property will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60" w:type="dxa"/>
            <w:vAlign w:val="bottom"/>
            <w:gridSpan w:val="2"/>
          </w:tcPr>
          <w:p>
            <w:pPr>
              <w:ind w:left="80"/>
              <w:spacing w:after="0"/>
              <w:rPr>
                <w:sz w:val="20"/>
                <w:szCs w:val="20"/>
                <w:color w:val="auto"/>
              </w:rPr>
            </w:pPr>
            <w:r>
              <w:rPr>
                <w:rFonts w:ascii="Arial" w:cs="Arial" w:eastAsia="Arial" w:hAnsi="Arial"/>
                <w:sz w:val="14"/>
                <w:szCs w:val="14"/>
                <w:color w:val="auto"/>
              </w:rPr>
              <w:t>support approximately 1.6 million square feet of improvements.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5"/>
            <w:shd w:val="clear" w:color="auto" w:fill="CCEEFF"/>
          </w:tcPr>
          <w:p>
            <w:pPr>
              <w:ind w:left="80"/>
              <w:spacing w:after="0" w:line="130" w:lineRule="exact"/>
              <w:rPr>
                <w:sz w:val="20"/>
                <w:szCs w:val="20"/>
                <w:color w:val="auto"/>
              </w:rPr>
            </w:pPr>
            <w:r>
              <w:rPr>
                <w:rFonts w:ascii="Arial" w:cs="Arial" w:eastAsia="Arial" w:hAnsi="Arial"/>
                <w:sz w:val="14"/>
                <w:szCs w:val="14"/>
                <w:color w:val="auto"/>
              </w:rPr>
              <w:t>2 Courtenay Central, Wellington</w:t>
            </w: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7"/>
              </w:rPr>
              <w:t>1.08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6,735</w:t>
            </w:r>
          </w:p>
        </w:tc>
        <w:tc>
          <w:tcPr>
            <w:tcW w:w="45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Damage from the 2016 earthquake necessitated demolition of our nine-story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parking garage at the site, and unrelated seismic issues have caused us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4"/>
              </w:rPr>
              <w:t>close portions of the existing cinema and retail structure while we reevaluate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2"/>
              </w:rPr>
              <w:t>the center for redevelopment as an entertainment themed urban center with 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major food and grocery component.</w:t>
            </w:r>
          </w:p>
        </w:tc>
        <w:tc>
          <w:tcPr>
            <w:tcW w:w="0" w:type="dxa"/>
            <w:vAlign w:val="bottom"/>
          </w:tcPr>
          <w:p>
            <w:pPr>
              <w:spacing w:after="0"/>
              <w:rPr>
                <w:sz w:val="1"/>
                <w:szCs w:val="1"/>
                <w:color w:val="auto"/>
              </w:rPr>
            </w:pPr>
          </w:p>
        </w:tc>
      </w:tr>
      <w:tr>
        <w:trPr>
          <w:trHeight w:val="190"/>
        </w:trPr>
        <w:tc>
          <w:tcPr>
            <w:tcW w:w="2760" w:type="dxa"/>
            <w:vAlign w:val="bottom"/>
            <w:gridSpan w:val="6"/>
          </w:tcPr>
          <w:p>
            <w:pPr>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86,804</w:t>
            </w:r>
          </w:p>
        </w:tc>
        <w:tc>
          <w:tcPr>
            <w:tcW w:w="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number of our real estate holdings include additional land held for development. In addition, we have acquired certain parcels for future development.</w:t>
      </w:r>
    </w:p>
    <w:p>
      <w:pPr>
        <w:ind w:left="640" w:right="220" w:hanging="320"/>
        <w:spacing w:after="0" w:line="249" w:lineRule="auto"/>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Refers to the recorded values of our non-operating and currently in-development stage properties, which are comprised of land, building, development costs and capitalized interest, and presented as “Investment and Development Property” in our Consolidated Balance Sheet as of December 31, 2018. Not included in this number is the book value of those portions of such properties which have already been developed. For example, in the case of our Auburn/Redyard shopping center, only the 118,000 square foot of developable land (out of the total 519,982 square foot of land comprising the entire center) is included in this calculation.</w:t>
      </w:r>
    </w:p>
    <w:p>
      <w:pPr>
        <w:spacing w:after="0" w:line="18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Some of our income operating properties and our investment and development properties carry various debt encumbrances based on their income streams and geographic locations. For an explanation of our debt and the associated security collateral please see </w:t>
      </w:r>
      <w:r>
        <w:rPr>
          <w:rFonts w:ascii="Arial" w:cs="Arial" w:eastAsia="Arial" w:hAnsi="Arial"/>
          <w:sz w:val="18"/>
          <w:szCs w:val="18"/>
          <w:i w:val="1"/>
          <w:iCs w:val="1"/>
          <w:color w:val="auto"/>
        </w:rPr>
        <w:t>Note 10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Borrowings </w:t>
      </w:r>
      <w:r>
        <w:rPr>
          <w:rFonts w:ascii="Arial" w:cs="Arial" w:eastAsia="Arial" w:hAnsi="Arial"/>
          <w:sz w:val="18"/>
          <w:szCs w:val="18"/>
          <w:color w:val="auto"/>
        </w:rPr>
        <w:t>to our 2018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PROPERTY INTERESTS AND INVESTMENTS</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own the fee interests in various parcels comprising 197 acres in principally in Pennsylvania. These acres consist primarily of vacant land. With the exception of certain properties located in Philadelphia (including the raised railroad bed near the Center City, known as the Reading Viaduct), the properties are principally located in rural areas of Pennsylvania. These properties are unencumbered by any debt.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3 – Legal Proceedings</w:t>
      </w:r>
    </w:p>
    <w:p>
      <w:pPr>
        <w:spacing w:after="0" w:line="2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information required under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is incorporated by reference to the information contained in </w:t>
      </w:r>
      <w:r>
        <w:rPr>
          <w:rFonts w:ascii="Arial" w:cs="Arial" w:eastAsia="Arial" w:hAnsi="Arial"/>
          <w:sz w:val="18"/>
          <w:szCs w:val="18"/>
          <w:i w:val="1"/>
          <w:iCs w:val="1"/>
          <w:color w:val="auto"/>
        </w:rPr>
        <w:t>Note 12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the Consolidated Financial Statements included herein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on this Annual Report on Form 10-K.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u w:val="single" w:color="auto"/>
          <w:color w:val="auto"/>
        </w:rPr>
        <w:t>Item 4 –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Properties relating to our legacy business are currently not used and classified as Investment Property.</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u w:val="single" w:color="auto"/>
          <w:color w:val="auto"/>
        </w:rPr>
        <w:t>PART II</w:t>
      </w:r>
    </w:p>
    <w:p>
      <w:pPr>
        <w:spacing w:after="0" w:line="302" w:lineRule="exact"/>
        <w:rPr>
          <w:sz w:val="20"/>
          <w:szCs w:val="20"/>
          <w:color w:val="auto"/>
        </w:rPr>
      </w:pPr>
    </w:p>
    <w:p>
      <w:pPr>
        <w:ind w:right="540"/>
        <w:spacing w:after="0" w:line="256" w:lineRule="auto"/>
        <w:rPr>
          <w:sz w:val="20"/>
          <w:szCs w:val="20"/>
          <w:color w:val="auto"/>
        </w:rPr>
      </w:pPr>
      <w:r>
        <w:rPr>
          <w:rFonts w:ascii="Arial" w:cs="Arial" w:eastAsia="Arial" w:hAnsi="Arial"/>
          <w:sz w:val="22"/>
          <w:szCs w:val="22"/>
          <w:b w:val="1"/>
          <w:bCs w:val="1"/>
          <w:u w:val="single" w:color="auto"/>
          <w:color w:val="auto"/>
        </w:rPr>
        <w:t>Item 5 – Market for Registrant’s Common Equity, Related Stockholder Matters and Issuer Purchases of Equity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symbols RDI (Class A Stock) and RDIB (Class B Stock).</w:t>
      </w:r>
    </w:p>
    <w:p>
      <w:pPr>
        <w:spacing w:after="0" w:line="21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of December 31, 2018, the approximate number of common stockholders of record was 2,300 for Class A Stock and 375, for Class B Stock. On March 15, 2019, the closing prices per share of our Class A Stock and Class B Stock were $16.15 and $25.70,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a cash dividend on our common stock and we have no current plans to declare a dividend.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Authorized for Issuance Under Equity Compensation Plans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Our Definitive Proxy Statement to be filed in connection with our 2019 Annual Meeting of Stockholders incorporated herein by reference, contains information concerning securities authorized for issuance under equity compensation plans within the caption: </w:t>
      </w:r>
      <w:r>
        <w:rPr>
          <w:rFonts w:ascii="Arial" w:cs="Arial" w:eastAsia="Arial" w:hAnsi="Arial"/>
          <w:sz w:val="18"/>
          <w:szCs w:val="18"/>
          <w:i w:val="1"/>
          <w:iCs w:val="1"/>
          <w:u w:val="single" w:color="auto"/>
          <w:color w:val="auto"/>
        </w:rPr>
        <w:t>Ownership of</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Certain Beneficial Owners and Management and Equity Compensation Plan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securities authorized for issuance under our equity compensation plans: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40" w:type="dxa"/>
            <w:vAlign w:val="bottom"/>
          </w:tcPr>
          <w:p>
            <w:pPr>
              <w:spacing w:after="0"/>
              <w:rPr>
                <w:sz w:val="14"/>
                <w:szCs w:val="14"/>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Weighted-average exercise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2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20" w:type="dxa"/>
            <w:vAlign w:val="bottom"/>
          </w:tcPr>
          <w:p>
            <w:pPr>
              <w:spacing w:after="0"/>
              <w:rPr>
                <w:sz w:val="12"/>
                <w:szCs w:val="12"/>
                <w:color w:val="auto"/>
              </w:rPr>
            </w:pPr>
          </w:p>
        </w:tc>
      </w:tr>
      <w:tr>
        <w:trPr>
          <w:trHeight w:val="149"/>
        </w:trPr>
        <w:tc>
          <w:tcPr>
            <w:tcW w:w="462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20" w:type="dxa"/>
            <w:vAlign w:val="bottom"/>
          </w:tcPr>
          <w:p>
            <w:pPr>
              <w:spacing w:after="0"/>
              <w:rPr>
                <w:sz w:val="12"/>
                <w:szCs w:val="12"/>
                <w:color w:val="auto"/>
              </w:rPr>
            </w:pPr>
          </w:p>
        </w:tc>
      </w:tr>
      <w:tr>
        <w:trPr>
          <w:trHeight w:val="178"/>
        </w:trPr>
        <w:tc>
          <w:tcPr>
            <w:tcW w:w="462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rights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equity compensation plans</w:t>
            </w:r>
          </w:p>
        </w:tc>
        <w:tc>
          <w:tcPr>
            <w:tcW w:w="20" w:type="dxa"/>
            <w:vAlign w:val="bottom"/>
          </w:tcPr>
          <w:p>
            <w:pPr>
              <w:spacing w:after="0"/>
              <w:rPr>
                <w:sz w:val="15"/>
                <w:szCs w:val="15"/>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Equity compensation plans approved by security holders</w:t>
            </w:r>
          </w:p>
        </w:tc>
        <w:tc>
          <w:tcPr>
            <w:tcW w:w="3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Stock options</w:t>
            </w:r>
          </w:p>
        </w:tc>
        <w:tc>
          <w:tcPr>
            <w:tcW w:w="1440" w:type="dxa"/>
            <w:vAlign w:val="bottom"/>
          </w:tcPr>
          <w:p>
            <w:pPr>
              <w:jc w:val="right"/>
              <w:spacing w:after="0"/>
              <w:rPr>
                <w:sz w:val="20"/>
                <w:szCs w:val="20"/>
                <w:color w:val="auto"/>
              </w:rPr>
            </w:pPr>
            <w:r>
              <w:rPr>
                <w:rFonts w:ascii="Arial" w:cs="Arial" w:eastAsia="Arial" w:hAnsi="Arial"/>
                <w:sz w:val="18"/>
                <w:szCs w:val="18"/>
                <w:color w:val="auto"/>
              </w:rPr>
              <w:t>586,469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Restricted stock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822,760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1,031,970</w:t>
            </w:r>
          </w:p>
        </w:tc>
        <w:tc>
          <w:tcPr>
            <w:tcW w:w="20" w:type="dxa"/>
            <w:vAlign w:val="bottom"/>
          </w:tcPr>
          <w:p>
            <w:pPr>
              <w:spacing w:after="0"/>
              <w:rPr>
                <w:sz w:val="18"/>
                <w:szCs w:val="18"/>
                <w:color w:val="auto"/>
              </w:rPr>
            </w:pPr>
          </w:p>
        </w:tc>
      </w:tr>
      <w:tr>
        <w:trPr>
          <w:trHeight w:val="648"/>
        </w:trPr>
        <w:tc>
          <w:tcPr>
            <w:tcW w:w="4920" w:type="dxa"/>
            <w:vAlign w:val="bottom"/>
            <w:gridSpan w:val="2"/>
          </w:tcPr>
          <w:p>
            <w:pPr>
              <w:ind w:left="48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70"/>
              <w:spacing w:after="0"/>
              <w:rPr>
                <w:sz w:val="20"/>
                <w:szCs w:val="20"/>
                <w:color w:val="auto"/>
              </w:rPr>
            </w:pPr>
            <w:r>
              <w:rPr>
                <w:rFonts w:ascii="Arial" w:cs="Arial" w:eastAsia="Arial" w:hAnsi="Arial"/>
                <w:sz w:val="18"/>
                <w:szCs w:val="18"/>
                <w:color w:val="auto"/>
              </w:rPr>
              <w:t>39 -</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6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line graph compares the cumulative total stockholder return on RDI’s common stock for the five-year period ended December 31, 2018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 years ended December 31, 2018. The graph assumes that $100 was invested on December 31, 2013 in our common stock, the NASDAQ composite and the noted peer groups, and assumes reinvestment of any dividends. The stock price performance on the following graph is not necessarily indicative of future stock price performance.</w:t>
      </w:r>
    </w:p>
    <w:p>
      <w:pPr>
        <w:spacing w:after="0" w:line="16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 xml:space="preserve">On March 2, 2017 our Board of Directors authorized a stock buy-back program to spend up to an aggregate of $25.0 million to acquire shares of the Company’s Class A non-voting stock. Below is a summary of share repurchases during the fourth quarter of 2018: Refer to </w:t>
      </w:r>
      <w:r>
        <w:rPr>
          <w:rFonts w:ascii="Arial" w:cs="Arial" w:eastAsia="Arial" w:hAnsi="Arial"/>
          <w:sz w:val="16"/>
          <w:szCs w:val="16"/>
          <w:i w:val="1"/>
          <w:iCs w:val="1"/>
          <w:color w:val="auto"/>
        </w:rPr>
        <w:t xml:space="preserve">Note 14 - Share-Based Compensation and Share Repurchase Plans </w:t>
      </w:r>
      <w:r>
        <w:rPr>
          <w:rFonts w:ascii="Arial" w:cs="Arial" w:eastAsia="Arial" w:hAnsi="Arial"/>
          <w:sz w:val="16"/>
          <w:szCs w:val="16"/>
          <w:color w:val="auto"/>
        </w:rPr>
        <w:t>in the 2018 Consolidated Financial Statements for further details.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 Shares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Total Number of Shares</w:t>
            </w: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Average Price Paid</w:t>
            </w:r>
          </w:p>
        </w:tc>
        <w:tc>
          <w:tcPr>
            <w:tcW w:w="214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Shares that may yet be</w:t>
            </w: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1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 our Stock</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2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Purchased</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per Share</w:t>
            </w: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Buy-Back Program</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Stock Buy-Back Program</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2018</w:t>
            </w: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125,700</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125,700</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16,162,529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On March 14, 2019, the Board of Directors extended our Company's stock buy-back program for two years, through March 2, 2021. The Board did not increase the authorized amount, which was initially fixed at $25 million. At the present time, $16.2 million of that authorization remains available to repurchase Class A Common Stock. Refer to </w:t>
      </w:r>
      <w:r>
        <w:rPr>
          <w:rFonts w:ascii="Arial" w:cs="Arial" w:eastAsia="Arial" w:hAnsi="Arial"/>
          <w:sz w:val="18"/>
          <w:szCs w:val="18"/>
          <w:i w:val="1"/>
          <w:iCs w:val="1"/>
          <w:color w:val="auto"/>
        </w:rPr>
        <w:t>Note 14 - Share-Based Compensation and Share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Repurchase Plans </w:t>
      </w:r>
      <w:r>
        <w:rPr>
          <w:rFonts w:ascii="Arial" w:cs="Arial" w:eastAsia="Arial" w:hAnsi="Arial"/>
          <w:sz w:val="18"/>
          <w:szCs w:val="18"/>
          <w:color w:val="auto"/>
        </w:rPr>
        <w:t>in the 2018 Consolidated Financial Statements for further details.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u w:val="single" w:color="auto"/>
          <w:color w:val="auto"/>
        </w:rPr>
        <w:t>Item 6 – Selected Financial Data</w:t>
      </w:r>
    </w:p>
    <w:p>
      <w:pPr>
        <w:spacing w:after="0" w:line="2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table below sets forth certain historical financial data regarding our Company. This information is derived in part from, and should be read in conjunction with, our consolidated financial statements included in Item 8 of this 2018, and the related notes to the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i w:val="1"/>
                <w:iCs w:val="1"/>
                <w:color w:val="auto"/>
              </w:rPr>
              <w:t>($ in thousands, except per share data)</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17"/>
                <w:szCs w:val="17"/>
                <w:b w:val="1"/>
                <w:bCs w:val="1"/>
                <w:color w:val="auto"/>
                <w:vertAlign w:val="superscript"/>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17"/>
                <w:szCs w:val="17"/>
                <w:b w:val="1"/>
                <w:bCs w:val="1"/>
                <w:color w:val="auto"/>
                <w:vertAlign w:val="superscript"/>
              </w:rPr>
              <w:t>(2)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7"/>
                <w:szCs w:val="17"/>
                <w:b w:val="1"/>
                <w:bCs w:val="1"/>
                <w:color w:val="auto"/>
                <w:vertAlign w:val="superscript"/>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r>
      <w:tr>
        <w:trPr>
          <w:trHeight w:val="176"/>
        </w:trPr>
        <w:tc>
          <w:tcPr>
            <w:tcW w:w="14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89"/>
              </w:rPr>
              <w:t>Statement of operations</w:t>
            </w:r>
          </w:p>
        </w:tc>
        <w:tc>
          <w:tcPr>
            <w:tcW w:w="220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6"/>
        </w:trPr>
        <w:tc>
          <w:tcPr>
            <w:tcW w:w="3660" w:type="dxa"/>
            <w:vAlign w:val="bottom"/>
            <w:gridSpan w:val="6"/>
          </w:tcPr>
          <w:p>
            <w:pPr>
              <w:spacing w:after="0"/>
              <w:rPr>
                <w:sz w:val="20"/>
                <w:szCs w:val="20"/>
                <w:color w:val="auto"/>
              </w:rPr>
            </w:pPr>
            <w:r>
              <w:rPr>
                <w:rFonts w:ascii="Arial" w:cs="Arial" w:eastAsia="Arial" w:hAnsi="Arial"/>
                <w:sz w:val="14"/>
                <w:szCs w:val="14"/>
                <w:color w:val="auto"/>
              </w:rPr>
              <w:t>Revenue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309,385</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279,879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270,866</w:t>
            </w:r>
          </w:p>
        </w:tc>
        <w:tc>
          <w:tcPr>
            <w:tcW w:w="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257,865</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255,242</w:t>
            </w:r>
          </w:p>
        </w:tc>
      </w:tr>
      <w:tr>
        <w:trPr>
          <w:trHeight w:val="203"/>
        </w:trPr>
        <w:tc>
          <w:tcPr>
            <w:tcW w:w="36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20,706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22,667</w:t>
            </w:r>
          </w:p>
        </w:tc>
      </w:tr>
      <w:tr>
        <w:trPr>
          <w:trHeight w:val="203"/>
        </w:trPr>
        <w:tc>
          <w:tcPr>
            <w:tcW w:w="3660" w:type="dxa"/>
            <w:vAlign w:val="bottom"/>
            <w:gridSpan w:val="6"/>
          </w:tcPr>
          <w:p>
            <w:pPr>
              <w:spacing w:after="0"/>
              <w:rPr>
                <w:sz w:val="20"/>
                <w:szCs w:val="20"/>
                <w:color w:val="auto"/>
              </w:rPr>
            </w:pPr>
            <w:r>
              <w:rPr>
                <w:rFonts w:ascii="Arial" w:cs="Arial" w:eastAsia="Arial" w:hAnsi="Arial"/>
                <w:sz w:val="14"/>
                <w:szCs w:val="14"/>
                <w:color w:val="auto"/>
              </w:rPr>
              <w:t>Net income attributable to RDI</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14,366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23,110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25,335</w:t>
            </w:r>
          </w:p>
        </w:tc>
      </w:tr>
      <w:tr>
        <w:trPr>
          <w:trHeight w:val="203"/>
        </w:trPr>
        <w:tc>
          <w:tcPr>
            <w:tcW w:w="36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660" w:type="dxa"/>
            <w:vAlign w:val="bottom"/>
            <w:gridSpan w:val="6"/>
          </w:tcPr>
          <w:p>
            <w:pPr>
              <w:ind w:left="60"/>
              <w:spacing w:after="0"/>
              <w:rPr>
                <w:sz w:val="20"/>
                <w:szCs w:val="20"/>
                <w:color w:val="auto"/>
              </w:rPr>
            </w:pPr>
            <w:r>
              <w:rPr>
                <w:rFonts w:ascii="Arial" w:cs="Arial" w:eastAsia="Arial" w:hAnsi="Arial"/>
                <w:sz w:val="14"/>
                <w:szCs w:val="14"/>
                <w:color w:val="auto"/>
              </w:rPr>
              <w:t>Net income/ attributed to RDI</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6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Basic EPS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203"/>
        </w:trPr>
        <w:tc>
          <w:tcPr>
            <w:tcW w:w="3660" w:type="dxa"/>
            <w:vAlign w:val="bottom"/>
            <w:gridSpan w:val="6"/>
          </w:tcPr>
          <w:p>
            <w:pPr>
              <w:ind w:left="140"/>
              <w:spacing w:after="0"/>
              <w:rPr>
                <w:sz w:val="20"/>
                <w:szCs w:val="20"/>
                <w:color w:val="auto"/>
              </w:rPr>
            </w:pPr>
            <w:r>
              <w:rPr>
                <w:rFonts w:ascii="Arial" w:cs="Arial" w:eastAsia="Arial" w:hAnsi="Arial"/>
                <w:sz w:val="14"/>
                <w:szCs w:val="14"/>
                <w:color w:val="auto"/>
              </w:rPr>
              <w:t>Diluted EPS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0.62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89"/>
        </w:trPr>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7"/>
              </w:rPr>
              <w:t>Balance sheet</w:t>
            </w:r>
          </w:p>
        </w:tc>
        <w:tc>
          <w:tcPr>
            <w:tcW w:w="2820" w:type="dxa"/>
            <w:vAlign w:val="bottom"/>
            <w:tcBorders>
              <w:bottom w:val="single" w:sz="8" w:color="CCEEFF"/>
            </w:tcBorders>
            <w:gridSpan w:val="5"/>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96"/>
        </w:trPr>
        <w:tc>
          <w:tcPr>
            <w:tcW w:w="3660" w:type="dxa"/>
            <w:vAlign w:val="bottom"/>
            <w:gridSpan w:val="6"/>
          </w:tcPr>
          <w:p>
            <w:pPr>
              <w:spacing w:after="0"/>
              <w:rPr>
                <w:sz w:val="20"/>
                <w:szCs w:val="20"/>
                <w:color w:val="auto"/>
              </w:rPr>
            </w:pPr>
            <w:r>
              <w:rPr>
                <w:rFonts w:ascii="Arial" w:cs="Arial" w:eastAsia="Arial" w:hAnsi="Arial"/>
                <w:sz w:val="14"/>
                <w:szCs w:val="14"/>
                <w:color w:val="auto"/>
              </w:rPr>
              <w:t>Total assets</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439,028</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423,403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406,041</w:t>
            </w:r>
          </w:p>
        </w:tc>
        <w:tc>
          <w:tcPr>
            <w:tcW w:w="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372,198</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401,586</w:t>
            </w:r>
          </w:p>
        </w:tc>
      </w:tr>
      <w:tr>
        <w:trPr>
          <w:trHeight w:val="203"/>
        </w:trPr>
        <w:tc>
          <w:tcPr>
            <w:tcW w:w="36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Total debt (gross of deferred financing costs)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167,043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164,036</w:t>
            </w:r>
          </w:p>
        </w:tc>
      </w:tr>
      <w:tr>
        <w:trPr>
          <w:trHeight w:val="203"/>
        </w:trPr>
        <w:tc>
          <w:tcPr>
            <w:tcW w:w="3660" w:type="dxa"/>
            <w:vAlign w:val="bottom"/>
            <w:gridSpan w:val="6"/>
          </w:tcPr>
          <w:p>
            <w:pPr>
              <w:spacing w:after="0"/>
              <w:rPr>
                <w:sz w:val="20"/>
                <w:szCs w:val="20"/>
                <w:color w:val="auto"/>
              </w:rPr>
            </w:pPr>
            <w:r>
              <w:rPr>
                <w:rFonts w:ascii="Arial" w:cs="Arial" w:eastAsia="Arial" w:hAnsi="Arial"/>
                <w:sz w:val="14"/>
                <w:szCs w:val="14"/>
                <w:color w:val="auto"/>
              </w:rPr>
              <w:t>Working capital (deficit)</w:t>
            </w:r>
            <w:r>
              <w:rPr>
                <w:rFonts w:ascii="Arial" w:cs="Arial" w:eastAsia="Arial" w:hAnsi="Arial"/>
                <w:sz w:val="7"/>
                <w:szCs w:val="7"/>
                <w:color w:val="auto"/>
              </w:rPr>
              <w:t>(3)</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(55,270)</w:t>
            </w:r>
          </w:p>
        </w:tc>
        <w:tc>
          <w:tcPr>
            <w:tcW w:w="2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(46,971)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(35,581)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(15,119)</w:t>
            </w:r>
          </w:p>
        </w:tc>
      </w:tr>
      <w:tr>
        <w:trPr>
          <w:trHeight w:val="203"/>
        </w:trPr>
        <w:tc>
          <w:tcPr>
            <w:tcW w:w="36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180,547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181,618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133,716</w:t>
            </w:r>
          </w:p>
        </w:tc>
      </w:tr>
      <w:tr>
        <w:trPr>
          <w:trHeight w:val="189"/>
        </w:trPr>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Statement of cash flows</w:t>
            </w:r>
          </w:p>
        </w:tc>
        <w:tc>
          <w:tcPr>
            <w:tcW w:w="222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6"/>
        </w:trPr>
        <w:tc>
          <w:tcPr>
            <w:tcW w:w="36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Cash provided by / (used in):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660" w:type="dxa"/>
            <w:vAlign w:val="bottom"/>
            <w:gridSpan w:val="6"/>
          </w:tcPr>
          <w:p>
            <w:pPr>
              <w:ind w:left="60"/>
              <w:spacing w:after="0"/>
              <w:rPr>
                <w:sz w:val="20"/>
                <w:szCs w:val="20"/>
                <w:color w:val="auto"/>
              </w:rPr>
            </w:pPr>
            <w:r>
              <w:rPr>
                <w:rFonts w:ascii="Arial" w:cs="Arial" w:eastAsia="Arial" w:hAnsi="Arial"/>
                <w:sz w:val="14"/>
                <w:szCs w:val="14"/>
                <w:color w:val="auto"/>
              </w:rPr>
              <w:t>Operating activities</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32,645</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23,851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30,188</w:t>
            </w:r>
          </w:p>
        </w:tc>
        <w:tc>
          <w:tcPr>
            <w:tcW w:w="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28,574</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28,343</w:t>
            </w:r>
          </w:p>
        </w:tc>
      </w:tr>
      <w:tr>
        <w:trPr>
          <w:trHeight w:val="203"/>
        </w:trPr>
        <w:tc>
          <w:tcPr>
            <w:tcW w:w="3660" w:type="dxa"/>
            <w:vAlign w:val="bottom"/>
            <w:gridSpan w:val="6"/>
            <w:shd w:val="clear" w:color="auto" w:fill="CCEEFF"/>
          </w:tcPr>
          <w:p>
            <w:pPr>
              <w:ind w:left="60"/>
              <w:spacing w:after="0"/>
              <w:rPr>
                <w:sz w:val="20"/>
                <w:szCs w:val="20"/>
                <w:color w:val="auto"/>
              </w:rPr>
            </w:pPr>
            <w:r>
              <w:rPr>
                <w:rFonts w:ascii="Arial" w:cs="Arial" w:eastAsia="Arial" w:hAnsi="Arial"/>
                <w:sz w:val="14"/>
                <w:szCs w:val="14"/>
                <w:color w:val="auto"/>
              </w:rPr>
              <w:t>Investing activities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(64,855)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(42,861)</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(9,898)</w:t>
            </w:r>
          </w:p>
        </w:tc>
      </w:tr>
      <w:tr>
        <w:trPr>
          <w:trHeight w:val="203"/>
        </w:trPr>
        <w:tc>
          <w:tcPr>
            <w:tcW w:w="3660" w:type="dxa"/>
            <w:vAlign w:val="bottom"/>
            <w:gridSpan w:val="6"/>
          </w:tcPr>
          <w:p>
            <w:pPr>
              <w:ind w:left="60"/>
              <w:spacing w:after="0"/>
              <w:rPr>
                <w:sz w:val="20"/>
                <w:szCs w:val="20"/>
                <w:color w:val="auto"/>
              </w:rPr>
            </w:pPr>
            <w:r>
              <w:rPr>
                <w:rFonts w:ascii="Arial" w:cs="Arial" w:eastAsia="Arial" w:hAnsi="Arial"/>
                <w:sz w:val="14"/>
                <w:szCs w:val="14"/>
                <w:color w:val="auto"/>
              </w:rPr>
              <w:t>Financing activities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33,210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(22,055)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(27,961)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(3,275)</w:t>
            </w:r>
          </w:p>
        </w:tc>
      </w:tr>
      <w:tr>
        <w:trPr>
          <w:trHeight w:val="189"/>
        </w:trPr>
        <w:tc>
          <w:tcPr>
            <w:tcW w:w="1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6"/>
              </w:rPr>
              <w:t>Other Information</w:t>
            </w:r>
          </w:p>
        </w:tc>
        <w:tc>
          <w:tcPr>
            <w:tcW w:w="2500" w:type="dxa"/>
            <w:vAlign w:val="bottom"/>
            <w:tcBorders>
              <w:bottom w:val="single" w:sz="8" w:color="CCEEFF"/>
            </w:tcBorders>
            <w:gridSpan w:val="4"/>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96"/>
        </w:trPr>
        <w:tc>
          <w:tcPr>
            <w:tcW w:w="3660" w:type="dxa"/>
            <w:vAlign w:val="bottom"/>
            <w:gridSpan w:val="6"/>
          </w:tcPr>
          <w:p>
            <w:pPr>
              <w:spacing w:after="0"/>
              <w:rPr>
                <w:sz w:val="20"/>
                <w:szCs w:val="20"/>
                <w:color w:val="auto"/>
              </w:rPr>
            </w:pPr>
            <w:r>
              <w:rPr>
                <w:rFonts w:ascii="Arial" w:cs="Arial" w:eastAsia="Arial" w:hAnsi="Arial"/>
                <w:sz w:val="14"/>
                <w:szCs w:val="14"/>
                <w:color w:val="auto"/>
              </w:rPr>
              <w:t>EBIT</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24,623</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40,675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20,598</w:t>
            </w:r>
          </w:p>
        </w:tc>
        <w:tc>
          <w:tcPr>
            <w:tcW w:w="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35,562</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25,410</w:t>
            </w:r>
          </w:p>
        </w:tc>
      </w:tr>
      <w:tr>
        <w:trPr>
          <w:trHeight w:val="203"/>
        </w:trPr>
        <w:tc>
          <w:tcPr>
            <w:tcW w:w="36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EBITDA</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46,898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57,617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6"/>
                <w:szCs w:val="6"/>
                <w:color w:val="auto"/>
                <w:w w:val="81"/>
              </w:rPr>
              <w:t>(1)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50,124</w:t>
            </w:r>
          </w:p>
        </w:tc>
        <w:tc>
          <w:tcPr>
            <w:tcW w:w="100" w:type="dxa"/>
            <w:vAlign w:val="bottom"/>
            <w:shd w:val="clear" w:color="auto" w:fill="CCEEFF"/>
          </w:tcPr>
          <w:p>
            <w:pPr>
              <w:jc w:val="right"/>
              <w:spacing w:after="0"/>
              <w:rPr>
                <w:sz w:val="20"/>
                <w:szCs w:val="20"/>
                <w:color w:val="auto"/>
              </w:rPr>
            </w:pPr>
            <w:r>
              <w:rPr>
                <w:rFonts w:ascii="Arial" w:cs="Arial" w:eastAsia="Arial" w:hAnsi="Arial"/>
                <w:sz w:val="7"/>
                <w:szCs w:val="7"/>
                <w:color w:val="auto"/>
                <w:w w:val="92"/>
              </w:rPr>
              <w:t>(1)</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40,878</w:t>
            </w:r>
          </w:p>
        </w:tc>
      </w:tr>
      <w:tr>
        <w:trPr>
          <w:trHeight w:val="203"/>
        </w:trPr>
        <w:tc>
          <w:tcPr>
            <w:tcW w:w="3660" w:type="dxa"/>
            <w:vAlign w:val="bottom"/>
            <w:gridSpan w:val="6"/>
          </w:tcPr>
          <w:p>
            <w:pPr>
              <w:spacing w:after="0"/>
              <w:rPr>
                <w:sz w:val="20"/>
                <w:szCs w:val="20"/>
                <w:color w:val="auto"/>
              </w:rPr>
            </w:pPr>
            <w:r>
              <w:rPr>
                <w:rFonts w:ascii="Arial" w:cs="Arial" w:eastAsia="Arial" w:hAnsi="Arial"/>
                <w:sz w:val="14"/>
                <w:szCs w:val="14"/>
                <w:color w:val="auto"/>
              </w:rPr>
              <w:t>Debt to EBITDA Ratio</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4.01</w:t>
            </w:r>
          </w:p>
        </w:tc>
      </w:tr>
      <w:tr>
        <w:trPr>
          <w:trHeight w:val="203"/>
        </w:trPr>
        <w:tc>
          <w:tcPr>
            <w:tcW w:w="36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Capital expenditure (including acquisitions)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56,827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76,708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14,914</w:t>
            </w:r>
          </w:p>
        </w:tc>
      </w:tr>
      <w:tr>
        <w:trPr>
          <w:trHeight w:val="203"/>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Shares outstanding</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22,920,634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22,931,881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23,178,307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23,334,892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23,237,076</w:t>
            </w:r>
          </w:p>
        </w:tc>
      </w:tr>
      <w:tr>
        <w:trPr>
          <w:trHeight w:val="203"/>
        </w:trPr>
        <w:tc>
          <w:tcPr>
            <w:tcW w:w="3660" w:type="dxa"/>
            <w:vAlign w:val="bottom"/>
            <w:gridSpan w:val="6"/>
          </w:tcPr>
          <w:p>
            <w:pPr>
              <w:ind w:left="60"/>
              <w:spacing w:after="0"/>
              <w:rPr>
                <w:sz w:val="20"/>
                <w:szCs w:val="20"/>
                <w:color w:val="auto"/>
              </w:rPr>
            </w:pPr>
            <w:r>
              <w:rPr>
                <w:rFonts w:ascii="Arial" w:cs="Arial" w:eastAsia="Arial" w:hAnsi="Arial"/>
                <w:sz w:val="14"/>
                <w:szCs w:val="14"/>
                <w:color w:val="auto"/>
              </w:rPr>
              <w:t>Weighted average - basic</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22,991,277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23,041,190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23,320,048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23,293,696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23,431,855</w:t>
            </w:r>
          </w:p>
        </w:tc>
      </w:tr>
      <w:tr>
        <w:trPr>
          <w:trHeight w:val="203"/>
        </w:trPr>
        <w:tc>
          <w:tcPr>
            <w:tcW w:w="3660" w:type="dxa"/>
            <w:vAlign w:val="bottom"/>
            <w:gridSpan w:val="6"/>
            <w:shd w:val="clear" w:color="auto" w:fill="CCEEFF"/>
          </w:tcPr>
          <w:p>
            <w:pPr>
              <w:ind w:left="60"/>
              <w:spacing w:after="0"/>
              <w:rPr>
                <w:sz w:val="20"/>
                <w:szCs w:val="20"/>
                <w:color w:val="auto"/>
              </w:rPr>
            </w:pPr>
            <w:r>
              <w:rPr>
                <w:rFonts w:ascii="Arial" w:cs="Arial" w:eastAsia="Arial" w:hAnsi="Arial"/>
                <w:sz w:val="14"/>
                <w:szCs w:val="14"/>
                <w:color w:val="auto"/>
              </w:rPr>
              <w:t>Weighted average - diluted</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23,208,991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23,247,969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23,521,157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23,495,618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23,749,221</w:t>
            </w:r>
          </w:p>
        </w:tc>
      </w:tr>
      <w:tr>
        <w:trPr>
          <w:trHeight w:val="218"/>
        </w:trPr>
        <w:tc>
          <w:tcPr>
            <w:tcW w:w="3660" w:type="dxa"/>
            <w:vAlign w:val="bottom"/>
            <w:gridSpan w:val="6"/>
          </w:tcPr>
          <w:p>
            <w:pPr>
              <w:spacing w:after="0"/>
              <w:rPr>
                <w:sz w:val="20"/>
                <w:szCs w:val="20"/>
                <w:color w:val="auto"/>
              </w:rPr>
            </w:pPr>
            <w:r>
              <w:rPr>
                <w:rFonts w:ascii="Arial" w:cs="Arial" w:eastAsia="Arial" w:hAnsi="Arial"/>
                <w:sz w:val="14"/>
                <w:szCs w:val="14"/>
                <w:color w:val="auto"/>
              </w:rPr>
              <w:t>Number of employees at 12/31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2,944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2,596</w:t>
            </w:r>
          </w:p>
        </w:tc>
      </w:tr>
    </w:tbl>
    <w:p>
      <w:pPr>
        <w:spacing w:after="0" w:line="88" w:lineRule="exact"/>
        <w:rPr>
          <w:sz w:val="20"/>
          <w:szCs w:val="20"/>
          <w:color w:val="auto"/>
        </w:rPr>
      </w:pPr>
    </w:p>
    <w:p>
      <w:pPr>
        <w:ind w:left="640" w:right="520" w:hanging="320"/>
        <w:spacing w:after="0" w:line="230"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2017 includes gain on sale of assets amounting to $9.4 million and casualty loss recovery of $9.2 million. 2015 includes gain on sale of assets amounting to $11.0 million.</w:t>
      </w:r>
    </w:p>
    <w:p>
      <w:pPr>
        <w:ind w:left="640" w:right="40" w:hanging="320"/>
        <w:spacing w:after="0" w:line="22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Certain 2015 balances included the restatement impact of a change in accounting principle (see Note 2 – Summary of Significant Accounting Policies – Accounting Changes). Certain 2017 and 2016 balances included the restatement impact of a prior period financial statement correction of immaterial errors (see Note 2 – Summary of Significant Accounting Policies – Prior Period Financial Statement Correction of Immaterial Errors).</w:t>
      </w:r>
    </w:p>
    <w:p>
      <w:pPr>
        <w:ind w:left="640" w:right="20" w:hanging="320"/>
        <w:spacing w:after="0" w:line="237"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working capital (deficit) is negative as we receive revenue from our cinema business ahead of the time that we have to pay our associated liabilities. We use the money we receive to pay down our borrowings in the first instance.</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Both EBIT and EBITDA are non-US GAAP measures and are presented for informational purposes. They should not be construed as an alternative to net earnings (loss), as an indicator of operating performance or as an alternative to cash flow provided by operating activities as a measure of liquidity (as determined in accordance with US GAAP). These measures should be reviewed in conjunction with the relevant US GAAP financial measures. EBIT and EBITDA as we have calculated them may not be comparable to similarly titled measures reported by other companies.</w:t>
      </w:r>
    </w:p>
    <w:p>
      <w:pPr>
        <w:spacing w:after="0" w:line="18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EBIT presented above represents net income (loss) adjusted for interest expense (net of interest income), income tax expense and an adjustment of interest expense for discontinued operations, if any. EBIT is useful in evaluating our operating results for the following reasons:</w:t>
      </w:r>
    </w:p>
    <w:p>
      <w:pPr>
        <w:spacing w:after="0" w:line="60" w:lineRule="exact"/>
        <w:rPr>
          <w:sz w:val="20"/>
          <w:szCs w:val="20"/>
          <w:color w:val="auto"/>
        </w:rPr>
      </w:pPr>
    </w:p>
    <w:p>
      <w:pPr>
        <w:ind w:left="640" w:right="460" w:hanging="320"/>
        <w:spacing w:after="0" w:line="198" w:lineRule="auto"/>
        <w:tabs>
          <w:tab w:leader="none" w:pos="6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EBIT removes the impact of the varying tax rates and tax regimes in the jurisdictions where we operate and the impact of tax timing differences that may vary from time-to-time and from jurisdiction-to-jurisdiction</w:t>
      </w:r>
    </w:p>
    <w:p>
      <w:pPr>
        <w:ind w:left="640" w:hanging="320"/>
        <w:spacing w:after="0" w:line="223" w:lineRule="auto"/>
        <w:tabs>
          <w:tab w:leader="none" w:pos="6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EBIT removes the impact from our effective tax rate of factors not directly related to our business operations.</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EBIT removes the impact of our historically significant net loss carry-forwards.</w:t>
      </w:r>
    </w:p>
    <w:p>
      <w:pPr>
        <w:spacing w:after="0" w:line="96" w:lineRule="exact"/>
        <w:rPr>
          <w:rFonts w:ascii="Arial" w:cs="Arial" w:eastAsia="Arial" w:hAnsi="Arial"/>
          <w:sz w:val="24"/>
          <w:szCs w:val="24"/>
          <w:color w:val="auto"/>
          <w:vertAlign w:val="superscript"/>
        </w:rPr>
      </w:pPr>
    </w:p>
    <w:p>
      <w:pPr>
        <w:ind w:left="640" w:right="120" w:hanging="320"/>
        <w:spacing w:after="0" w:line="191" w:lineRule="auto"/>
        <w:tabs>
          <w:tab w:leader="none" w:pos="6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EBIT allows a better performance comparison between RDI and other companies. For example, it allows us to compare ourselves with other companies that may have more or less debt than we do.</w:t>
      </w:r>
    </w:p>
    <w:p>
      <w:pPr>
        <w:spacing w:after="0" w:line="200" w:lineRule="exact"/>
        <w:rPr>
          <w:rFonts w:ascii="Arial" w:cs="Arial" w:eastAsia="Arial" w:hAnsi="Arial"/>
          <w:sz w:val="29"/>
          <w:szCs w:val="29"/>
          <w:color w:val="auto"/>
          <w:vertAlign w:val="superscript"/>
        </w:rPr>
      </w:pPr>
    </w:p>
    <w:p>
      <w:pPr>
        <w:spacing w:after="0" w:line="218" w:lineRule="exact"/>
        <w:rPr>
          <w:rFonts w:ascii="Arial" w:cs="Arial" w:eastAsia="Arial" w:hAnsi="Arial"/>
          <w:sz w:val="29"/>
          <w:szCs w:val="29"/>
          <w:color w:val="auto"/>
          <w:vertAlign w:val="superscript"/>
        </w:rPr>
      </w:pPr>
    </w:p>
    <w:p>
      <w:pPr>
        <w:ind w:left="4960" w:hanging="146"/>
        <w:spacing w:after="0"/>
        <w:tabs>
          <w:tab w:leader="none" w:pos="4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42" w:name="page43"/>
    <w:bookmarkEnd w:id="42"/>
    <w:p>
      <w:pPr>
        <w:ind w:right="80"/>
        <w:spacing w:after="0" w:line="264" w:lineRule="auto"/>
        <w:rPr>
          <w:sz w:val="20"/>
          <w:szCs w:val="20"/>
          <w:color w:val="auto"/>
        </w:rPr>
      </w:pPr>
      <w:r>
        <w:rPr>
          <w:rFonts w:ascii="Arial" w:cs="Arial" w:eastAsia="Arial" w:hAnsi="Arial"/>
          <w:sz w:val="18"/>
          <w:szCs w:val="18"/>
          <w:color w:val="auto"/>
        </w:rPr>
        <w:t>We define EBITDA as net income adjusted for interest expense (net of interest income), income tax expense, depreciation and amortization expense, and an adjustment of interest expense, depreciation, and amortization for discontinued operations, if any. EBITDA is useful principally for the following reasons:</w:t>
      </w:r>
    </w:p>
    <w:p>
      <w:pPr>
        <w:spacing w:after="0" w:line="60" w:lineRule="exact"/>
        <w:rPr>
          <w:sz w:val="20"/>
          <w:szCs w:val="20"/>
          <w:color w:val="auto"/>
        </w:rPr>
      </w:pPr>
    </w:p>
    <w:p>
      <w:pPr>
        <w:ind w:left="640" w:right="320" w:hanging="320"/>
        <w:spacing w:after="0" w:line="221" w:lineRule="auto"/>
        <w:tabs>
          <w:tab w:leader="none" w:pos="64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EBITDA is an industry comparative measure of financial performance. Analysts and financial commentators who report on the cinema exhibition and real estate industries often use EBITDA to determine the valuation of a company in such industries.</w:t>
      </w:r>
    </w:p>
    <w:p>
      <w:pPr>
        <w:spacing w:after="0" w:line="81" w:lineRule="exact"/>
        <w:rPr>
          <w:rFonts w:ascii="Arial" w:cs="Arial" w:eastAsia="Arial" w:hAnsi="Arial"/>
          <w:sz w:val="26"/>
          <w:szCs w:val="26"/>
          <w:color w:val="auto"/>
          <w:vertAlign w:val="superscript"/>
        </w:rPr>
      </w:pPr>
    </w:p>
    <w:p>
      <w:pPr>
        <w:ind w:left="640" w:right="20" w:hanging="320"/>
        <w:spacing w:after="0" w:line="198" w:lineRule="auto"/>
        <w:tabs>
          <w:tab w:leader="none" w:pos="6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EBITDA is a measure used by financial institutions to determine the credit rating of companies in cinema exhibition and real estate industries.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EBIT and EBITDA to net income is presented below:</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 in thousands)</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RDI</w:t>
            </w: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14,366</w:t>
            </w:r>
          </w:p>
        </w:tc>
        <w:tc>
          <w:tcPr>
            <w:tcW w:w="3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31,101</w:t>
            </w:r>
          </w:p>
        </w:tc>
        <w:tc>
          <w:tcPr>
            <w:tcW w:w="8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9,678</w:t>
            </w:r>
          </w:p>
        </w:tc>
        <w:tc>
          <w:tcPr>
            <w:tcW w:w="900" w:type="dxa"/>
            <w:vAlign w:val="bottom"/>
            <w:gridSpan w:val="2"/>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23,110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25,335</w:t>
            </w:r>
          </w:p>
        </w:tc>
      </w:tr>
      <w:tr>
        <w:trPr>
          <w:trHeight w:val="216"/>
        </w:trPr>
        <w:tc>
          <w:tcPr>
            <w:tcW w:w="3480" w:type="dxa"/>
            <w:vAlign w:val="bottom"/>
          </w:tcPr>
          <w:p>
            <w:pPr>
              <w:ind w:left="60"/>
              <w:spacing w:after="0"/>
              <w:rPr>
                <w:sz w:val="20"/>
                <w:szCs w:val="20"/>
                <w:color w:val="auto"/>
              </w:rPr>
            </w:pPr>
            <w:r>
              <w:rPr>
                <w:rFonts w:ascii="Arial" w:cs="Arial" w:eastAsia="Arial" w:hAnsi="Arial"/>
                <w:sz w:val="14"/>
                <w:szCs w:val="14"/>
                <w:color w:val="auto"/>
              </w:rPr>
              <w:t>Add: Interest expense,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6,837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6,194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6,782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7,304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9,000</w:t>
            </w:r>
          </w:p>
        </w:tc>
      </w:tr>
      <w:tr>
        <w:trPr>
          <w:trHeight w:val="216"/>
        </w:trPr>
        <w:tc>
          <w:tcPr>
            <w:tcW w:w="3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Add: Income tax (benefit) expense</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4,138</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(8,925)</w:t>
            </w:r>
          </w:p>
        </w:tc>
      </w:tr>
      <w:tr>
        <w:trPr>
          <w:trHeight w:val="196"/>
        </w:trPr>
        <w:tc>
          <w:tcPr>
            <w:tcW w:w="3480" w:type="dxa"/>
            <w:vAlign w:val="bottom"/>
          </w:tcPr>
          <w:p>
            <w:pPr>
              <w:spacing w:after="0"/>
              <w:rPr>
                <w:sz w:val="20"/>
                <w:szCs w:val="20"/>
                <w:color w:val="auto"/>
              </w:rPr>
            </w:pPr>
            <w:r>
              <w:rPr>
                <w:rFonts w:ascii="Arial" w:cs="Arial" w:eastAsia="Arial" w:hAnsi="Arial"/>
                <w:sz w:val="14"/>
                <w:szCs w:val="14"/>
                <w:color w:val="auto"/>
              </w:rPr>
              <w:t>EBIT</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24,623</w:t>
            </w:r>
          </w:p>
        </w:tc>
        <w:tc>
          <w:tcPr>
            <w:tcW w:w="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40,675</w:t>
            </w:r>
          </w:p>
        </w:tc>
        <w:tc>
          <w:tcPr>
            <w:tcW w:w="820" w:type="dxa"/>
            <w:vAlign w:val="bottom"/>
            <w:gridSpan w:val="2"/>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8"/>
              </w:rPr>
              <w:t>20,598</w:t>
            </w:r>
          </w:p>
        </w:tc>
        <w:tc>
          <w:tcPr>
            <w:tcW w:w="90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35,562</w:t>
            </w:r>
          </w:p>
        </w:tc>
        <w:tc>
          <w:tcPr>
            <w:tcW w:w="80" w:type="dxa"/>
            <w:vAlign w:val="bottom"/>
          </w:tcPr>
          <w:p>
            <w:pPr>
              <w:spacing w:after="0"/>
              <w:rPr>
                <w:sz w:val="17"/>
                <w:szCs w:val="17"/>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25,410</w:t>
            </w:r>
          </w:p>
        </w:tc>
      </w:tr>
      <w:tr>
        <w:trPr>
          <w:trHeight w:val="216"/>
        </w:trPr>
        <w:tc>
          <w:tcPr>
            <w:tcW w:w="3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Add: Depreciation and amortization</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22,275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16,942</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15,689</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14,562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15,468</w:t>
            </w:r>
          </w:p>
        </w:tc>
      </w:tr>
      <w:tr>
        <w:trPr>
          <w:trHeight w:val="183"/>
        </w:trPr>
        <w:tc>
          <w:tcPr>
            <w:tcW w:w="3480" w:type="dxa"/>
            <w:vAlign w:val="bottom"/>
          </w:tcPr>
          <w:p>
            <w:pPr>
              <w:spacing w:after="0"/>
              <w:rPr>
                <w:sz w:val="20"/>
                <w:szCs w:val="20"/>
                <w:color w:val="auto"/>
              </w:rPr>
            </w:pPr>
            <w:r>
              <w:rPr>
                <w:rFonts w:ascii="Arial" w:cs="Arial" w:eastAsia="Arial" w:hAnsi="Arial"/>
                <w:sz w:val="14"/>
                <w:szCs w:val="14"/>
                <w:color w:val="auto"/>
              </w:rPr>
              <w:t>EBITDA</w:t>
            </w:r>
          </w:p>
        </w:tc>
        <w:tc>
          <w:tcPr>
            <w:tcW w:w="8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46,898</w:t>
            </w:r>
          </w:p>
        </w:tc>
        <w:tc>
          <w:tcPr>
            <w:tcW w:w="8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57,617</w:t>
            </w:r>
          </w:p>
        </w:tc>
        <w:tc>
          <w:tcPr>
            <w:tcW w:w="80" w:type="dxa"/>
            <w:vAlign w:val="bottom"/>
          </w:tcPr>
          <w:p>
            <w:pPr>
              <w:spacing w:after="0"/>
              <w:rPr>
                <w:sz w:val="15"/>
                <w:szCs w:val="15"/>
                <w:color w:val="auto"/>
              </w:rPr>
            </w:pP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8"/>
              </w:rPr>
              <w:t>36,287</w:t>
            </w:r>
          </w:p>
        </w:tc>
        <w:tc>
          <w:tcPr>
            <w:tcW w:w="90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50,124</w:t>
            </w:r>
          </w:p>
        </w:tc>
        <w:tc>
          <w:tcPr>
            <w:tcW w:w="80" w:type="dxa"/>
            <w:vAlign w:val="bottom"/>
          </w:tcPr>
          <w:p>
            <w:pPr>
              <w:spacing w:after="0"/>
              <w:rPr>
                <w:sz w:val="15"/>
                <w:szCs w:val="15"/>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40,878</w:t>
            </w:r>
          </w:p>
        </w:tc>
      </w:tr>
      <w:tr>
        <w:trPr>
          <w:trHeight w:val="27"/>
        </w:trPr>
        <w:tc>
          <w:tcPr>
            <w:tcW w:w="3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43" w:name="page44"/>
    <w:bookmarkEnd w:id="43"/>
    <w:p>
      <w:pPr>
        <w:spacing w:after="0"/>
        <w:rPr>
          <w:sz w:val="20"/>
          <w:szCs w:val="20"/>
          <w:color w:val="auto"/>
        </w:rPr>
      </w:pPr>
      <w:r>
        <w:rPr>
          <w:rFonts w:ascii="Arial" w:cs="Arial" w:eastAsia="Arial" w:hAnsi="Arial"/>
          <w:sz w:val="19"/>
          <w:szCs w:val="19"/>
          <w:b w:val="1"/>
          <w:bCs w:val="1"/>
          <w:u w:val="single" w:color="auto"/>
          <w:color w:val="auto"/>
        </w:rPr>
        <w:t>Item 7 – Management’s Discussions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6440170"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40170" cy="291465"/>
                    </a:xfrm>
                    <a:prstGeom prst="rect">
                      <a:avLst/>
                    </a:prstGeom>
                    <a:noFill/>
                  </pic:spPr>
                </pic:pic>
              </a:graphicData>
            </a:graphic>
          </wp:anchor>
        </w:drawing>
      </w:r>
    </w:p>
    <w:p>
      <w:pPr>
        <w:spacing w:after="0" w:line="257" w:lineRule="exact"/>
        <w:rPr>
          <w:sz w:val="20"/>
          <w:szCs w:val="20"/>
          <w:color w:val="auto"/>
        </w:rPr>
      </w:pPr>
    </w:p>
    <w:p>
      <w:pPr>
        <w:ind w:left="240" w:right="360"/>
        <w:spacing w:after="0" w:line="230" w:lineRule="auto"/>
        <w:rPr>
          <w:sz w:val="20"/>
          <w:szCs w:val="20"/>
          <w:color w:val="auto"/>
        </w:rPr>
      </w:pPr>
      <w:r>
        <w:rPr>
          <w:rFonts w:ascii="Arial" w:cs="Arial" w:eastAsia="Arial" w:hAnsi="Arial"/>
          <w:sz w:val="13"/>
          <w:szCs w:val="13"/>
          <w:i w:val="1"/>
          <w:iCs w:val="1"/>
          <w:color w:val="auto"/>
        </w:rPr>
        <w:t>This MD&amp;A should be read in conjunction with the accompanying consolidated financial statements included in Part II, Item 8 (Financial Statements and Supplementary Data). The foregoing discussions and analyses contain certain forward-looking statements. Please refer to the “Forward Looking Statements” included as a preface in Part I, Item 1A – Risk Factors of this 2018 Form 10-K.</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INDEX</w:t>
            </w:r>
          </w:p>
        </w:tc>
        <w:tc>
          <w:tcPr>
            <w:tcW w:w="4340" w:type="dxa"/>
            <w:vAlign w:val="bottom"/>
            <w:gridSpan w:val="4"/>
          </w:tcPr>
          <w:p>
            <w:pPr>
              <w:spacing w:after="0"/>
              <w:rPr>
                <w:sz w:val="14"/>
                <w:szCs w:val="14"/>
                <w:color w:val="auto"/>
              </w:rPr>
            </w:pPr>
          </w:p>
        </w:tc>
        <w:tc>
          <w:tcPr>
            <w:tcW w:w="47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20" w:type="dxa"/>
            <w:vAlign w:val="bottom"/>
            <w:shd w:val="clear" w:color="auto" w:fill="CCEEFF"/>
          </w:tcPr>
          <w:p>
            <w:pPr>
              <w:spacing w:after="0"/>
              <w:rPr>
                <w:sz w:val="14"/>
                <w:szCs w:val="14"/>
                <w:color w:val="auto"/>
              </w:rPr>
            </w:pPr>
          </w:p>
        </w:tc>
        <w:tc>
          <w:tcPr>
            <w:tcW w:w="4800" w:type="dxa"/>
            <w:vAlign w:val="bottom"/>
            <w:gridSpan w:val="5"/>
            <w:shd w:val="clear" w:color="auto" w:fill="CCEEFF"/>
          </w:tcPr>
          <w:p>
            <w:pPr>
              <w:spacing w:after="0" w:line="170" w:lineRule="exact"/>
              <w:rPr>
                <w:rFonts w:ascii="Arial" w:cs="Arial" w:eastAsia="Arial" w:hAnsi="Arial"/>
                <w:sz w:val="18"/>
                <w:szCs w:val="18"/>
                <w:color w:val="0000EE"/>
              </w:rPr>
            </w:pPr>
            <w:hyperlink w:anchor="page47">
              <w:r>
                <w:rPr>
                  <w:rFonts w:ascii="Arial" w:cs="Arial" w:eastAsia="Arial" w:hAnsi="Arial"/>
                  <w:sz w:val="18"/>
                  <w:szCs w:val="18"/>
                  <w:color w:val="0000EE"/>
                </w:rPr>
                <w:t>Business Overview</w:t>
              </w:r>
            </w:hyperlink>
          </w:p>
        </w:tc>
        <w:tc>
          <w:tcPr>
            <w:tcW w:w="5060" w:type="dxa"/>
            <w:vAlign w:val="bottom"/>
            <w:gridSpan w:val="2"/>
            <w:shd w:val="clear" w:color="auto" w:fill="CCEEFF"/>
          </w:tcPr>
          <w:p>
            <w:pPr>
              <w:jc w:val="center"/>
              <w:ind w:left="4670"/>
              <w:spacing w:after="0" w:line="170" w:lineRule="exact"/>
              <w:rPr>
                <w:sz w:val="20"/>
                <w:szCs w:val="20"/>
                <w:color w:val="auto"/>
              </w:rPr>
            </w:pPr>
            <w:r>
              <w:rPr>
                <w:rFonts w:ascii="Arial" w:cs="Arial" w:eastAsia="Arial" w:hAnsi="Arial"/>
                <w:sz w:val="18"/>
                <w:szCs w:val="18"/>
                <w:color w:val="auto"/>
                <w:w w:val="89"/>
              </w:rPr>
              <w:t>37</w:t>
            </w:r>
          </w:p>
        </w:tc>
        <w:tc>
          <w:tcPr>
            <w:tcW w:w="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4800" w:type="dxa"/>
            <w:vAlign w:val="bottom"/>
            <w:gridSpan w:val="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Recent Developments</w:t>
              </w:r>
            </w:hyperlink>
          </w:p>
        </w:tc>
        <w:tc>
          <w:tcPr>
            <w:tcW w:w="5060" w:type="dxa"/>
            <w:vAlign w:val="bottom"/>
            <w:gridSpan w:val="2"/>
          </w:tcPr>
          <w:p>
            <w:pPr>
              <w:jc w:val="center"/>
              <w:ind w:left="4670"/>
              <w:spacing w:after="0" w:line="176" w:lineRule="exact"/>
              <w:rPr>
                <w:sz w:val="20"/>
                <w:szCs w:val="20"/>
                <w:color w:val="auto"/>
              </w:rPr>
            </w:pPr>
            <w:r>
              <w:rPr>
                <w:rFonts w:ascii="Arial" w:cs="Arial" w:eastAsia="Arial" w:hAnsi="Arial"/>
                <w:sz w:val="18"/>
                <w:szCs w:val="18"/>
                <w:color w:val="auto"/>
                <w:w w:val="89"/>
              </w:rPr>
              <w:t>39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Results of Operations</w:t>
              </w:r>
            </w:hyperlink>
          </w:p>
        </w:tc>
        <w:tc>
          <w:tcPr>
            <w:tcW w:w="3240" w:type="dxa"/>
            <w:vAlign w:val="bottom"/>
            <w:tcBorders>
              <w:bottom w:val="single" w:sz="8" w:color="CCEEFF"/>
            </w:tcBorders>
            <w:gridSpan w:val="2"/>
            <w:shd w:val="clear" w:color="auto" w:fill="CCEEFF"/>
          </w:tcPr>
          <w:p>
            <w:pPr>
              <w:spacing w:after="0"/>
              <w:rPr>
                <w:sz w:val="17"/>
                <w:szCs w:val="17"/>
                <w:color w:val="auto"/>
              </w:rPr>
            </w:pPr>
          </w:p>
        </w:tc>
        <w:tc>
          <w:tcPr>
            <w:tcW w:w="5060" w:type="dxa"/>
            <w:vAlign w:val="bottom"/>
            <w:tcBorders>
              <w:bottom w:val="single" w:sz="8" w:color="CCEEFF"/>
            </w:tcBorders>
            <w:gridSpan w:val="2"/>
            <w:shd w:val="clear" w:color="auto" w:fill="CCEEFF"/>
          </w:tcPr>
          <w:p>
            <w:pPr>
              <w:jc w:val="center"/>
              <w:ind w:left="4670"/>
              <w:spacing w:after="0" w:line="176" w:lineRule="exact"/>
              <w:rPr>
                <w:sz w:val="20"/>
                <w:szCs w:val="20"/>
                <w:color w:val="auto"/>
              </w:rPr>
            </w:pPr>
            <w:r>
              <w:rPr>
                <w:rFonts w:ascii="Arial" w:cs="Arial" w:eastAsia="Arial" w:hAnsi="Arial"/>
                <w:sz w:val="18"/>
                <w:szCs w:val="18"/>
                <w:color w:val="auto"/>
                <w:w w:val="89"/>
              </w:rPr>
              <w:t>44</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32"/>
        </w:trPr>
        <w:tc>
          <w:tcPr>
            <w:tcW w:w="4920" w:type="dxa"/>
            <w:vAlign w:val="bottom"/>
            <w:gridSpan w:val="6"/>
          </w:tcPr>
          <w:p>
            <w:pPr>
              <w:jc w:val="right"/>
              <w:ind w:right="40"/>
              <w:spacing w:after="0"/>
              <w:rPr>
                <w:sz w:val="20"/>
                <w:szCs w:val="20"/>
                <w:color w:val="auto"/>
              </w:rPr>
            </w:pPr>
            <w:r>
              <w:rPr>
                <w:rFonts w:ascii="Arial" w:cs="Arial" w:eastAsia="Arial" w:hAnsi="Arial"/>
                <w:sz w:val="18"/>
                <w:szCs w:val="18"/>
                <w:color w:val="auto"/>
              </w:rPr>
              <w:t>-</w:t>
            </w:r>
          </w:p>
        </w:tc>
        <w:tc>
          <w:tcPr>
            <w:tcW w:w="4760" w:type="dxa"/>
            <w:vAlign w:val="bottom"/>
          </w:tcPr>
          <w:p>
            <w:pPr>
              <w:jc w:val="right"/>
              <w:ind w:right="4290"/>
              <w:spacing w:after="0"/>
              <w:rPr>
                <w:sz w:val="20"/>
                <w:szCs w:val="20"/>
                <w:color w:val="auto"/>
              </w:rPr>
            </w:pPr>
            <w:r>
              <w:rPr>
                <w:rFonts w:ascii="Arial" w:cs="Arial" w:eastAsia="Arial" w:hAnsi="Arial"/>
                <w:sz w:val="18"/>
                <w:szCs w:val="18"/>
                <w:color w:val="auto"/>
              </w:rPr>
              <w:t>44 -</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220" w:type="dxa"/>
            <w:vAlign w:val="bottom"/>
            <w:tcBorders>
              <w:bottom w:val="single" w:sz="8" w:color="EEEEEE"/>
            </w:tcBorders>
          </w:tcPr>
          <w:p>
            <w:pPr>
              <w:spacing w:after="0" w:line="20" w:lineRule="exact"/>
              <w:rPr>
                <w:sz w:val="1"/>
                <w:szCs w:val="1"/>
                <w:color w:val="auto"/>
              </w:rPr>
            </w:pPr>
          </w:p>
        </w:tc>
        <w:tc>
          <w:tcPr>
            <w:tcW w:w="47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6" w:right="8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480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Business Segment Results – 2018 vs 2017</w:t>
              </w:r>
            </w:hyperlink>
          </w:p>
        </w:tc>
        <w:tc>
          <w:tcPr>
            <w:tcW w:w="520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Non-Segment Results – 2018 vs 2017</w:t>
              </w:r>
            </w:hyperlink>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52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3040" w:type="dxa"/>
            <w:vAlign w:val="bottom"/>
            <w:tcBorders>
              <w:bottom w:val="single" w:sz="8" w:color="0000EE"/>
            </w:tcBorders>
            <w:gridSpan w:val="2"/>
          </w:tcPr>
          <w:p>
            <w:pPr>
              <w:spacing w:after="0" w:line="17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Business Segment Results – 2017 vs 2016</w:t>
              </w:r>
            </w:hyperlink>
          </w:p>
        </w:tc>
        <w:tc>
          <w:tcPr>
            <w:tcW w:w="1760" w:type="dxa"/>
            <w:vAlign w:val="bottom"/>
          </w:tcPr>
          <w:p>
            <w:pPr>
              <w:spacing w:after="0"/>
              <w:rPr>
                <w:sz w:val="15"/>
                <w:szCs w:val="15"/>
                <w:color w:val="auto"/>
              </w:rPr>
            </w:pPr>
          </w:p>
        </w:tc>
        <w:tc>
          <w:tcPr>
            <w:tcW w:w="520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r>
      <w:tr>
        <w:trPr>
          <w:trHeight w:val="453"/>
        </w:trPr>
        <w:tc>
          <w:tcPr>
            <w:tcW w:w="49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5200" w:type="dxa"/>
            <w:vAlign w:val="bottom"/>
          </w:tcPr>
          <w:p>
            <w:pPr>
              <w:jc w:val="right"/>
              <w:ind w:right="4730"/>
              <w:spacing w:after="0"/>
              <w:rPr>
                <w:sz w:val="20"/>
                <w:szCs w:val="20"/>
                <w:color w:val="auto"/>
              </w:rPr>
            </w:pPr>
            <w:r>
              <w:rPr>
                <w:rFonts w:ascii="Arial" w:cs="Arial" w:eastAsia="Arial" w:hAnsi="Arial"/>
                <w:sz w:val="18"/>
                <w:szCs w:val="18"/>
                <w:color w:val="auto"/>
              </w:rPr>
              <w:t>45 -</w:t>
            </w: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27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5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7"/>
        </w:trPr>
        <w:tc>
          <w:tcPr>
            <w:tcW w:w="12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Non-Segment Results – 2017 vs 2016</w:t>
              </w:r>
            </w:hyperlink>
          </w:p>
        </w:tc>
        <w:tc>
          <w:tcPr>
            <w:tcW w:w="2080" w:type="dxa"/>
            <w:vAlign w:val="bottom"/>
            <w:tcBorders>
              <w:bottom w:val="single" w:sz="8" w:color="CCEEFF"/>
            </w:tcBorders>
            <w:gridSpan w:val="2"/>
            <w:shd w:val="clear" w:color="auto" w:fill="CCEEFF"/>
          </w:tcPr>
          <w:p>
            <w:pPr>
              <w:spacing w:after="0"/>
              <w:rPr>
                <w:sz w:val="19"/>
                <w:szCs w:val="19"/>
                <w:color w:val="auto"/>
              </w:rPr>
            </w:pPr>
          </w:p>
        </w:tc>
        <w:tc>
          <w:tcPr>
            <w:tcW w:w="5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176"/>
        </w:trPr>
        <w:tc>
          <w:tcPr>
            <w:tcW w:w="120" w:type="dxa"/>
            <w:vAlign w:val="bottom"/>
          </w:tcPr>
          <w:p>
            <w:pPr>
              <w:spacing w:after="0"/>
              <w:rPr>
                <w:sz w:val="15"/>
                <w:szCs w:val="15"/>
                <w:color w:val="auto"/>
              </w:rPr>
            </w:pPr>
          </w:p>
        </w:tc>
        <w:tc>
          <w:tcPr>
            <w:tcW w:w="4800" w:type="dxa"/>
            <w:vAlign w:val="bottom"/>
            <w:gridSpan w:val="4"/>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Liquidity and Capital Resources</w:t>
              </w:r>
            </w:hyperlink>
          </w:p>
        </w:tc>
        <w:tc>
          <w:tcPr>
            <w:tcW w:w="520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4800" w:type="dxa"/>
            <w:vAlign w:val="bottom"/>
            <w:gridSpan w:val="4"/>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Contractual Obligations, Commitments and Contingencies</w:t>
              </w:r>
            </w:hyperlink>
          </w:p>
        </w:tc>
        <w:tc>
          <w:tcPr>
            <w:tcW w:w="520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r>
      <w:tr>
        <w:trPr>
          <w:trHeight w:val="432"/>
        </w:trPr>
        <w:tc>
          <w:tcPr>
            <w:tcW w:w="120" w:type="dxa"/>
            <w:vAlign w:val="bottom"/>
            <w:tcBorders>
              <w:top w:val="single" w:sz="8" w:color="CCEEFF"/>
            </w:tcBorders>
          </w:tcPr>
          <w:p>
            <w:pPr>
              <w:spacing w:after="0"/>
              <w:rPr>
                <w:sz w:val="24"/>
                <w:szCs w:val="24"/>
                <w:color w:val="auto"/>
              </w:rPr>
            </w:pPr>
          </w:p>
        </w:tc>
        <w:tc>
          <w:tcPr>
            <w:tcW w:w="4200" w:type="dxa"/>
            <w:vAlign w:val="bottom"/>
            <w:tcBorders>
              <w:top w:val="single" w:sz="8" w:color="0000EE"/>
            </w:tcBorders>
            <w:gridSpan w:val="3"/>
          </w:tcPr>
          <w:p>
            <w:pPr>
              <w:spacing w:after="0"/>
              <w:rPr>
                <w:sz w:val="24"/>
                <w:szCs w:val="24"/>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5200" w:type="dxa"/>
            <w:vAlign w:val="bottom"/>
            <w:tcBorders>
              <w:top w:val="single" w:sz="8" w:color="CCEEFF"/>
            </w:tcBorders>
          </w:tcPr>
          <w:p>
            <w:pPr>
              <w:jc w:val="right"/>
              <w:ind w:right="4730"/>
              <w:spacing w:after="0"/>
              <w:rPr>
                <w:sz w:val="20"/>
                <w:szCs w:val="20"/>
                <w:color w:val="auto"/>
              </w:rPr>
            </w:pPr>
            <w:r>
              <w:rPr>
                <w:rFonts w:ascii="Arial" w:cs="Arial" w:eastAsia="Arial" w:hAnsi="Arial"/>
                <w:sz w:val="18"/>
                <w:szCs w:val="18"/>
                <w:color w:val="auto"/>
              </w:rPr>
              <w:t>46 -</w:t>
            </w: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5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900" w:type="dxa"/>
            <w:vAlign w:val="bottom"/>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Financial Risk Management</w:t>
              </w:r>
            </w:hyperlink>
          </w:p>
        </w:tc>
        <w:tc>
          <w:tcPr>
            <w:tcW w:w="4100" w:type="dxa"/>
            <w:vAlign w:val="bottom"/>
          </w:tcPr>
          <w:p>
            <w:pPr>
              <w:jc w:val="right"/>
              <w:ind w:right="110"/>
              <w:spacing w:after="0"/>
              <w:rPr>
                <w:sz w:val="20"/>
                <w:szCs w:val="20"/>
                <w:color w:val="auto"/>
              </w:rPr>
            </w:pPr>
            <w:r>
              <w:rPr>
                <w:rFonts w:ascii="Arial" w:cs="Arial" w:eastAsia="Arial" w:hAnsi="Arial"/>
                <w:sz w:val="18"/>
                <w:szCs w:val="18"/>
                <w:color w:val="auto"/>
              </w:rPr>
              <w:t>62</w:t>
            </w:r>
          </w:p>
        </w:tc>
      </w:tr>
      <w:tr>
        <w:trPr>
          <w:trHeight w:val="21"/>
        </w:trPr>
        <w:tc>
          <w:tcPr>
            <w:tcW w:w="120" w:type="dxa"/>
            <w:vAlign w:val="bottom"/>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900" w:type="dxa"/>
            <w:vAlign w:val="bottom"/>
            <w:gridSpan w:val="3"/>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Critical Accounting Estimates</w:t>
              </w:r>
            </w:hyperlink>
          </w:p>
        </w:tc>
        <w:tc>
          <w:tcPr>
            <w:tcW w:w="410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63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ind w:left="640" w:hanging="320"/>
        <w:spacing w:after="0" w:line="183" w:lineRule="auto"/>
        <w:tabs>
          <w:tab w:leader="none" w:pos="6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Cinema exhibition, through our 59, including one managed only cinema multiplex cinemas; and,</w:t>
      </w:r>
    </w:p>
    <w:p>
      <w:pPr>
        <w:spacing w:after="0" w:line="97"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Real estate, including real estate development and the rental of retail, commercial and live theater assets.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that these two business segments can complement one another, as we can use the comparatively consistent cash flows generated by our cinema operations to fund the front-end cash demands of our real estate development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worldwide cinema exhibition businesses under various brands:</w:t>
      </w:r>
    </w:p>
    <w:p>
      <w:pPr>
        <w:spacing w:after="0" w:line="12" w:lineRule="exact"/>
        <w:rPr>
          <w:sz w:val="20"/>
          <w:szCs w:val="20"/>
          <w:color w:val="auto"/>
        </w:rPr>
      </w:pPr>
    </w:p>
    <w:p>
      <w:pPr>
        <w:ind w:left="640" w:hanging="320"/>
        <w:spacing w:after="0"/>
        <w:tabs>
          <w:tab w:leader="none" w:pos="64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 the U.S., under the following brands: Reading Cinemas, Angelika Film Centers, Consolidated Theatres, and City Cinemas;</w:t>
      </w:r>
    </w:p>
    <w:p>
      <w:pPr>
        <w:spacing w:after="0" w:line="96" w:lineRule="exact"/>
        <w:rPr>
          <w:rFonts w:ascii="Arial" w:cs="Arial" w:eastAsia="Arial" w:hAnsi="Arial"/>
          <w:sz w:val="28"/>
          <w:szCs w:val="28"/>
          <w:color w:val="auto"/>
          <w:vertAlign w:val="superscript"/>
        </w:rPr>
      </w:pPr>
    </w:p>
    <w:p>
      <w:pPr>
        <w:ind w:left="640" w:hanging="320"/>
        <w:spacing w:after="0" w:line="186" w:lineRule="auto"/>
        <w:tabs>
          <w:tab w:leader="none" w:pos="64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in Australia, under the Reading Cinemas brand; and,</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in New Zealand, under the Reading Cinemas and Rialto brands.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Strategy: Applying a Synergistic Approach</w:t>
      </w:r>
    </w:p>
    <w:p>
      <w:pPr>
        <w:spacing w:after="0" w:line="2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believe the cinema business to be one that will likely continue to generate fairly consistent cash flows in the years ahead, even in a recessionary or inflationary environment. This is based on our belief that people will continue to spend a reasonable portion of their entertainment dollars on entertainment outside of the home and that, when compared to other forms of outside-the-home entertainment, movies continue to be a popular and competitively priced option. We believe the cinema exhibition business to be a mature business with most markets either adequately screened or over-screened and we see growth in our cinema business coming principally from (i) the enhancement of our existing cinemas (for example, by the addition of luxury recliner seating and expanding our food and beverage program), (ii) the development in select markets of specialty cinemas and where applicable, new cinemas in underserved markets, and (iii) the opportunistic acquisition of already existing cinemas. From time-to-time, we might invest in the securities of other companies, where we believe the business or assets of those companies to be attractive or to offer synergies to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7" w:name="page48"/>
    <w:bookmarkEnd w:id="47"/>
    <w:p>
      <w:pPr>
        <w:jc w:val="both"/>
        <w:ind w:right="540"/>
        <w:spacing w:after="0" w:line="302" w:lineRule="auto"/>
        <w:rPr>
          <w:sz w:val="20"/>
          <w:szCs w:val="20"/>
          <w:color w:val="auto"/>
        </w:rPr>
      </w:pPr>
      <w:r>
        <w:rPr>
          <w:rFonts w:ascii="Arial" w:cs="Arial" w:eastAsia="Arial" w:hAnsi="Arial"/>
          <w:sz w:val="16"/>
          <w:szCs w:val="16"/>
          <w:color w:val="auto"/>
        </w:rPr>
        <w:t>existing entertainment and real estate businesses. We continue to focus on the development and redevelopment of our existing assets (particularly our real estate assets in (i) New York, (ii) Brisbane and Sydney in Australia, and (iii) Wellington, New Zealand, and our Angelika Film Center chain), as well as to continue to be opportunistic in identifying and endeavoring to acquire undervalued assets, particularly assets with proven cash flow and that we believe to be resistant to recessionary trends.</w:t>
      </w:r>
    </w:p>
    <w:p>
      <w:pPr>
        <w:spacing w:after="0" w:line="15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see ourselves principally as a geographically diversified real estate and cinema exhibition company and intend to add to stockholder value by building the value of our portfolio of tangible assets, including both entertainment and other types of land and “brick and mortar” assets. We endeavor to maintain a reasonable asset allocation between our domestic and international assets and operations, and between our cash-generating cinema operations and our cash-consuming real estate investment and development activities. We believe that, by blending the cash generating capabilities of a cinema operation with the investment and development opportunities of our real estate operations, our business strategy is unique among public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Exhibition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Along with most of our industry, we have completed the conversion of all of our U.S., Australia, and New Zealand cinema operations to digital exhibition. We believe that a substantial part of this cost of conversion has been or will be recovered by the receipt of “virtual print fees” paid by film distributors for the use of such digital projection equipment.</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“in-home” entertainment industry has experienced significant leaps in recent periods in both the quality and affordability of in-home entertainment systems and in the accessibility to and quality of entertainment programming through alternative film distribution channels, such as network, cable, satellite, internet distribution channels, and Blu-ray/DVD. The success of these alternative distribution channels puts additional pressure on film distributors to reduce and/or eliminate the length of time between theatrical and secondary release dates. These are issues common to both our U.S. and international cinema operations.</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Certain new entrants to the cinema exhibition market, as well as certain of our historic competitors, have begun to develop new, and to reposition existing, cinemas that offer a broader selection of premium seating and food and beverage choices. These include, in some cases, food service to the seat and the offering of alcoholic beverages. For some years, we have offered premium seating, café food selections and alcoholic beverages in certain cinemas. Based on our experience, we believe that we can compete effectively with this emerging competition. We are currently reviewing the potential for further expanding our offerings at a variety of our cinemas.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discussion of the competitive aspects of our two cinema exhibition markets:</w:t>
      </w:r>
    </w:p>
    <w:p>
      <w:pPr>
        <w:spacing w:after="0" w:line="100" w:lineRule="exact"/>
        <w:rPr>
          <w:sz w:val="20"/>
          <w:szCs w:val="20"/>
          <w:color w:val="auto"/>
        </w:rPr>
      </w:pPr>
    </w:p>
    <w:p>
      <w:pPr>
        <w:ind w:left="640" w:right="140" w:hanging="320"/>
        <w:spacing w:after="0" w:line="227" w:lineRule="auto"/>
        <w:tabs>
          <w:tab w:leader="none" w:pos="6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b w:val="1"/>
          <w:bCs w:val="1"/>
          <w:color w:val="auto"/>
        </w:rPr>
        <w:t>North America</w:t>
      </w:r>
      <w:r>
        <w:rPr>
          <w:rFonts w:ascii="Arial" w:cs="Arial" w:eastAsia="Arial" w:hAnsi="Arial"/>
          <w:sz w:val="18"/>
          <w:szCs w:val="18"/>
          <w:color w:val="auto"/>
        </w:rPr>
        <w:t>: We face strong competition in North America as distributors may find it more commercially appealing to deal</w:t>
      </w:r>
      <w:r>
        <w:rPr>
          <w:rFonts w:ascii="Arial" w:cs="Arial" w:eastAsia="Arial" w:hAnsi="Arial"/>
          <w:sz w:val="18"/>
          <w:szCs w:val="18"/>
          <w:b w:val="1"/>
          <w:bCs w:val="1"/>
          <w:color w:val="auto"/>
        </w:rPr>
        <w:t xml:space="preserve"> </w:t>
      </w:r>
      <w:r>
        <w:rPr>
          <w:rFonts w:ascii="Arial" w:cs="Arial" w:eastAsia="Arial" w:hAnsi="Arial"/>
          <w:sz w:val="18"/>
          <w:szCs w:val="18"/>
          <w:color w:val="auto"/>
        </w:rPr>
        <w:t>with major exhibitors, rather than to deal with independents such as us. This competitive disadvantage has increased significantly in recent periods, with the development of mega-circuits such as Cinemark, Regal and AMC, who are able to offer distributors access to screens on a truly nationwide basis, or, on the other hand, to limit access if their desires with respect to film supply are not satisfied.</w:t>
      </w:r>
    </w:p>
    <w:p>
      <w:pPr>
        <w:spacing w:after="0" w:line="80" w:lineRule="exact"/>
        <w:rPr>
          <w:rFonts w:ascii="Arial" w:cs="Arial" w:eastAsia="Arial" w:hAnsi="Arial"/>
          <w:sz w:val="29"/>
          <w:szCs w:val="29"/>
          <w:color w:val="auto"/>
          <w:vertAlign w:val="superscript"/>
        </w:rPr>
      </w:pPr>
    </w:p>
    <w:p>
      <w:pPr>
        <w:ind w:left="640" w:right="20"/>
        <w:spacing w:after="0" w:line="255" w:lineRule="auto"/>
        <w:rPr>
          <w:rFonts w:ascii="Arial" w:cs="Arial" w:eastAsia="Arial" w:hAnsi="Arial"/>
          <w:sz w:val="29"/>
          <w:szCs w:val="29"/>
          <w:color w:val="auto"/>
          <w:vertAlign w:val="superscript"/>
        </w:rPr>
      </w:pPr>
      <w:r>
        <w:rPr>
          <w:rFonts w:ascii="Arial" w:cs="Arial" w:eastAsia="Arial" w:hAnsi="Arial"/>
          <w:sz w:val="18"/>
          <w:szCs w:val="18"/>
          <w:color w:val="auto"/>
        </w:rPr>
        <w:t>AMC in 2017 completed its acquisition of the 4</w:t>
      </w:r>
      <w:r>
        <w:rPr>
          <w:rFonts w:ascii="Arial" w:cs="Arial" w:eastAsia="Arial" w:hAnsi="Arial"/>
          <w:sz w:val="8"/>
          <w:szCs w:val="8"/>
          <w:color w:val="auto"/>
        </w:rPr>
        <w:t>th</w:t>
      </w:r>
      <w:r>
        <w:rPr>
          <w:rFonts w:ascii="Arial" w:cs="Arial" w:eastAsia="Arial" w:hAnsi="Arial"/>
          <w:sz w:val="18"/>
          <w:szCs w:val="18"/>
          <w:color w:val="auto"/>
        </w:rPr>
        <w:t xml:space="preserve"> largest exhibitor in the U.S., Carmike Cinemas, making it the largest circuit in the U.S. and when considered with its parent (Dalian Wanda), the largest exhibitor in the world. Just recently, Cineworld, a major European cinema circuit operator, has acquired Regal. The restructuring and consolidation undertaken in the industry is decreasing the number of exhibitors in the market, and the emergence of increasingly attractive “in-home” and mobile entertainment alternatives and the continued growth of in-home and mobile viewing options is resulting in pressure for shortened release windows.</w:t>
      </w:r>
    </w:p>
    <w:p>
      <w:pPr>
        <w:spacing w:after="0" w:line="54" w:lineRule="exact"/>
        <w:rPr>
          <w:rFonts w:ascii="Arial" w:cs="Arial" w:eastAsia="Arial" w:hAnsi="Arial"/>
          <w:sz w:val="29"/>
          <w:szCs w:val="29"/>
          <w:color w:val="auto"/>
          <w:vertAlign w:val="superscript"/>
        </w:rPr>
      </w:pPr>
    </w:p>
    <w:p>
      <w:pPr>
        <w:ind w:left="640" w:hanging="320"/>
        <w:spacing w:after="0" w:line="236" w:lineRule="auto"/>
        <w:tabs>
          <w:tab w:leader="none" w:pos="6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b w:val="1"/>
          <w:bCs w:val="1"/>
          <w:color w:val="auto"/>
        </w:rPr>
        <w:t>Australia / New Zealand</w:t>
      </w:r>
      <w:r>
        <w:rPr>
          <w:rFonts w:ascii="Arial" w:cs="Arial" w:eastAsia="Arial" w:hAnsi="Arial"/>
          <w:sz w:val="18"/>
          <w:szCs w:val="18"/>
          <w:color w:val="auto"/>
        </w:rPr>
        <w:t>: The film exhibition industry in Australia and New Zealand is highly concentrated in that Village, Event,</w:t>
      </w:r>
      <w:r>
        <w:rPr>
          <w:rFonts w:ascii="Arial" w:cs="Arial" w:eastAsia="Arial" w:hAnsi="Arial"/>
          <w:sz w:val="18"/>
          <w:szCs w:val="18"/>
          <w:b w:val="1"/>
          <w:bCs w:val="1"/>
          <w:color w:val="auto"/>
        </w:rPr>
        <w:t xml:space="preserve"> </w:t>
      </w:r>
      <w:r>
        <w:rPr>
          <w:rFonts w:ascii="Arial" w:cs="Arial" w:eastAsia="Arial" w:hAnsi="Arial"/>
          <w:sz w:val="18"/>
          <w:szCs w:val="18"/>
          <w:color w:val="auto"/>
        </w:rPr>
        <w:t>and Hoyts (the “Major Exhibitors”) control approximately 78% of the cinema box office in Australia, while Event and Hoyts control approximately 52% of New Zealand’s cinema box office. The industry is also somewhat vertically integrated in that one of the Major Exhibitors, Roadshow Film Distributors (part of Village), also serves as a distributor of film in Australia and New Zealand for Warner Bros.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in recent periods built a number of new multiplexes as joint venture partners or under shared facility arrangements, and have historically not engaged in head-to-head competition.</w:t>
      </w:r>
    </w:p>
    <w:p>
      <w:pPr>
        <w:spacing w:after="0" w:line="200" w:lineRule="exact"/>
        <w:rPr>
          <w:rFonts w:ascii="Arial" w:cs="Arial" w:eastAsia="Arial" w:hAnsi="Arial"/>
          <w:sz w:val="29"/>
          <w:szCs w:val="29"/>
          <w:color w:val="auto"/>
          <w:vertAlign w:val="superscript"/>
        </w:rPr>
      </w:pPr>
    </w:p>
    <w:p>
      <w:pPr>
        <w:spacing w:after="0" w:line="319" w:lineRule="exact"/>
        <w:rPr>
          <w:rFonts w:ascii="Arial" w:cs="Arial" w:eastAsia="Arial" w:hAnsi="Arial"/>
          <w:sz w:val="29"/>
          <w:szCs w:val="29"/>
          <w:color w:val="auto"/>
          <w:vertAlign w:val="superscript"/>
        </w:rPr>
      </w:pPr>
    </w:p>
    <w:p>
      <w:pPr>
        <w:ind w:left="4960" w:hanging="146"/>
        <w:spacing w:after="0"/>
        <w:tabs>
          <w:tab w:leader="none" w:pos="4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discussion of the competitive aspects of the markets where we own real estate properties is as follows:</w:t>
      </w:r>
    </w:p>
    <w:p>
      <w:pPr>
        <w:spacing w:after="0" w:line="100" w:lineRule="exact"/>
        <w:rPr>
          <w:sz w:val="20"/>
          <w:szCs w:val="20"/>
          <w:color w:val="auto"/>
        </w:rPr>
      </w:pPr>
    </w:p>
    <w:p>
      <w:pPr>
        <w:ind w:left="640" w:right="40" w:hanging="320"/>
        <w:spacing w:after="0" w:line="233" w:lineRule="auto"/>
        <w:tabs>
          <w:tab w:leader="none" w:pos="64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b w:val="1"/>
          <w:bCs w:val="1"/>
          <w:color w:val="auto"/>
        </w:rPr>
        <w:t>North America</w:t>
      </w:r>
      <w:r>
        <w:rPr>
          <w:rFonts w:ascii="Arial" w:cs="Arial" w:eastAsia="Arial" w:hAnsi="Arial"/>
          <w:sz w:val="18"/>
          <w:szCs w:val="18"/>
          <w:color w:val="auto"/>
        </w:rPr>
        <w:t>: We believe that U.S. retail real estate owners will continue to reuse the space vacated by anchor retailers to offer</w:t>
      </w:r>
      <w:r>
        <w:rPr>
          <w:rFonts w:ascii="Arial" w:cs="Arial" w:eastAsia="Arial" w:hAnsi="Arial"/>
          <w:sz w:val="18"/>
          <w:szCs w:val="18"/>
          <w:b w:val="1"/>
          <w:bCs w:val="1"/>
          <w:color w:val="auto"/>
        </w:rPr>
        <w:t xml:space="preserve"> </w:t>
      </w:r>
      <w:r>
        <w:rPr>
          <w:rFonts w:ascii="Arial" w:cs="Arial" w:eastAsia="Arial" w:hAnsi="Arial"/>
          <w:sz w:val="18"/>
          <w:szCs w:val="18"/>
          <w:color w:val="auto"/>
        </w:rPr>
        <w:t>a variety of entertainment options and ultimately enhance the customer experience. Online marketplaces will offer a platform to brands, designers, and artists to find physical retail space for a short duration. This will likely spur a broader subleasing phenomenon. Subleasing will likely be bigger than leasing, however physical stores will remain, although their form and functionality will continue to evolve. Credit availability may be a concern going forward, due to, among other things, the continued low CMBS issuances and banks tightening the lending standards across all commercial real estate loan categories due to increased federal scrutiny.</w:t>
      </w:r>
    </w:p>
    <w:p>
      <w:pPr>
        <w:spacing w:after="0" w:line="81" w:lineRule="exact"/>
        <w:rPr>
          <w:rFonts w:ascii="Arial" w:cs="Arial" w:eastAsia="Arial" w:hAnsi="Arial"/>
          <w:sz w:val="29"/>
          <w:szCs w:val="29"/>
          <w:color w:val="auto"/>
          <w:vertAlign w:val="superscript"/>
        </w:rPr>
      </w:pPr>
    </w:p>
    <w:p>
      <w:pPr>
        <w:ind w:left="640" w:right="140"/>
        <w:spacing w:after="0" w:line="297" w:lineRule="auto"/>
        <w:rPr>
          <w:rFonts w:ascii="Arial" w:cs="Arial" w:eastAsia="Arial" w:hAnsi="Arial"/>
          <w:sz w:val="29"/>
          <w:szCs w:val="29"/>
          <w:color w:val="auto"/>
          <w:vertAlign w:val="superscript"/>
        </w:rPr>
      </w:pPr>
      <w:r>
        <w:rPr>
          <w:rFonts w:ascii="Arial" w:cs="Arial" w:eastAsia="Arial" w:hAnsi="Arial"/>
          <w:sz w:val="16"/>
          <w:szCs w:val="16"/>
          <w:color w:val="auto"/>
        </w:rPr>
        <w:t>Demand for office space is likely to reduce as corporations adapt to employees’ “live, work, and play” behavior and leverage technology to automate tasks. The leasing of large office spaces and sub-leasing them on demand for a wide variety of short-term rentals, ranging from day offices, hourly use of office space or meeting rooms, to virtual offices and other uses, will be a continuing growth trend. In essence, office space demand will tilt in favor of open, flexible, co-sharing spaces and the per-employee office space requirement is likely to shrink. As there will be a higher demand for dynamically configurable spaces.</w:t>
      </w:r>
    </w:p>
    <w:p>
      <w:pPr>
        <w:spacing w:after="0" w:line="23" w:lineRule="exact"/>
        <w:rPr>
          <w:rFonts w:ascii="Arial" w:cs="Arial" w:eastAsia="Arial" w:hAnsi="Arial"/>
          <w:sz w:val="29"/>
          <w:szCs w:val="29"/>
          <w:color w:val="auto"/>
          <w:vertAlign w:val="superscript"/>
        </w:rPr>
      </w:pPr>
    </w:p>
    <w:p>
      <w:pPr>
        <w:ind w:left="640" w:right="60"/>
        <w:spacing w:after="0" w:line="277" w:lineRule="auto"/>
        <w:rPr>
          <w:rFonts w:ascii="Arial" w:cs="Arial" w:eastAsia="Arial" w:hAnsi="Arial"/>
          <w:sz w:val="29"/>
          <w:szCs w:val="29"/>
          <w:color w:val="auto"/>
          <w:vertAlign w:val="superscript"/>
        </w:rPr>
      </w:pPr>
      <w:r>
        <w:rPr>
          <w:rFonts w:ascii="Arial" w:cs="Arial" w:eastAsia="Arial" w:hAnsi="Arial"/>
          <w:sz w:val="18"/>
          <w:szCs w:val="18"/>
          <w:color w:val="auto"/>
        </w:rPr>
        <w:t>Our U.S. business plan is aligned with these real estate trends – to expand our U.S. cinema offering, offer premium retail locations and versatile office product.</w:t>
      </w:r>
    </w:p>
    <w:p>
      <w:pPr>
        <w:spacing w:after="0" w:line="44" w:lineRule="exact"/>
        <w:rPr>
          <w:rFonts w:ascii="Arial" w:cs="Arial" w:eastAsia="Arial" w:hAnsi="Arial"/>
          <w:sz w:val="29"/>
          <w:szCs w:val="29"/>
          <w:color w:val="auto"/>
          <w:vertAlign w:val="superscript"/>
        </w:rPr>
      </w:pPr>
    </w:p>
    <w:p>
      <w:pPr>
        <w:ind w:left="640" w:right="60" w:hanging="320"/>
        <w:spacing w:after="0" w:line="243" w:lineRule="auto"/>
        <w:tabs>
          <w:tab w:leader="none" w:pos="64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b w:val="1"/>
          <w:bCs w:val="1"/>
          <w:color w:val="auto"/>
        </w:rPr>
        <w:t>Australia and New Zealand</w:t>
      </w:r>
      <w:r>
        <w:rPr>
          <w:rFonts w:ascii="Arial" w:cs="Arial" w:eastAsia="Arial" w:hAnsi="Arial"/>
          <w:sz w:val="17"/>
          <w:szCs w:val="17"/>
          <w:color w:val="auto"/>
        </w:rPr>
        <w:t>: Over the past few years, there has been a noted stabilization in real estate market activity resulting</w:t>
      </w:r>
      <w:r>
        <w:rPr>
          <w:rFonts w:ascii="Arial" w:cs="Arial" w:eastAsia="Arial" w:hAnsi="Arial"/>
          <w:sz w:val="17"/>
          <w:szCs w:val="17"/>
          <w:b w:val="1"/>
          <w:bCs w:val="1"/>
          <w:color w:val="auto"/>
        </w:rPr>
        <w:t xml:space="preserve"> </w:t>
      </w:r>
      <w:r>
        <w:rPr>
          <w:rFonts w:ascii="Arial" w:cs="Arial" w:eastAsia="Arial" w:hAnsi="Arial"/>
          <w:sz w:val="17"/>
          <w:szCs w:val="17"/>
          <w:color w:val="auto"/>
        </w:rPr>
        <w:t>in some 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and we have a number of projects commencing in the near to medium term. Once developed, we remain optimistic that our Australian and New Zealand holdings will continue to provide value and cash flows to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Recent developments in our two business segments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Cinema Exhibition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Our cinema revenue consists primarily of admissions, F&amp;B, advertising and theater rentals. Cinema operating expense consists of the costs directly attributable to the operation of the cinemas, including film rent expense, operating costs, and occupancy costs. Cinema revenue and expense fluctuate with the availability of quality first run films and the numbers of weeks such first run films stay in the market. For a breakdown of our current cinema assets that we own and/or manage, please see Part I, Item 1 – </w:t>
      </w:r>
      <w:r>
        <w:rPr>
          <w:rFonts w:ascii="Arial" w:cs="Arial" w:eastAsia="Arial" w:hAnsi="Arial"/>
          <w:sz w:val="16"/>
          <w:szCs w:val="16"/>
          <w:i w:val="1"/>
          <w:iCs w:val="1"/>
          <w:color w:val="auto"/>
        </w:rPr>
        <w:t>Our Business</w:t>
      </w:r>
      <w:r>
        <w:rPr>
          <w:rFonts w:ascii="Arial" w:cs="Arial" w:eastAsia="Arial" w:hAnsi="Arial"/>
          <w:sz w:val="16"/>
          <w:szCs w:val="16"/>
          <w:color w:val="auto"/>
        </w:rPr>
        <w:t xml:space="preserve"> of this 2018 Form 10-K.</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While our capital projects in recent years have been focused on growing our real estate segment, we have also maintained our focus on improving and enhancing in our cinema exhibition portfolio, as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Additions and Enhancements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Here are the additions to our cinema portfolio in 2017 and 2018:</w:t>
      </w:r>
    </w:p>
    <w:p>
      <w:pPr>
        <w:spacing w:after="0" w:line="104" w:lineRule="exact"/>
        <w:rPr>
          <w:sz w:val="20"/>
          <w:szCs w:val="20"/>
          <w:color w:val="auto"/>
        </w:rPr>
      </w:pPr>
    </w:p>
    <w:p>
      <w:pPr>
        <w:ind w:left="640" w:right="60" w:hanging="320"/>
        <w:spacing w:after="0" w:line="220" w:lineRule="auto"/>
        <w:tabs>
          <w:tab w:leader="none" w:pos="64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Opened a new state-of-the-art eight-screen in Newmarket, Brisbane,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14, 2017, at the completion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of our Newmarket Village, Brisbane shopping center, we opened an eight screen Reading Cinemas offering one TITAN LUXE with DOLBY ATMOS sound and recliner seating, and three Gold Lounge auditoriums featuring recliner seating, as well as offering an expanded F&amp;B menu.</w:t>
      </w:r>
    </w:p>
    <w:p>
      <w:pPr>
        <w:spacing w:after="0" w:line="83" w:lineRule="exact"/>
        <w:rPr>
          <w:rFonts w:ascii="Arial" w:cs="Arial" w:eastAsia="Arial" w:hAnsi="Arial"/>
          <w:sz w:val="29"/>
          <w:szCs w:val="29"/>
          <w:color w:val="auto"/>
          <w:vertAlign w:val="superscript"/>
        </w:rPr>
      </w:pPr>
    </w:p>
    <w:p>
      <w:pPr>
        <w:ind w:left="640" w:hanging="320"/>
        <w:spacing w:after="0" w:line="207" w:lineRule="auto"/>
        <w:tabs>
          <w:tab w:leader="none" w:pos="64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i w:val="1"/>
          <w:iCs w:val="1"/>
          <w:u w:val="single" w:color="auto"/>
          <w:color w:val="auto"/>
        </w:rPr>
        <w:t>Opened our first dine-in concept, “Spotlight”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On March 30, 2018 we finished the conversion of one wing (six</w:t>
      </w:r>
      <w:r>
        <w:rPr>
          <w:rFonts w:ascii="Arial" w:cs="Arial" w:eastAsia="Arial" w:hAnsi="Arial"/>
          <w:sz w:val="17"/>
          <w:szCs w:val="17"/>
          <w:i w:val="1"/>
          <w:iCs w:val="1"/>
          <w:color w:val="auto"/>
        </w:rPr>
        <w:t xml:space="preserve"> </w:t>
      </w:r>
      <w:r>
        <w:rPr>
          <w:rFonts w:ascii="Arial" w:cs="Arial" w:eastAsia="Arial" w:hAnsi="Arial"/>
          <w:sz w:val="17"/>
          <w:szCs w:val="17"/>
          <w:color w:val="auto"/>
        </w:rPr>
        <w:t>auditoriums) at our Reading Cinema in Murrieta, California (Cal Oaks) to our dine-in concept brand, “Spotlight</w:t>
      </w:r>
    </w:p>
    <w:p>
      <w:pPr>
        <w:spacing w:after="0" w:line="80" w:lineRule="exact"/>
        <w:rPr>
          <w:rFonts w:ascii="Arial" w:cs="Arial" w:eastAsia="Arial" w:hAnsi="Arial"/>
          <w:sz w:val="28"/>
          <w:szCs w:val="28"/>
          <w:color w:val="auto"/>
          <w:vertAlign w:val="superscript"/>
        </w:rPr>
      </w:pPr>
    </w:p>
    <w:p>
      <w:pPr>
        <w:ind w:left="640" w:hanging="320"/>
        <w:spacing w:after="0" w:line="25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U.S. Refurbishments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and 2018, we continued to invest in the refurbishment and enhancements of our existing cinemas, as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by our strategic plan. During this period, seven locations had significant refurbishment work performed: our Cal Oaks, Valley Plaza and Grossmont locations in California; our Ward, Pearlridge and Mililani locations in Hawaii; and our Manville location in New Jersey. During this period, we converted (or are in the process of conversion), 63 of our 245 U.S. auditoriums to luxury recliner seating.</w:t>
      </w:r>
    </w:p>
    <w:p>
      <w:pPr>
        <w:spacing w:after="0" w:line="66" w:lineRule="exact"/>
        <w:rPr>
          <w:rFonts w:ascii="Arial" w:cs="Arial" w:eastAsia="Arial" w:hAnsi="Arial"/>
          <w:sz w:val="18"/>
          <w:szCs w:val="18"/>
          <w:color w:val="auto"/>
        </w:rPr>
      </w:pPr>
    </w:p>
    <w:p>
      <w:pPr>
        <w:ind w:left="640" w:right="500" w:hanging="320"/>
        <w:spacing w:after="0" w:line="198" w:lineRule="auto"/>
        <w:tabs>
          <w:tab w:leader="none" w:pos="64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AU and NZ Refurbishments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and 2018, we improved eight theaters: Belmont, Rouse Hill, Courtenay Central, Napier,</w:t>
      </w:r>
      <w:r>
        <w:rPr>
          <w:rFonts w:ascii="Arial" w:cs="Arial" w:eastAsia="Arial" w:hAnsi="Arial"/>
          <w:sz w:val="18"/>
          <w:szCs w:val="18"/>
          <w:i w:val="1"/>
          <w:iCs w:val="1"/>
          <w:color w:val="auto"/>
        </w:rPr>
        <w:t xml:space="preserve"> </w:t>
      </w:r>
      <w:r>
        <w:rPr>
          <w:rFonts w:ascii="Arial" w:cs="Arial" w:eastAsia="Arial" w:hAnsi="Arial"/>
          <w:sz w:val="18"/>
          <w:szCs w:val="18"/>
          <w:color w:val="auto"/>
        </w:rPr>
        <w:t>Charlestown, Elizabeth, Auburn and Rotorua.</w:t>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329" w:lineRule="exact"/>
        <w:rPr>
          <w:rFonts w:ascii="Arial" w:cs="Arial" w:eastAsia="Arial" w:hAnsi="Arial"/>
          <w:sz w:val="29"/>
          <w:szCs w:val="29"/>
          <w:color w:val="auto"/>
          <w:vertAlign w:val="superscript"/>
        </w:rPr>
      </w:pPr>
    </w:p>
    <w:p>
      <w:pPr>
        <w:ind w:left="4960" w:hanging="146"/>
        <w:spacing w:after="0"/>
        <w:tabs>
          <w:tab w:leader="none" w:pos="4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Upgrades to our Film Exhibition Technology and Theatre Amenities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discussed previously, we continue to focus in areas of the matured cinema business where we believe we have growth potential and ultimately, provide long-term value to our stockholders. We have invested both in (i) upgrading of our existing cinemas and (ii) developing new cinemas, in each case to provide our customers with premium offerings, including state-of-the-art presentation and sound, luxury seating and enhanced food and beverage amenities (such as lounges and bar service). As of December 31, 2018, the upgrades to our theater circuits’ film exhibition technology and amenities are as summarized in the following table:</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Screen</w:t>
            </w:r>
          </w:p>
        </w:tc>
      </w:tr>
      <w:tr>
        <w:trPr>
          <w:trHeight w:val="178"/>
        </w:trPr>
        <w:tc>
          <w:tcPr>
            <w:tcW w:w="774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Count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Count</w:t>
            </w:r>
          </w:p>
        </w:tc>
      </w:tr>
      <w:tr>
        <w:trPr>
          <w:trHeight w:val="216"/>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Screen Format</w:t>
            </w: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Digital (all cinemas in our theatre circuit)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478</w:t>
            </w: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IMAX</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Titan LUXE and TITAN XC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Dine-in Service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Gold Lounge</w:t>
            </w:r>
            <w:r>
              <w:rPr>
                <w:rFonts w:ascii="Arial" w:cs="Arial" w:eastAsia="Arial" w:hAnsi="Arial"/>
                <w:sz w:val="8"/>
                <w:szCs w:val="8"/>
                <w:color w:val="auto"/>
              </w:rPr>
              <w:t>(1)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w:t>
            </w:r>
            <w:r>
              <w:rPr>
                <w:rFonts w:ascii="Arial" w:cs="Arial" w:eastAsia="Arial" w:hAnsi="Arial"/>
                <w:sz w:val="8"/>
                <w:szCs w:val="8"/>
                <w:color w:val="auto"/>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Spotlight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Upgraded Food &amp; Beverage menu </w:t>
            </w:r>
            <w:r>
              <w:rPr>
                <w:rFonts w:ascii="Arial" w:cs="Arial" w:eastAsia="Arial" w:hAnsi="Arial"/>
                <w:sz w:val="18"/>
                <w:szCs w:val="18"/>
                <w:color w:val="auto"/>
              </w:rPr>
              <w:t>(for U.S. operations)</w:t>
            </w:r>
            <w:r>
              <w:rPr>
                <w:rFonts w:ascii="Arial" w:cs="Arial" w:eastAsia="Arial" w:hAnsi="Arial"/>
                <w:sz w:val="8"/>
                <w:szCs w:val="8"/>
                <w:color w:val="auto"/>
              </w:rPr>
              <w:t>(3)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5"/>
              </w:rPr>
              <w:t>n/a</w:t>
            </w:r>
          </w:p>
        </w:tc>
      </w:tr>
      <w:tr>
        <w:trPr>
          <w:trHeight w:val="216"/>
        </w:trPr>
        <w:tc>
          <w:tcPr>
            <w:tcW w:w="7740" w:type="dxa"/>
            <w:vAlign w:val="bottom"/>
          </w:tcPr>
          <w:p>
            <w:pPr>
              <w:spacing w:after="0"/>
              <w:rPr>
                <w:sz w:val="20"/>
                <w:szCs w:val="20"/>
                <w:color w:val="auto"/>
              </w:rPr>
            </w:pPr>
            <w:r>
              <w:rPr>
                <w:rFonts w:ascii="Arial" w:cs="Arial" w:eastAsia="Arial" w:hAnsi="Arial"/>
                <w:sz w:val="18"/>
                <w:szCs w:val="18"/>
                <w:i w:val="1"/>
                <w:iCs w:val="1"/>
                <w:color w:val="auto"/>
              </w:rPr>
              <w:t xml:space="preserve">Premium Seating </w:t>
            </w:r>
            <w:r>
              <w:rPr>
                <w:rFonts w:ascii="Arial" w:cs="Arial" w:eastAsia="Arial" w:hAnsi="Arial"/>
                <w:sz w:val="18"/>
                <w:szCs w:val="18"/>
                <w:color w:val="auto"/>
              </w:rPr>
              <w:t>(recliner seating features)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136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Liquor Licenses Obtained</w:t>
            </w:r>
            <w:r>
              <w:rPr>
                <w:rFonts w:ascii="Arial" w:cs="Arial" w:eastAsia="Arial" w:hAnsi="Arial"/>
                <w:sz w:val="8"/>
                <w:szCs w:val="8"/>
                <w:i w:val="1"/>
                <w:iCs w:val="1"/>
                <w:color w:val="auto"/>
              </w:rPr>
              <w:t>(4)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5"/>
              </w:rPr>
              <w:t>n/a</w:t>
            </w:r>
          </w:p>
        </w:tc>
      </w:tr>
    </w:tbl>
    <w:p>
      <w:pPr>
        <w:spacing w:after="0" w:line="193" w:lineRule="exact"/>
        <w:rPr>
          <w:sz w:val="20"/>
          <w:szCs w:val="20"/>
          <w:color w:val="auto"/>
        </w:rPr>
      </w:pPr>
    </w:p>
    <w:p>
      <w:pPr>
        <w:ind w:left="640" w:right="320" w:hanging="320"/>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Gold Lounge</w:t>
      </w:r>
      <w:r>
        <w:rPr>
          <w:rFonts w:ascii="Arial" w:cs="Arial" w:eastAsia="Arial" w:hAnsi="Arial"/>
          <w:sz w:val="14"/>
          <w:szCs w:val="14"/>
          <w:color w:val="auto"/>
        </w:rPr>
        <w:t>: This is our "</w:t>
      </w:r>
      <w:r>
        <w:rPr>
          <w:rFonts w:ascii="Arial" w:cs="Arial" w:eastAsia="Arial" w:hAnsi="Arial"/>
          <w:sz w:val="14"/>
          <w:szCs w:val="14"/>
          <w:i w:val="1"/>
          <w:iCs w:val="1"/>
          <w:color w:val="auto"/>
        </w:rPr>
        <w:t>First Class Full Dine-in Service</w:t>
      </w:r>
      <w:r>
        <w:rPr>
          <w:rFonts w:ascii="Arial" w:cs="Arial" w:eastAsia="Arial" w:hAnsi="Arial"/>
          <w:sz w:val="14"/>
          <w:szCs w:val="14"/>
          <w:color w:val="auto"/>
        </w:rPr>
        <w:t>" in our Australian and New Zealand cinemas, which includes upgraded F&amp;B menu (with alcoholic</w:t>
      </w:r>
      <w:r>
        <w:rPr>
          <w:rFonts w:ascii="Arial" w:cs="Arial" w:eastAsia="Arial" w:hAnsi="Arial"/>
          <w:sz w:val="14"/>
          <w:szCs w:val="14"/>
          <w:b w:val="1"/>
          <w:bCs w:val="1"/>
          <w:color w:val="auto"/>
        </w:rPr>
        <w:t xml:space="preserve"> </w:t>
      </w:r>
      <w:r>
        <w:rPr>
          <w:rFonts w:ascii="Arial" w:cs="Arial" w:eastAsia="Arial" w:hAnsi="Arial"/>
          <w:sz w:val="14"/>
          <w:szCs w:val="14"/>
          <w:color w:val="auto"/>
        </w:rPr>
        <w:t>beverages), luxury recliner seating features (intimate 30-40 seat cinemas) and waiter service.</w:t>
      </w:r>
    </w:p>
    <w:p>
      <w:pPr>
        <w:ind w:left="640" w:right="120" w:hanging="320"/>
        <w:spacing w:after="0" w:line="221"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Premium Service</w:t>
      </w:r>
      <w:r>
        <w:rPr>
          <w:rFonts w:ascii="Arial" w:cs="Arial" w:eastAsia="Arial" w:hAnsi="Arial"/>
          <w:sz w:val="14"/>
          <w:szCs w:val="14"/>
          <w:color w:val="auto"/>
        </w:rPr>
        <w:t>: This is our "</w:t>
      </w:r>
      <w:r>
        <w:rPr>
          <w:rFonts w:ascii="Arial" w:cs="Arial" w:eastAsia="Arial" w:hAnsi="Arial"/>
          <w:sz w:val="14"/>
          <w:szCs w:val="14"/>
          <w:i w:val="1"/>
          <w:iCs w:val="1"/>
          <w:color w:val="auto"/>
        </w:rPr>
        <w:t>Business Class Dine-in Service</w:t>
      </w:r>
      <w:r>
        <w:rPr>
          <w:rFonts w:ascii="Arial" w:cs="Arial" w:eastAsia="Arial" w:hAnsi="Arial"/>
          <w:sz w:val="14"/>
          <w:szCs w:val="14"/>
          <w:color w:val="auto"/>
        </w:rPr>
        <w:t>" in our Australian and New Zealand cinemas, which includes upgraded F&amp;B menu (with alcoholic</w:t>
      </w:r>
      <w:r>
        <w:rPr>
          <w:rFonts w:ascii="Arial" w:cs="Arial" w:eastAsia="Arial" w:hAnsi="Arial"/>
          <w:sz w:val="14"/>
          <w:szCs w:val="14"/>
          <w:b w:val="1"/>
          <w:bCs w:val="1"/>
          <w:color w:val="auto"/>
        </w:rPr>
        <w:t xml:space="preserve"> </w:t>
      </w:r>
      <w:r>
        <w:rPr>
          <w:rFonts w:ascii="Arial" w:cs="Arial" w:eastAsia="Arial" w:hAnsi="Arial"/>
          <w:sz w:val="14"/>
          <w:szCs w:val="14"/>
          <w:color w:val="auto"/>
        </w:rPr>
        <w:t>beverages) and may include luxury recliner seating features (less intimate 80-seat cinemas), but no waiter service.</w:t>
      </w:r>
    </w:p>
    <w:p>
      <w:pPr>
        <w:ind w:left="640" w:right="180" w:hanging="320"/>
        <w:spacing w:after="0" w:line="221"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 xml:space="preserve">Upgraded Food &amp; Beverage Menu: </w:t>
      </w:r>
      <w:r>
        <w:rPr>
          <w:rFonts w:ascii="Arial" w:cs="Arial" w:eastAsia="Arial" w:hAnsi="Arial"/>
          <w:sz w:val="14"/>
          <w:szCs w:val="14"/>
          <w:color w:val="auto"/>
        </w:rPr>
        <w:t>Contrary to our offerings in Australia and New Zealand, our upgraded F&amp;B offerings in the U.S. cinemas are available in a</w:t>
      </w:r>
      <w:r>
        <w:rPr>
          <w:rFonts w:ascii="Arial" w:cs="Arial" w:eastAsia="Arial" w:hAnsi="Arial"/>
          <w:sz w:val="14"/>
          <w:szCs w:val="14"/>
          <w:b w:val="1"/>
          <w:bCs w:val="1"/>
          <w:color w:val="auto"/>
        </w:rPr>
        <w:t xml:space="preserve"> </w:t>
      </w:r>
      <w:r>
        <w:rPr>
          <w:rFonts w:ascii="Arial" w:cs="Arial" w:eastAsia="Arial" w:hAnsi="Arial"/>
          <w:sz w:val="14"/>
          <w:szCs w:val="14"/>
          <w:color w:val="auto"/>
        </w:rPr>
        <w:t>common counter in each of our cinema locations rather than a dine-in service at each screen room. We have worked with renowned former Food Network executives and chefs to curate a menu of locally inspired and freshly prepared items.</w:t>
      </w:r>
    </w:p>
    <w:p>
      <w:pPr>
        <w:ind w:left="640" w:right="80" w:hanging="320"/>
        <w:spacing w:after="0" w:line="232"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 xml:space="preserve">Liquor Licenses: </w:t>
      </w:r>
      <w:r>
        <w:rPr>
          <w:rFonts w:ascii="Arial" w:cs="Arial" w:eastAsia="Arial" w:hAnsi="Arial"/>
          <w:sz w:val="14"/>
          <w:szCs w:val="14"/>
          <w:color w:val="auto"/>
        </w:rPr>
        <w:t>Licenses are applicable at each cinema location, rather than each theatre auditorium. For accounting purposes, we capitalize the cost of</w:t>
      </w:r>
      <w:r>
        <w:rPr>
          <w:rFonts w:ascii="Arial" w:cs="Arial" w:eastAsia="Arial" w:hAnsi="Arial"/>
          <w:sz w:val="14"/>
          <w:szCs w:val="14"/>
          <w:b w:val="1"/>
          <w:bCs w:val="1"/>
          <w:color w:val="auto"/>
        </w:rPr>
        <w:t xml:space="preserve"> </w:t>
      </w:r>
      <w:r>
        <w:rPr>
          <w:rFonts w:ascii="Arial" w:cs="Arial" w:eastAsia="Arial" w:hAnsi="Arial"/>
          <w:sz w:val="14"/>
          <w:szCs w:val="14"/>
          <w:color w:val="auto"/>
        </w:rPr>
        <w:t>purchasing or obtaining for liquor licenses meeting certain thresholds as an intangible asset due to long-term economic benefits derived on future sales of alcoholic beverages. As of December 31, 2018, we have five pending applications for additional liquor licenses in the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During January 2019, we acquired a proven four-screen cinema in Tasmania.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for 2019 and Our Cinema Pipeline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currently plan to upgrade or begin the upgrade of various cinemas in the U.S., Australia, and New Zealand in 2019.</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entered into lease agreements for four new cinemas in Australia (25 screens), which we anticipate will come on line in 2019 - 2021.</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focus with respect to new cinemas featuring state-of-the-art projection and sound, luxury recliner seating, enhanced F&amp;B (typically including alcohol service) and typically at least one major TITAN type presentation screen. Our focus is on providing best in class services and amenities that will differentiate us from in-home and mobile viewing options. We believe that a night at the movies should be a special and premium experience and, indeed, that it must be in order to compete with the variety of options being offered to consumers through other platforms.</w:t>
      </w:r>
    </w:p>
    <w:p>
      <w:pPr>
        <w:spacing w:after="0" w:line="1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2019, we will also be focusing on the rollout and enhancement of our proprietary on-line ticketing capabilities and social media interfaces. These are intended to enhance the convenience of our offering and to promote customer affinity with the experience and product that we are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operating properties consisted of the following:</w:t>
      </w:r>
    </w:p>
    <w:p>
      <w:pPr>
        <w:spacing w:after="0" w:line="104" w:lineRule="exact"/>
        <w:rPr>
          <w:sz w:val="20"/>
          <w:szCs w:val="20"/>
          <w:color w:val="auto"/>
        </w:rPr>
      </w:pPr>
    </w:p>
    <w:p>
      <w:pPr>
        <w:ind w:left="640" w:right="360" w:hanging="320"/>
        <w:spacing w:after="0" w:line="198" w:lineRule="auto"/>
        <w:tabs>
          <w:tab w:leader="none" w:pos="64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our Newmarket, Queensland ETC, our Belmont, Western Australia ETC, our Auburn, New South Wales ETC, our Townsville, Queensland ETC and our Wellington, New Zealand ETC;</w:t>
      </w:r>
    </w:p>
    <w:p>
      <w:pPr>
        <w:spacing w:after="0" w:line="80" w:lineRule="exact"/>
        <w:rPr>
          <w:rFonts w:ascii="Arial" w:cs="Arial" w:eastAsia="Arial" w:hAnsi="Arial"/>
          <w:sz w:val="29"/>
          <w:szCs w:val="29"/>
          <w:color w:val="auto"/>
          <w:vertAlign w:val="superscript"/>
        </w:rPr>
      </w:pPr>
    </w:p>
    <w:p>
      <w:pPr>
        <w:ind w:left="640" w:right="420" w:hanging="320"/>
        <w:spacing w:after="0" w:line="207" w:lineRule="auto"/>
        <w:tabs>
          <w:tab w:leader="none" w:pos="640" w:val="left"/>
        </w:tabs>
        <w:numPr>
          <w:ilvl w:val="0"/>
          <w:numId w:val="29"/>
        </w:numPr>
        <w:rPr>
          <w:rFonts w:ascii="Arial" w:cs="Arial" w:eastAsia="Arial" w:hAnsi="Arial"/>
          <w:sz w:val="28"/>
          <w:szCs w:val="28"/>
          <w:color w:val="auto"/>
          <w:vertAlign w:val="superscript"/>
        </w:rPr>
      </w:pPr>
      <w:r>
        <w:rPr>
          <w:rFonts w:ascii="Arial" w:cs="Arial" w:eastAsia="Arial" w:hAnsi="Arial"/>
          <w:sz w:val="17"/>
          <w:szCs w:val="17"/>
          <w:color w:val="auto"/>
        </w:rPr>
        <w:t>two (2) single-auditorium live theaters in Manhattan (Minetta Lane and Orpheum) and a four-auditorium live theater complex (including the accompanying ancillary retail and commercial tenants) in Chicago (The Royal George); and,</w:t>
      </w:r>
    </w:p>
    <w:p>
      <w:pPr>
        <w:ind w:left="640" w:hanging="320"/>
        <w:spacing w:after="0" w:line="223" w:lineRule="auto"/>
        <w:tabs>
          <w:tab w:leader="none" w:pos="64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the ancillary retail and commercial tenants at some of our non-ETC cinema properties.</w:t>
      </w:r>
    </w:p>
    <w:p>
      <w:pPr>
        <w:spacing w:after="0" w:line="20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At the beginning of January 2016, we ceased our live theatre business at our Union Square property in New York, terminated all tenant leases and prepared the property for redevelopment. Accordingly, this property is no longer treated as an operating property.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50" w:name="page51"/>
    <w:bookmarkEnd w:id="50"/>
    <w:p>
      <w:pPr>
        <w:jc w:val="both"/>
        <w:ind w:right="180"/>
        <w:spacing w:after="0" w:line="312" w:lineRule="auto"/>
        <w:rPr>
          <w:sz w:val="20"/>
          <w:szCs w:val="20"/>
          <w:color w:val="auto"/>
        </w:rPr>
      </w:pPr>
      <w:r>
        <w:rPr>
          <w:rFonts w:ascii="Arial" w:cs="Arial" w:eastAsia="Arial" w:hAnsi="Arial"/>
          <w:sz w:val="16"/>
          <w:szCs w:val="16"/>
          <w:color w:val="auto"/>
        </w:rPr>
        <w:t>In February 2018, we entered into a one-year license agreement with Audible, Inc., a subsidiary of Amazon, at the Minetta Lane Theatre, which allows Audible to produce its one and two person voice shows at our Minetta Lane Theatre. While no assurances can be given, we are currently finalizing with Audible an amendment extending this agreement through 2020, with an additional one year option.</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we have various parcels of unimproved real estate held for development in Australia and New Zealand and certain unimproved land in the United States including properties used in our legacy activities. We also own an 8,300 square foot commercial building in Melbourne, which serves as our administrative headquarters for Australia and New Zealand, approximately 37% which is leased to an unrelated third party. During 2016, we bought a 24,000 square foot office building in Culver City, California to serve as our Corporate Headquarters in Los Angeles (refer to “</w:t>
      </w:r>
      <w:r>
        <w:rPr>
          <w:rFonts w:ascii="Arial" w:cs="Arial" w:eastAsia="Arial" w:hAnsi="Arial"/>
          <w:sz w:val="17"/>
          <w:szCs w:val="17"/>
          <w:i w:val="1"/>
          <w:iCs w:val="1"/>
          <w:color w:val="auto"/>
        </w:rPr>
        <w:t>Strategic Acquisitions</w:t>
      </w:r>
      <w:r>
        <w:rPr>
          <w:rFonts w:ascii="Arial" w:cs="Arial" w:eastAsia="Arial" w:hAnsi="Arial"/>
          <w:sz w:val="17"/>
          <w:szCs w:val="17"/>
          <w:color w:val="auto"/>
        </w:rPr>
        <w:t>” section below for more details).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key real estate transactions over the 2016-2018 period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Acquisitions</w:t>
      </w:r>
    </w:p>
    <w:p>
      <w:pPr>
        <w:spacing w:after="0" w:line="320" w:lineRule="exact"/>
        <w:rPr>
          <w:sz w:val="20"/>
          <w:szCs w:val="20"/>
          <w:color w:val="auto"/>
        </w:rPr>
      </w:pPr>
    </w:p>
    <w:p>
      <w:pPr>
        <w:ind w:left="640" w:right="20" w:hanging="320"/>
        <w:spacing w:after="0" w:line="232" w:lineRule="auto"/>
        <w:tabs>
          <w:tab w:leader="none" w:pos="64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Purchase of Infill Property in Auburn,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 On June 29, 2018, we purchased a property for $3.5 million (AU$ 4.5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Auburn (Sydney area), Australia. The property which borders our Redyard ETC in Auburn on three sides to the east, west and south and consists of an approximately 16,830 square foot building located on an estimated 20,870 square foot lot, is subject to a lease to Telstra Corporation through July 2022. This will allow us time to plan for its efficient integration into our ETC. Including this acquisition, our Redyard ETC represents approximately 519,992 square feet (48,309 square meters) of land, with approximately 1,620 feet (498 meters) of uninterrupted frontage to Parramatta Road, a major Sydney arterial motorway. The final settlement payment was made in early October 2018</w:t>
      </w:r>
    </w:p>
    <w:p>
      <w:pPr>
        <w:spacing w:after="0" w:line="84" w:lineRule="exact"/>
        <w:rPr>
          <w:rFonts w:ascii="Arial" w:cs="Arial" w:eastAsia="Arial" w:hAnsi="Arial"/>
          <w:sz w:val="29"/>
          <w:szCs w:val="29"/>
          <w:color w:val="auto"/>
          <w:vertAlign w:val="superscript"/>
        </w:rPr>
      </w:pPr>
    </w:p>
    <w:p>
      <w:pPr>
        <w:ind w:left="640" w:right="20" w:hanging="320"/>
        <w:spacing w:after="0" w:line="249" w:lineRule="auto"/>
        <w:tabs>
          <w:tab w:leader="none" w:pos="64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i w:val="1"/>
          <w:iCs w:val="1"/>
          <w:u w:val="single" w:color="auto"/>
          <w:color w:val="auto"/>
        </w:rPr>
        <w:t>Purchase of New Corporate Headquarters Building in Los Angeles</w:t>
      </w:r>
      <w:r>
        <w:rPr>
          <w:rFonts w:ascii="Arial" w:cs="Arial" w:eastAsia="Arial" w:hAnsi="Arial"/>
          <w:sz w:val="16"/>
          <w:szCs w:val="16"/>
          <w:i w:val="1"/>
          <w:iCs w:val="1"/>
          <w:color w:val="auto"/>
        </w:rPr>
        <w:t xml:space="preserve">. </w:t>
      </w:r>
      <w:r>
        <w:rPr>
          <w:rFonts w:ascii="Arial" w:cs="Arial" w:eastAsia="Arial" w:hAnsi="Arial"/>
          <w:sz w:val="16"/>
          <w:szCs w:val="16"/>
          <w:color w:val="auto"/>
        </w:rPr>
        <w:t>On April 11, 2016, we purchased a 24,000 square foot office</w:t>
      </w:r>
      <w:r>
        <w:rPr>
          <w:rFonts w:ascii="Arial" w:cs="Arial" w:eastAsia="Arial" w:hAnsi="Arial"/>
          <w:sz w:val="16"/>
          <w:szCs w:val="16"/>
          <w:i w:val="1"/>
          <w:iCs w:val="1"/>
          <w:color w:val="auto"/>
        </w:rPr>
        <w:t xml:space="preserve"> </w:t>
      </w:r>
      <w:r>
        <w:rPr>
          <w:rFonts w:ascii="Arial" w:cs="Arial" w:eastAsia="Arial" w:hAnsi="Arial"/>
          <w:sz w:val="16"/>
          <w:szCs w:val="16"/>
          <w:color w:val="auto"/>
        </w:rPr>
        <w:t>building with 72 parking spaces located at 5995 Sepulveda Boulevard in Culver City, California (a Los Angeles suburb) for $11.2 million cash and financed the property with a $9.9 million 10-year, fixed-rate mortgage loan. We currently use approximately 50% of the leasable area for our headquarters offices and we plan to lease the remainder to unaffiliated third parties.</w:t>
      </w:r>
    </w:p>
    <w:p>
      <w:pPr>
        <w:spacing w:after="0" w:line="76" w:lineRule="exact"/>
        <w:rPr>
          <w:rFonts w:ascii="Arial" w:cs="Arial" w:eastAsia="Arial" w:hAnsi="Arial"/>
          <w:sz w:val="26"/>
          <w:szCs w:val="26"/>
          <w:color w:val="auto"/>
          <w:vertAlign w:val="superscript"/>
        </w:rPr>
      </w:pPr>
    </w:p>
    <w:p>
      <w:pPr>
        <w:ind w:left="640" w:hanging="320"/>
        <w:spacing w:after="0" w:line="232" w:lineRule="auto"/>
        <w:tabs>
          <w:tab w:leader="none" w:pos="64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i w:val="1"/>
          <w:iCs w:val="1"/>
          <w:u w:val="single" w:color="auto"/>
          <w:color w:val="auto"/>
        </w:rPr>
        <w:t>Purchase of Land at Cannon Park, Australia.</w:t>
      </w:r>
      <w:r>
        <w:rPr>
          <w:rFonts w:ascii="Arial" w:cs="Arial" w:eastAsia="Arial" w:hAnsi="Arial"/>
          <w:sz w:val="17"/>
          <w:szCs w:val="17"/>
          <w:i w:val="1"/>
          <w:iCs w:val="1"/>
          <w:color w:val="auto"/>
        </w:rPr>
        <w:t xml:space="preserve"> </w:t>
      </w:r>
      <w:r>
        <w:rPr>
          <w:rFonts w:ascii="Arial" w:cs="Arial" w:eastAsia="Arial" w:hAnsi="Arial"/>
          <w:sz w:val="17"/>
          <w:szCs w:val="17"/>
          <w:color w:val="auto"/>
        </w:rPr>
        <w:t>On June 13, 2018, we acquired a 163,000 square foot (15,150 square meter) parcel at</w:t>
      </w:r>
      <w:r>
        <w:rPr>
          <w:rFonts w:ascii="Arial" w:cs="Arial" w:eastAsia="Arial" w:hAnsi="Arial"/>
          <w:sz w:val="17"/>
          <w:szCs w:val="17"/>
          <w:i w:val="1"/>
          <w:iCs w:val="1"/>
          <w:color w:val="auto"/>
        </w:rPr>
        <w:t xml:space="preserve"> </w:t>
      </w:r>
      <w:r>
        <w:rPr>
          <w:rFonts w:ascii="Arial" w:cs="Arial" w:eastAsia="Arial" w:hAnsi="Arial"/>
          <w:sz w:val="17"/>
          <w:szCs w:val="17"/>
          <w:color w:val="auto"/>
        </w:rPr>
        <w:t>our Cannon Park ETC, in connection with the restructuring of our relationship with the adjacent land owner. Prior to the restructuring, this parcel was commonly owned by us and the adjoining land owner. In the restructuring, the adjoining land owner conveyed to us its interest in the parcel for AU$1. We granted the adjoining land owner certain access rights.</w:t>
      </w: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328" w:lineRule="exact"/>
        <w:rPr>
          <w:rFonts w:ascii="Arial" w:cs="Arial" w:eastAsia="Arial" w:hAnsi="Arial"/>
          <w:sz w:val="28"/>
          <w:szCs w:val="28"/>
          <w:color w:val="auto"/>
          <w:vertAlign w:val="superscript"/>
        </w:rPr>
      </w:pPr>
    </w:p>
    <w:p>
      <w:pPr>
        <w:ind w:left="4960" w:hanging="146"/>
        <w:spacing w:after="0"/>
        <w:tabs>
          <w:tab w:leader="none" w:pos="4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41" w:right="8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Opportunistic Sales</w:t>
      </w:r>
    </w:p>
    <w:p>
      <w:pPr>
        <w:spacing w:after="0" w:line="104" w:lineRule="exact"/>
        <w:rPr>
          <w:sz w:val="20"/>
          <w:szCs w:val="20"/>
          <w:color w:val="auto"/>
        </w:rPr>
      </w:pPr>
    </w:p>
    <w:p>
      <w:pPr>
        <w:jc w:val="both"/>
        <w:ind w:left="640" w:right="100" w:hanging="320"/>
        <w:spacing w:after="0" w:line="212" w:lineRule="auto"/>
        <w:tabs>
          <w:tab w:leader="none" w:pos="64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Sale of Landholding in Burwood,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14, 2017, we received the final payment for Burwood of $28.1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(AU$36.6 million), on June 19, 2017 we received $16.6 million (AU$21.8 million) as a partial payment and on May 23, 2014 we received $5.9 million (AU$6.5 million) as the initial deposit.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Value-creating Opportunities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engaged in several real estate development projects to take our properties to their highest and best use. The most notable of these value-creating projects are as follows:</w:t>
      </w:r>
    </w:p>
    <w:p>
      <w:pPr>
        <w:spacing w:after="0" w:line="170" w:lineRule="exact"/>
        <w:rPr>
          <w:sz w:val="20"/>
          <w:szCs w:val="20"/>
          <w:color w:val="auto"/>
        </w:rPr>
      </w:pPr>
    </w:p>
    <w:p>
      <w:pPr>
        <w:ind w:left="640" w:right="40" w:hanging="320"/>
        <w:spacing w:after="0" w:line="271"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i w:val="1"/>
          <w:iCs w:val="1"/>
          <w:u w:val="single" w:color="auto"/>
          <w:color w:val="auto"/>
        </w:rPr>
        <w:t>Redevelopment of 44 Union Square Property in New York, USA</w:t>
      </w:r>
      <w:r>
        <w:rPr>
          <w:rFonts w:ascii="Arial" w:cs="Arial" w:eastAsia="Arial" w:hAnsi="Arial"/>
          <w:sz w:val="17"/>
          <w:szCs w:val="17"/>
          <w:color w:val="auto"/>
        </w:rPr>
        <w:t>. We secured construction financing for our Union Square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in December 2016 and entered into a guaranteed maximum price construction management agreement with an affiliate of CNY. We anticipate that the project will be ready for tenant fit-out activities in the second quarter of 2019. Retail and office leasing interest to date has been strong and, while no assurances can be given, we are currently in exclusive negotiations with respect to long-term leases covering approximately 90% of the net rentable area of the building. This redevelopment will add approximately 23,000 square footage of rentable space to the current square footage of the building for an approximate total of 73,322 square feet of rentable space, inclusive of anticipated BOMA (Building Owners and Managers Association) adjustments and subject to lease negotiations and the final tenant mix.</w:t>
      </w:r>
    </w:p>
    <w:p>
      <w:pPr>
        <w:spacing w:after="0" w:line="43" w:lineRule="exact"/>
        <w:rPr>
          <w:rFonts w:ascii="Arial" w:cs="Arial" w:eastAsia="Arial" w:hAnsi="Arial"/>
          <w:sz w:val="17"/>
          <w:szCs w:val="17"/>
          <w:color w:val="auto"/>
        </w:rPr>
      </w:pPr>
    </w:p>
    <w:p>
      <w:pPr>
        <w:jc w:val="both"/>
        <w:ind w:left="640" w:hanging="320"/>
        <w:spacing w:after="0" w:line="212" w:lineRule="auto"/>
        <w:tabs>
          <w:tab w:leader="none" w:pos="6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Expansion Project for our Newmarket Shopping Center located in an affluent suburb of Brisbane, Australia</w:t>
      </w:r>
      <w:r>
        <w:rPr>
          <w:rFonts w:ascii="Arial" w:cs="Arial" w:eastAsia="Arial" w:hAnsi="Arial"/>
          <w:sz w:val="18"/>
          <w:szCs w:val="18"/>
          <w:color w:val="auto"/>
        </w:rPr>
        <w:t>. In December 2017</w:t>
      </w:r>
      <w:r>
        <w:rPr>
          <w:rFonts w:ascii="Arial" w:cs="Arial" w:eastAsia="Arial" w:hAnsi="Arial"/>
          <w:sz w:val="18"/>
          <w:szCs w:val="18"/>
          <w:i w:val="1"/>
          <w:iCs w:val="1"/>
          <w:color w:val="auto"/>
        </w:rPr>
        <w:t xml:space="preserve"> </w:t>
      </w:r>
      <w:r>
        <w:rPr>
          <w:rFonts w:ascii="Arial" w:cs="Arial" w:eastAsia="Arial" w:hAnsi="Arial"/>
          <w:sz w:val="18"/>
          <w:szCs w:val="18"/>
          <w:color w:val="auto"/>
        </w:rPr>
        <w:t>we opened our eight-screen Reading Cinema, 10,150 square feet of additional retail space and 124 parking spaces. As of December 31, 2018, this center was approximately 98% leased.</w:t>
      </w:r>
    </w:p>
    <w:p>
      <w:pPr>
        <w:spacing w:after="0" w:line="82" w:lineRule="exact"/>
        <w:rPr>
          <w:rFonts w:ascii="Arial" w:cs="Arial" w:eastAsia="Arial" w:hAnsi="Arial"/>
          <w:sz w:val="29"/>
          <w:szCs w:val="29"/>
          <w:color w:val="auto"/>
          <w:vertAlign w:val="superscript"/>
        </w:rPr>
      </w:pPr>
    </w:p>
    <w:p>
      <w:pPr>
        <w:jc w:val="both"/>
        <w:ind w:left="640" w:hanging="320"/>
        <w:spacing w:after="0" w:line="250" w:lineRule="auto"/>
        <w:tabs>
          <w:tab w:leader="none" w:pos="640"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i w:val="1"/>
          <w:iCs w:val="1"/>
          <w:u w:val="single" w:color="auto"/>
          <w:color w:val="auto"/>
        </w:rPr>
        <w:t>Master-planning for our Courtenay Central ETC in Wellington, New Zealand.</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in the heart of Wellington – New Zealand’s</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city – this center is comprised of 161,071 square feet of land situated proximate to the Te Papa Tongarewa Museum (attracting over 1.5 million visitors annually), across the street from the site of Wellington’s newly announced convention center (estimated to open its doors in 2022) and at a major public transit hub. Damage from the 2016 earthquake necessitated demolition of our nine-story parking garage at the site, and unrelated seismic issues have caused us to close portions of the existing cinema and retail structure while we reevaluate the center for redevelopment as an entertainment themed urban center with a major food and grocery component. Wellington continues to be rated as one of the top cities in the world in which to live, and we continue to believe that the Courtenay Central site is located in one of the most vibrant and growing commercial and entertainment sections of Wellington</w:t>
      </w:r>
      <w:r>
        <w:rPr>
          <w:rFonts w:ascii="Arial" w:cs="Arial" w:eastAsia="Arial" w:hAnsi="Arial"/>
          <w:sz w:val="14"/>
          <w:szCs w:val="14"/>
          <w:color w:val="auto"/>
        </w:rPr>
        <w:t>.</w:t>
      </w:r>
    </w:p>
    <w:p>
      <w:pPr>
        <w:spacing w:after="0" w:line="74" w:lineRule="exact"/>
        <w:rPr>
          <w:rFonts w:ascii="Arial" w:cs="Arial" w:eastAsia="Arial" w:hAnsi="Arial"/>
          <w:sz w:val="28"/>
          <w:szCs w:val="28"/>
          <w:color w:val="auto"/>
          <w:vertAlign w:val="superscript"/>
        </w:rPr>
      </w:pPr>
    </w:p>
    <w:p>
      <w:pPr>
        <w:ind w:left="640" w:right="160"/>
        <w:spacing w:after="0" w:line="273" w:lineRule="auto"/>
        <w:rPr>
          <w:rFonts w:ascii="Arial" w:cs="Arial" w:eastAsia="Arial" w:hAnsi="Arial"/>
          <w:sz w:val="28"/>
          <w:szCs w:val="28"/>
          <w:color w:val="auto"/>
          <w:vertAlign w:val="superscript"/>
        </w:rPr>
      </w:pPr>
      <w:r>
        <w:rPr>
          <w:rFonts w:ascii="Arial" w:cs="Arial" w:eastAsia="Arial" w:hAnsi="Arial"/>
          <w:sz w:val="17"/>
          <w:szCs w:val="17"/>
          <w:color w:val="auto"/>
        </w:rPr>
        <w:t>In April, 2017, our Insurer completed the examination of our insurance claim with respect to the parking building and shopping center earthquake damage and related business interruption. We received a final settlement of US $20.0 million in May 2017, reaching the policy maximum of US$25.0 million for the loss event. As a result, we recorded a gain of $9.2 million (NZ$12.7 million) representing excess insurance recoveries over the recorded property value during the second quarter ended June 30, 2017. This amount is recorded net of demolition costs incurred and an allocation to lost profits, covered within the same insurance policy. This gain was a non-recurring item for the year 2018.</w:t>
      </w:r>
    </w:p>
    <w:p>
      <w:pPr>
        <w:spacing w:after="0" w:line="56" w:lineRule="exact"/>
        <w:rPr>
          <w:rFonts w:ascii="Arial" w:cs="Arial" w:eastAsia="Arial" w:hAnsi="Arial"/>
          <w:sz w:val="28"/>
          <w:szCs w:val="28"/>
          <w:color w:val="auto"/>
          <w:vertAlign w:val="superscript"/>
        </w:rPr>
      </w:pPr>
    </w:p>
    <w:p>
      <w:pPr>
        <w:ind w:left="640" w:right="80"/>
        <w:spacing w:after="0" w:line="257" w:lineRule="auto"/>
        <w:rPr>
          <w:rFonts w:ascii="Arial" w:cs="Arial" w:eastAsia="Arial" w:hAnsi="Arial"/>
          <w:sz w:val="28"/>
          <w:szCs w:val="28"/>
          <w:color w:val="auto"/>
          <w:vertAlign w:val="superscript"/>
        </w:rPr>
      </w:pPr>
      <w:r>
        <w:rPr>
          <w:rFonts w:ascii="Arial" w:cs="Arial" w:eastAsia="Arial" w:hAnsi="Arial"/>
          <w:sz w:val="18"/>
          <w:szCs w:val="18"/>
          <w:color w:val="auto"/>
        </w:rPr>
        <w:t>During the quarter ended June 30, 2017, we recorded a gain on business interruption recoveries of $1.5 million (NZ$2.1 million), presented as part of the relevant segment revenue lines in our Consolidated Statement of Operations for that quarter. While the earthquake has opened up possibilities to reconfigure our Courtenay Central property, the gains recorded during the quarter ended June 30, 2017 do not compensate for the lost time value of the delay of our development plan. This gain was a non-recurring item for the year 2018.</w:t>
      </w:r>
    </w:p>
    <w:p>
      <w:pPr>
        <w:spacing w:after="0" w:line="188" w:lineRule="exact"/>
        <w:rPr>
          <w:rFonts w:ascii="Arial" w:cs="Arial" w:eastAsia="Arial" w:hAnsi="Arial"/>
          <w:sz w:val="28"/>
          <w:szCs w:val="28"/>
          <w:color w:val="auto"/>
          <w:vertAlign w:val="superscript"/>
        </w:rPr>
      </w:pPr>
    </w:p>
    <w:p>
      <w:pPr>
        <w:ind w:left="4960" w:hanging="146"/>
        <w:spacing w:after="0"/>
        <w:tabs>
          <w:tab w:leader="none" w:pos="4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52" w:name="page53"/>
    <w:bookmarkEnd w:id="52"/>
    <w:p>
      <w:pPr>
        <w:ind w:right="460"/>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20 – Insurance Recoveries on Impairment and Related Losses due to Earthquake</w:t>
      </w:r>
      <w:r>
        <w:rPr>
          <w:rFonts w:ascii="Arial" w:cs="Arial" w:eastAsia="Arial" w:hAnsi="Arial"/>
          <w:sz w:val="18"/>
          <w:szCs w:val="18"/>
          <w:color w:val="auto"/>
        </w:rPr>
        <w:t xml:space="preserve"> for further details on the impact of the earthquake incident.</w:t>
      </w:r>
    </w:p>
    <w:p>
      <w:pPr>
        <w:spacing w:after="0" w:line="49" w:lineRule="exact"/>
        <w:rPr>
          <w:sz w:val="20"/>
          <w:szCs w:val="20"/>
          <w:color w:val="auto"/>
        </w:rPr>
      </w:pPr>
    </w:p>
    <w:p>
      <w:pPr>
        <w:ind w:left="640" w:hanging="320"/>
        <w:spacing w:after="0" w:line="268" w:lineRule="auto"/>
        <w:tabs>
          <w:tab w:leader="none" w:pos="640" w:val="left"/>
        </w:tabs>
        <w:numPr>
          <w:ilvl w:val="0"/>
          <w:numId w:val="33"/>
        </w:numPr>
        <w:rPr>
          <w:rFonts w:ascii="Arial" w:cs="Arial" w:eastAsia="Arial" w:hAnsi="Arial"/>
          <w:sz w:val="26"/>
          <w:szCs w:val="26"/>
          <w:color w:val="auto"/>
          <w:vertAlign w:val="superscript"/>
        </w:rPr>
      </w:pPr>
      <w:r>
        <w:rPr>
          <w:rFonts w:ascii="Arial" w:cs="Arial" w:eastAsia="Arial" w:hAnsi="Arial"/>
          <w:sz w:val="16"/>
          <w:szCs w:val="16"/>
          <w:i w:val="1"/>
          <w:iCs w:val="1"/>
          <w:u w:val="single" w:color="auto"/>
          <w:color w:val="auto"/>
        </w:rPr>
        <w:t>Cinema 1,2,3 Redevelopment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 In June 2017, we entered into an exclusive dealing and pre-development agreement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adjoining neighbors, 260-264 LLC, to jointly develop the properties, currently home to Cinemas 1,2,3 and Anassa Taverna. Under the terms of the agreement, Reading and 260-264 LLC worked together on a comprehensive mixed-use plan to co-develop the properties located on 3rd Avenue, between 59th Street and 60th Streets, in New York City. The parties completed an initial feasibility study, analyzing various retail, entertainment and residential uses for the site and during 2018 continued to work on the terms of a final agreement for the development of the combined property. We do not presently believe that we will be able to come to agreement with our neighbors for a joint development of our properties and, have, accordingly, begun developing plans for an approximately 96,000 square foot mixed use stand-alone development. Our Cinemas 1,2,3, property is located on Third Avenue in New York City, between 59</w:t>
      </w:r>
      <w:r>
        <w:rPr>
          <w:rFonts w:ascii="Arial" w:cs="Arial" w:eastAsia="Arial" w:hAnsi="Arial"/>
          <w:sz w:val="8"/>
          <w:szCs w:val="8"/>
          <w:color w:val="auto"/>
        </w:rPr>
        <w:t>th</w:t>
      </w:r>
      <w:r>
        <w:rPr>
          <w:rFonts w:ascii="Arial" w:cs="Arial" w:eastAsia="Arial" w:hAnsi="Arial"/>
          <w:sz w:val="16"/>
          <w:szCs w:val="16"/>
          <w:color w:val="auto"/>
        </w:rPr>
        <w:t xml:space="preserve"> and 60</w:t>
      </w:r>
      <w:r>
        <w:rPr>
          <w:rFonts w:ascii="Arial" w:cs="Arial" w:eastAsia="Arial" w:hAnsi="Arial"/>
          <w:sz w:val="8"/>
          <w:szCs w:val="8"/>
          <w:color w:val="auto"/>
        </w:rPr>
        <w:t>th</w:t>
      </w:r>
      <w:r>
        <w:rPr>
          <w:rFonts w:ascii="Arial" w:cs="Arial" w:eastAsia="Arial" w:hAnsi="Arial"/>
          <w:sz w:val="16"/>
          <w:szCs w:val="16"/>
          <w:color w:val="auto"/>
        </w:rPr>
        <w:t xml:space="preserve"> Streets across from Bloomingdales.</w:t>
      </w:r>
    </w:p>
    <w:p>
      <w:pPr>
        <w:spacing w:after="0" w:line="61" w:lineRule="exact"/>
        <w:rPr>
          <w:rFonts w:ascii="Arial" w:cs="Arial" w:eastAsia="Arial" w:hAnsi="Arial"/>
          <w:sz w:val="26"/>
          <w:szCs w:val="26"/>
          <w:color w:val="auto"/>
          <w:vertAlign w:val="superscript"/>
        </w:rPr>
      </w:pPr>
    </w:p>
    <w:p>
      <w:pPr>
        <w:ind w:left="640" w:right="20" w:hanging="320"/>
        <w:spacing w:after="0" w:line="229" w:lineRule="auto"/>
        <w:tabs>
          <w:tab w:leader="none" w:pos="6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Manukau Land Rezoning</w:t>
      </w:r>
      <w:r>
        <w:rPr>
          <w:rFonts w:ascii="Arial" w:cs="Arial" w:eastAsia="Arial" w:hAnsi="Arial"/>
          <w:sz w:val="18"/>
          <w:szCs w:val="18"/>
          <w:i w:val="1"/>
          <w:iCs w:val="1"/>
          <w:color w:val="auto"/>
        </w:rPr>
        <w:t xml:space="preserve"> </w:t>
      </w:r>
      <w:r>
        <w:rPr>
          <w:rFonts w:ascii="Arial" w:cs="Arial" w:eastAsia="Arial" w:hAnsi="Arial"/>
          <w:sz w:val="18"/>
          <w:szCs w:val="18"/>
          <w:color w:val="auto"/>
        </w:rPr>
        <w:t>– In August 2016, the Auckland City Council up-zoned 64.0 acres of our property in Manukau from</w:t>
      </w:r>
      <w:r>
        <w:rPr>
          <w:rFonts w:ascii="Arial" w:cs="Arial" w:eastAsia="Arial" w:hAnsi="Arial"/>
          <w:sz w:val="18"/>
          <w:szCs w:val="18"/>
          <w:i w:val="1"/>
          <w:iCs w:val="1"/>
          <w:color w:val="auto"/>
        </w:rPr>
        <w:t xml:space="preserve"> </w:t>
      </w:r>
      <w:r>
        <w:rPr>
          <w:rFonts w:ascii="Arial" w:cs="Arial" w:eastAsia="Arial" w:hAnsi="Arial"/>
          <w:sz w:val="18"/>
          <w:szCs w:val="18"/>
          <w:color w:val="auto"/>
        </w:rPr>
        <w:t>agricultural to light industrial use. The remaining 6.4 acres were already zoned for heavy industrial use. Our zoning enhancement goal has been achieved, in 2018, we worked with adjoining landholders to jointly advance necessary infrastructure improvement issues. We estimate that our property will support approximately 1.6 million square feet of improvements. We see this property as a future value realization opportunity for us. This tract is adjacent to the Auckland Airport, which is currently undergoing a major improvement and expansion project.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Matters</w:t>
      </w:r>
    </w:p>
    <w:p>
      <w:pPr>
        <w:spacing w:after="0" w:line="104" w:lineRule="exact"/>
        <w:rPr>
          <w:sz w:val="20"/>
          <w:szCs w:val="20"/>
          <w:color w:val="auto"/>
        </w:rPr>
      </w:pPr>
    </w:p>
    <w:p>
      <w:pPr>
        <w:ind w:left="640" w:hanging="320"/>
        <w:spacing w:after="0" w:line="226" w:lineRule="auto"/>
        <w:tabs>
          <w:tab w:leader="none" w:pos="64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$25-million Stock Repurchase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repurchase program was completed at the end of 2016. The new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approved on March 2, 2017, and extended on March 14, 2019, allows Reading to repurchase its Class A Stock from time to time in accordance with the requirements of the Securities and Exchange Commission on the open market, in block trades and in privately negotiated transactions, depending on market conditions and other factors. The new authorization continues through March 2,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Financing Strategy</w:t>
      </w:r>
    </w:p>
    <w:p>
      <w:pPr>
        <w:spacing w:after="0" w:line="225" w:lineRule="exact"/>
        <w:rPr>
          <w:sz w:val="20"/>
          <w:szCs w:val="20"/>
          <w:color w:val="auto"/>
        </w:rPr>
      </w:pPr>
    </w:p>
    <w:p>
      <w:pPr>
        <w:ind w:left="320" w:right="60"/>
        <w:spacing w:after="0" w:line="257" w:lineRule="auto"/>
        <w:rPr>
          <w:sz w:val="20"/>
          <w:szCs w:val="20"/>
          <w:color w:val="auto"/>
        </w:rPr>
      </w:pPr>
      <w:r>
        <w:rPr>
          <w:rFonts w:ascii="Arial" w:cs="Arial" w:eastAsia="Arial" w:hAnsi="Arial"/>
          <w:sz w:val="18"/>
          <w:szCs w:val="18"/>
          <w:color w:val="auto"/>
        </w:rPr>
        <w:t>Our treasury management is focused on concerted cash management using cash balances to reduce debt. We have used cash generated from operations and other excess cash, to the extent not needed for any capital expenditures, to pay down our loans and credit facilities providing us some flexibility on our available loan facilities for future use and thereby, reducing interest charges. On a periodic basis, we review the maturities of our borrowing arrangements and negotiate for renewals and extensions where necessary in the current circumstances.</w:t>
      </w:r>
    </w:p>
    <w:p>
      <w:pPr>
        <w:spacing w:after="0" w:line="188" w:lineRule="exact"/>
        <w:rPr>
          <w:sz w:val="20"/>
          <w:szCs w:val="20"/>
          <w:color w:val="auto"/>
        </w:rPr>
      </w:pPr>
    </w:p>
    <w:p>
      <w:pPr>
        <w:ind w:left="320" w:right="80"/>
        <w:spacing w:after="0" w:line="293" w:lineRule="auto"/>
        <w:rPr>
          <w:sz w:val="20"/>
          <w:szCs w:val="20"/>
          <w:color w:val="auto"/>
        </w:rPr>
      </w:pPr>
      <w:r>
        <w:rPr>
          <w:rFonts w:ascii="Arial" w:cs="Arial" w:eastAsia="Arial" w:hAnsi="Arial"/>
          <w:sz w:val="16"/>
          <w:szCs w:val="16"/>
          <w:color w:val="auto"/>
        </w:rPr>
        <w:t>In March 2019, we amended our Revolving Corporate Markets Loan Facility with National Australia Bank (“NAB) from a facility comprised of (i) a AU$66.5 million loan facility with an interest rate of 0.95% above the Bank Bill Swap Bid Rate (“BBSY) and a maturity date of June 30, 2019 and (ii) a bank guarantee of AUD$5.0 million at a rate of 1.90% per annum into a (i) AU$120.0 million Corporate Loan facility at a rate of 0.85% - 1.3% above BBSY, depending on certain ratios, with a due date of December 31, 2023, of which AU$80.0 million is revolving and AU$40.0 million is core and (ii) a Bank Guarantee Facility of AU$5.0 million at a rate of 1.85% per annum. Such modifications of this particular term loan were not considered to be substantial under US GAAP.</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December 20, 2018, we then restructured our Westpac Corporate Credit Facilities. The maturity of the 1st tranche (general/non-</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construction credit line) was extended to December 31, 2023, with the available facility being reduced from NZ$35.0 million to</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NZ$32.0 million. The facility bears an interest rate of 1.75% above the Bank Bill Bid Rate on the loan balance and a 1.1% line of credit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charge on the full amount of the facility. The 2nd tranche (construction line) with a facility of NZ$18.0 million matured on December</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 2018, and was not renewed.</w:t>
      </w:r>
    </w:p>
    <w:p>
      <w:pPr>
        <w:spacing w:after="0" w:line="211" w:lineRule="exact"/>
        <w:rPr>
          <w:sz w:val="20"/>
          <w:szCs w:val="20"/>
          <w:color w:val="auto"/>
        </w:rPr>
      </w:pPr>
    </w:p>
    <w:p>
      <w:pPr>
        <w:ind w:left="320" w:right="400"/>
        <w:spacing w:after="0" w:line="277" w:lineRule="auto"/>
        <w:rPr>
          <w:sz w:val="20"/>
          <w:szCs w:val="20"/>
          <w:color w:val="auto"/>
        </w:rPr>
      </w:pPr>
      <w:r>
        <w:rPr>
          <w:rFonts w:ascii="Arial" w:cs="Arial" w:eastAsia="Arial" w:hAnsi="Arial"/>
          <w:sz w:val="18"/>
          <w:szCs w:val="18"/>
          <w:color w:val="auto"/>
        </w:rPr>
        <w:t>On March 5, 2019, we extended our current Bank of America credit facilities until May 1, 2020 (the $55 million credit line). We anticipate refinancing this credit line during the second quarter of 2019.</w:t>
      </w:r>
    </w:p>
    <w:p>
      <w:pPr>
        <w:spacing w:after="0" w:line="3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For a complete list and further details of our value creation projects, see Part I, Item 2 –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Investment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Property”</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41" w:right="8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OVERALL RESULTS OF OPERATIONS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At December 31, 2018, we leased or owned and operated 59 cinemas with 478 screens, which includes (i) one managed cinema with 4 screens and (ii) our interests in certain unconsolidated joint ventures that total 3 cinemas with 29 screens. In the first quarter of 2019, we acquired a proven 4-screen cinema in Tasmania, increasing our cinema count to 60 and our screen count to 488. We also (i) owned and operated five ETCs located in Newmarket Village (a suburb of Brisbane), Belmont (a suburb of Perth), Auburn (a suburb of Sydney) and Townsville in Australia and Wellington in New Zealand, (ii) owned and operated our headquarters office buildings in Culver City (an emerging high-tech and communications hub in Los Angeles County) and Melbourne, Australia, (iii) owned and operated the fee interests in three developed commercial properties in Manhattan and Chicago improved with live theaters comprising six stages and ancillary retail and commercial space (our fourth live theatre was closed at the end of 2015 as part of the Union Square property redevelopment), (iv) owned a 75% managing member interest in a limited liability company which in turn owns the fee interest in Cinemas 1,2,3, (v) held for development approximately 70.4 acres of developable industrial land located next to the Auckland Airport in New Zealand, (vi) owned a 50% managing member interest in a limited liability company, which in turn owns a 202-acre property in Coachella, California that is zoned approximately 150 acres for single-family residential use (maximum 550 homes) and approximately 50 acres for high density mixed use in the U.S., that is held for development, and (vii) owned 197 acres principally in Pennsylvania from our legacy railroad business, including the Reading Viaduct in downtown Philadelphia.</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Company transacts business in Australia and New Zealand and is subject to risks associated with changing foreign currency exchange rates. During the current year, compared to the prior year, the Australian dollar and New Zealand dollar weakened against the U.S. dollar by 2.5% in each country.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overall results of operations for the three years ended December 31, 2016, 2017, and 2018:</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 Change -</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178"/>
        </w:trPr>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i w:val="1"/>
                <w:iCs w:val="1"/>
                <w:color w:val="auto"/>
              </w:rPr>
              <w:t>% of</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i w:val="1"/>
                <w:iCs w:val="1"/>
                <w:color w:val="auto"/>
                <w:w w:val="87"/>
              </w:rPr>
              <w:t>% of</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i w:val="1"/>
                <w:iCs w:val="1"/>
                <w:color w:val="auto"/>
                <w:w w:val="87"/>
              </w:rPr>
              <w:t>% of</w:t>
            </w: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26"/>
        </w:trPr>
        <w:tc>
          <w:tcPr>
            <w:tcW w:w="3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2"/>
          </w:tcPr>
          <w:p>
            <w:pPr>
              <w:ind w:left="200"/>
              <w:spacing w:after="0" w:line="126" w:lineRule="exact"/>
              <w:rPr>
                <w:sz w:val="20"/>
                <w:szCs w:val="20"/>
                <w:color w:val="auto"/>
              </w:rPr>
            </w:pPr>
            <w:r>
              <w:rPr>
                <w:rFonts w:ascii="Arial" w:cs="Arial" w:eastAsia="Arial" w:hAnsi="Arial"/>
                <w:sz w:val="14"/>
                <w:szCs w:val="14"/>
                <w:b w:val="1"/>
                <w:bCs w:val="1"/>
                <w:color w:val="auto"/>
              </w:rPr>
              <w:t>2018 vs.</w:t>
            </w:r>
          </w:p>
        </w:tc>
        <w:tc>
          <w:tcPr>
            <w:tcW w:w="800" w:type="dxa"/>
            <w:vAlign w:val="bottom"/>
          </w:tcPr>
          <w:p>
            <w:pPr>
              <w:jc w:val="right"/>
              <w:ind w:right="88"/>
              <w:spacing w:after="0" w:line="126" w:lineRule="exact"/>
              <w:rPr>
                <w:sz w:val="20"/>
                <w:szCs w:val="20"/>
                <w:color w:val="auto"/>
              </w:rPr>
            </w:pPr>
            <w:r>
              <w:rPr>
                <w:rFonts w:ascii="Arial" w:cs="Arial" w:eastAsia="Arial" w:hAnsi="Arial"/>
                <w:sz w:val="14"/>
                <w:szCs w:val="14"/>
                <w:b w:val="1"/>
                <w:bCs w:val="1"/>
                <w:color w:val="auto"/>
              </w:rPr>
              <w:t>2017 vs.</w:t>
            </w:r>
          </w:p>
        </w:tc>
        <w:tc>
          <w:tcPr>
            <w:tcW w:w="0" w:type="dxa"/>
            <w:vAlign w:val="bottom"/>
          </w:tcPr>
          <w:p>
            <w:pPr>
              <w:spacing w:after="0"/>
              <w:rPr>
                <w:sz w:val="1"/>
                <w:szCs w:val="1"/>
                <w:color w:val="auto"/>
              </w:rPr>
            </w:pPr>
          </w:p>
        </w:tc>
      </w:tr>
      <w:tr>
        <w:trPr>
          <w:trHeight w:val="178"/>
        </w:trPr>
        <w:tc>
          <w:tcPr>
            <w:tcW w:w="302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Revenue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i w:val="1"/>
                <w:iCs w:val="1"/>
                <w:color w:val="auto"/>
                <w:w w:val="85"/>
              </w:rPr>
              <w:t>Revenue</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i w:val="1"/>
                <w:iCs w:val="1"/>
                <w:color w:val="auto"/>
                <w:w w:val="85"/>
              </w:rPr>
              <w:t>Revenue</w:t>
            </w: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6"/>
        </w:trPr>
        <w:tc>
          <w:tcPr>
            <w:tcW w:w="30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SEGMENT RESULTS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Cinema exhibition operating income</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39,321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13 %</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32,970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35,498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13 %</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19 %</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4"/>
                <w:szCs w:val="14"/>
                <w:color w:val="auto"/>
              </w:rPr>
              <w:t xml:space="preserve">Real estate operating income </w:t>
            </w:r>
            <w:r>
              <w:rPr>
                <w:rFonts w:ascii="Arial" w:cs="Arial" w:eastAsia="Arial" w:hAnsi="Arial"/>
                <w:sz w:val="7"/>
                <w:szCs w:val="7"/>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6,438</w:t>
            </w:r>
          </w:p>
        </w:tc>
        <w:tc>
          <w:tcPr>
            <w:tcW w:w="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i w:val="1"/>
                <w:iCs w:val="1"/>
                <w:color w:val="auto"/>
              </w:rPr>
              <w:t>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8,156</w:t>
            </w:r>
          </w:p>
        </w:tc>
        <w:tc>
          <w:tcPr>
            <w:tcW w:w="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7,322</w:t>
            </w:r>
          </w:p>
        </w:tc>
        <w:tc>
          <w:tcPr>
            <w:tcW w:w="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i w:val="1"/>
                <w:iCs w:val="1"/>
                <w:color w:val="auto"/>
              </w:rPr>
              <w:t>3 %</w:t>
            </w:r>
          </w:p>
        </w:tc>
        <w:tc>
          <w:tcPr>
            <w:tcW w:w="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NON-SEGMENT RESULTS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(394)</w:t>
            </w:r>
          </w:p>
        </w:tc>
        <w:tc>
          <w:tcPr>
            <w:tcW w:w="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(473)</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(395)</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17 %</w:t>
            </w:r>
          </w:p>
        </w:tc>
        <w:tc>
          <w:tcPr>
            <w:tcW w:w="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(21,287)</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(19,947)</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(21,721)</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(6,837)</w:t>
            </w:r>
          </w:p>
        </w:tc>
        <w:tc>
          <w:tcPr>
            <w:tcW w:w="740" w:type="dxa"/>
            <w:vAlign w:val="bottom"/>
          </w:tcPr>
          <w:p>
            <w:pPr>
              <w:jc w:val="right"/>
              <w:ind w:right="28"/>
              <w:spacing w:after="0"/>
              <w:rPr>
                <w:sz w:val="20"/>
                <w:szCs w:val="20"/>
                <w:color w:val="auto"/>
              </w:rPr>
            </w:pPr>
            <w:r>
              <w:rPr>
                <w:rFonts w:ascii="Arial" w:cs="Arial" w:eastAsia="Arial" w:hAnsi="Arial"/>
                <w:sz w:val="14"/>
                <w:szCs w:val="14"/>
                <w:i w:val="1"/>
                <w:iCs w:val="1"/>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(6,194)</w:t>
            </w: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(6,782)</w:t>
            </w:r>
          </w:p>
        </w:tc>
        <w:tc>
          <w:tcPr>
            <w:tcW w:w="740" w:type="dxa"/>
            <w:vAlign w:val="bottom"/>
          </w:tcPr>
          <w:p>
            <w:pPr>
              <w:jc w:val="right"/>
              <w:ind w:right="28"/>
              <w:spacing w:after="0"/>
              <w:rPr>
                <w:sz w:val="20"/>
                <w:szCs w:val="20"/>
                <w:color w:val="auto"/>
              </w:rPr>
            </w:pPr>
            <w:r>
              <w:rPr>
                <w:rFonts w:ascii="Arial" w:cs="Arial" w:eastAsia="Arial" w:hAnsi="Arial"/>
                <w:sz w:val="14"/>
                <w:szCs w:val="14"/>
                <w:i w:val="1"/>
                <w:iCs w:val="1"/>
                <w:color w:val="auto"/>
              </w:rPr>
              <w:t>(3)%</w:t>
            </w:r>
          </w:p>
        </w:tc>
        <w:tc>
          <w:tcPr>
            <w:tcW w:w="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3"/>
              </w:rPr>
              <w:t>Equity earnings of unconsolidated joint ventures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i w:val="1"/>
                <w:iCs w:val="1"/>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i w:val="1"/>
                <w:iCs w:val="1"/>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20 %</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4"/>
                <w:szCs w:val="14"/>
                <w:color w:val="auto"/>
              </w:rPr>
              <w:t>Gain (loss) on sale of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9,360</w:t>
            </w:r>
          </w:p>
        </w:tc>
        <w:tc>
          <w:tcPr>
            <w:tcW w:w="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393</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(&gt; 100)%</w:t>
            </w:r>
          </w:p>
        </w:tc>
        <w:tc>
          <w:tcPr>
            <w:tcW w:w="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&gt; 100%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Casualty gain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3 %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(1,421)</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&gt; 100%</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4"/>
                <w:szCs w:val="14"/>
                <w:color w:val="auto"/>
              </w:rPr>
              <w:t>Other income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(256)</w:t>
            </w:r>
          </w:p>
        </w:tc>
        <w:tc>
          <w:tcPr>
            <w:tcW w:w="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588</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(63)</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(&gt; 100)%</w:t>
            </w:r>
          </w:p>
        </w:tc>
        <w:tc>
          <w:tcPr>
            <w:tcW w:w="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&gt; 100%</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before income taxes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17,918</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6 %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34,492</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12 %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13,830</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5 %</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&gt; 100%</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4"/>
                <w:szCs w:val="14"/>
                <w:color w:val="auto"/>
              </w:rPr>
              <w:t>Income tax benefit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(3,420)</w:t>
            </w:r>
          </w:p>
        </w:tc>
        <w:tc>
          <w:tcPr>
            <w:tcW w:w="740" w:type="dxa"/>
            <w:vAlign w:val="bottom"/>
          </w:tcPr>
          <w:p>
            <w:pPr>
              <w:jc w:val="right"/>
              <w:ind w:right="28"/>
              <w:spacing w:after="0"/>
              <w:rPr>
                <w:sz w:val="20"/>
                <w:szCs w:val="20"/>
                <w:color w:val="auto"/>
              </w:rPr>
            </w:pPr>
            <w:r>
              <w:rPr>
                <w:rFonts w:ascii="Arial" w:cs="Arial" w:eastAsia="Arial" w:hAnsi="Arial"/>
                <w:sz w:val="14"/>
                <w:szCs w:val="14"/>
                <w:i w:val="1"/>
                <w:iCs w:val="1"/>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(3,380)</w:t>
            </w: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(4,138)</w:t>
            </w:r>
          </w:p>
        </w:tc>
        <w:tc>
          <w:tcPr>
            <w:tcW w:w="740" w:type="dxa"/>
            <w:vAlign w:val="bottom"/>
          </w:tcPr>
          <w:p>
            <w:pPr>
              <w:jc w:val="right"/>
              <w:ind w:right="28"/>
              <w:spacing w:after="0"/>
              <w:rPr>
                <w:sz w:val="20"/>
                <w:szCs w:val="20"/>
                <w:color w:val="auto"/>
              </w:rPr>
            </w:pPr>
            <w:r>
              <w:rPr>
                <w:rFonts w:ascii="Arial" w:cs="Arial" w:eastAsia="Arial" w:hAnsi="Arial"/>
                <w:sz w:val="14"/>
                <w:szCs w:val="14"/>
                <w:i w:val="1"/>
                <w:iCs w:val="1"/>
                <w:color w:val="auto"/>
              </w:rPr>
              <w:t>(2)%</w:t>
            </w:r>
          </w:p>
        </w:tc>
        <w:tc>
          <w:tcPr>
            <w:tcW w:w="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14,498</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5 %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31,112</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11 %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9,692</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4 %</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&gt; 100%</w:t>
            </w:r>
          </w:p>
        </w:tc>
        <w:tc>
          <w:tcPr>
            <w:tcW w:w="0" w:type="dxa"/>
            <w:vAlign w:val="bottom"/>
          </w:tcPr>
          <w:p>
            <w:pPr>
              <w:spacing w:after="0"/>
              <w:rPr>
                <w:sz w:val="1"/>
                <w:szCs w:val="1"/>
                <w:color w:val="auto"/>
              </w:rPr>
            </w:pPr>
          </w:p>
        </w:tc>
      </w:tr>
      <w:tr>
        <w:trPr>
          <w:trHeight w:val="130"/>
        </w:trPr>
        <w:tc>
          <w:tcPr>
            <w:tcW w:w="3020" w:type="dxa"/>
            <w:vAlign w:val="bottom"/>
          </w:tcPr>
          <w:p>
            <w:pPr>
              <w:ind w:left="220"/>
              <w:spacing w:after="0" w:line="130" w:lineRule="exact"/>
              <w:rPr>
                <w:sz w:val="20"/>
                <w:szCs w:val="20"/>
                <w:color w:val="auto"/>
              </w:rPr>
            </w:pPr>
            <w:r>
              <w:rPr>
                <w:rFonts w:ascii="Arial" w:cs="Arial" w:eastAsia="Arial" w:hAnsi="Arial"/>
                <w:sz w:val="14"/>
                <w:szCs w:val="14"/>
                <w:color w:val="auto"/>
              </w:rPr>
              <w:t>Less: Net income (loss) attributable to</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132</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i w:val="1"/>
                <w:iCs w:val="1"/>
                <w:color w:val="auto"/>
              </w:rPr>
              <w:t>—%</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i w:val="1"/>
                <w:iCs w:val="1"/>
                <w:color w:val="auto"/>
              </w:rPr>
              <w:t>—%</w:t>
            </w:r>
          </w:p>
        </w:tc>
        <w:tc>
          <w:tcPr>
            <w:tcW w:w="9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i w:val="1"/>
                <w:iCs w:val="1"/>
                <w:color w:val="auto"/>
              </w:rPr>
              <w:t>nm</w:t>
            </w:r>
          </w:p>
        </w:tc>
        <w:tc>
          <w:tcPr>
            <w:tcW w:w="800" w:type="dxa"/>
            <w:vAlign w:val="bottom"/>
            <w:tcBorders>
              <w:bottom w:val="single" w:sz="8" w:color="CCEEFF"/>
            </w:tcBorders>
          </w:tcPr>
          <w:p>
            <w:pPr>
              <w:jc w:val="right"/>
              <w:ind w:right="188"/>
              <w:spacing w:after="0"/>
              <w:rPr>
                <w:sz w:val="20"/>
                <w:szCs w:val="20"/>
                <w:color w:val="auto"/>
              </w:rPr>
            </w:pPr>
            <w:r>
              <w:rPr>
                <w:rFonts w:ascii="Arial" w:cs="Arial" w:eastAsia="Arial" w:hAnsi="Arial"/>
                <w:sz w:val="14"/>
                <w:szCs w:val="14"/>
                <w:i w:val="1"/>
                <w:iCs w:val="1"/>
                <w:color w:val="auto"/>
              </w:rPr>
              <w:t>nm</w:t>
            </w:r>
          </w:p>
        </w:tc>
        <w:tc>
          <w:tcPr>
            <w:tcW w:w="0" w:type="dxa"/>
            <w:vAlign w:val="bottom"/>
          </w:tcPr>
          <w:p>
            <w:pPr>
              <w:spacing w:after="0"/>
              <w:rPr>
                <w:sz w:val="1"/>
                <w:szCs w:val="1"/>
                <w:color w:val="auto"/>
              </w:rPr>
            </w:pPr>
          </w:p>
        </w:tc>
      </w:tr>
      <w:tr>
        <w:trPr>
          <w:trHeight w:val="110"/>
        </w:trPr>
        <w:tc>
          <w:tcPr>
            <w:tcW w:w="30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Net income attributable to RDI common</w:t>
            </w:r>
          </w:p>
        </w:tc>
        <w:tc>
          <w:tcPr>
            <w:tcW w:w="80" w:type="dxa"/>
            <w:vAlign w:val="bottom"/>
            <w:vMerge w:val="restart"/>
            <w:shd w:val="clear" w:color="auto" w:fill="CCEEFF"/>
          </w:tcPr>
          <w:p>
            <w:pPr>
              <w:spacing w:after="0"/>
              <w:rPr>
                <w:sz w:val="9"/>
                <w:szCs w:val="9"/>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14,366</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9"/>
                <w:szCs w:val="9"/>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31,101</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9,678</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020" w:type="dxa"/>
            <w:vAlign w:val="bottom"/>
            <w:tcBorders>
              <w:bottom w:val="single" w:sz="8" w:color="CCEEFF"/>
            </w:tcBorders>
            <w:shd w:val="clear" w:color="auto" w:fill="CCEEFF"/>
          </w:tcPr>
          <w:p>
            <w:pPr>
              <w:spacing w:after="0" w:line="154" w:lineRule="exact"/>
              <w:rPr>
                <w:sz w:val="20"/>
                <w:szCs w:val="20"/>
                <w:color w:val="auto"/>
              </w:rPr>
            </w:pPr>
            <w:r>
              <w:rPr>
                <w:rFonts w:ascii="Arial" w:cs="Arial" w:eastAsia="Arial" w:hAnsi="Arial"/>
                <w:sz w:val="14"/>
                <w:szCs w:val="14"/>
                <w:color w:val="auto"/>
              </w:rPr>
              <w:t>stockholders</w:t>
            </w: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28"/>
              <w:spacing w:after="0" w:line="154" w:lineRule="exact"/>
              <w:rPr>
                <w:sz w:val="20"/>
                <w:szCs w:val="20"/>
                <w:color w:val="auto"/>
              </w:rPr>
            </w:pPr>
            <w:r>
              <w:rPr>
                <w:rFonts w:ascii="Arial" w:cs="Arial" w:eastAsia="Arial" w:hAnsi="Arial"/>
                <w:sz w:val="14"/>
                <w:szCs w:val="14"/>
                <w:i w:val="1"/>
                <w:iCs w:val="1"/>
                <w:color w:val="auto"/>
              </w:rPr>
              <w:t>5 %</w:t>
            </w: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48"/>
              <w:spacing w:after="0" w:line="154" w:lineRule="exact"/>
              <w:rPr>
                <w:sz w:val="20"/>
                <w:szCs w:val="20"/>
                <w:color w:val="auto"/>
              </w:rPr>
            </w:pPr>
            <w:r>
              <w:rPr>
                <w:rFonts w:ascii="Arial" w:cs="Arial" w:eastAsia="Arial" w:hAnsi="Arial"/>
                <w:sz w:val="14"/>
                <w:szCs w:val="14"/>
                <w:i w:val="1"/>
                <w:iCs w:val="1"/>
                <w:color w:val="auto"/>
              </w:rPr>
              <w:t>11 %</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28"/>
              <w:spacing w:after="0" w:line="154" w:lineRule="exact"/>
              <w:rPr>
                <w:sz w:val="20"/>
                <w:szCs w:val="20"/>
                <w:color w:val="auto"/>
              </w:rPr>
            </w:pPr>
            <w:r>
              <w:rPr>
                <w:rFonts w:ascii="Arial" w:cs="Arial" w:eastAsia="Arial" w:hAnsi="Arial"/>
                <w:sz w:val="14"/>
                <w:szCs w:val="14"/>
                <w:i w:val="1"/>
                <w:iCs w:val="1"/>
                <w:color w:val="auto"/>
              </w:rPr>
              <w:t>4 %</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48"/>
              <w:spacing w:after="0" w:line="154" w:lineRule="exact"/>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8"/>
              <w:spacing w:after="0" w:line="154" w:lineRule="exact"/>
              <w:rPr>
                <w:sz w:val="20"/>
                <w:szCs w:val="20"/>
                <w:color w:val="auto"/>
              </w:rPr>
            </w:pPr>
            <w:r>
              <w:rPr>
                <w:rFonts w:ascii="Arial" w:cs="Arial" w:eastAsia="Arial" w:hAnsi="Arial"/>
                <w:sz w:val="14"/>
                <w:szCs w:val="14"/>
                <w:color w:val="auto"/>
              </w:rPr>
              <w:t>&gt; 100%</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Arial" w:cs="Arial" w:eastAsia="Arial" w:hAnsi="Arial"/>
                <w:sz w:val="14"/>
                <w:szCs w:val="14"/>
                <w:color w:val="auto"/>
              </w:rPr>
              <w:t>Basic EPS</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0.62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&gt; 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-12065</wp:posOffset>
            </wp:positionV>
            <wp:extent cx="5403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0385" cy="1714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-12065</wp:posOffset>
            </wp:positionV>
            <wp:extent cx="54038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0385" cy="1714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-12065</wp:posOffset>
            </wp:positionV>
            <wp:extent cx="53149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1495" cy="17145"/>
                    </a:xfrm>
                    <a:prstGeom prst="rect">
                      <a:avLst/>
                    </a:prstGeom>
                    <a:noFill/>
                  </pic:spPr>
                </pic:pic>
              </a:graphicData>
            </a:graphic>
          </wp:anchor>
        </w:drawing>
      </w:r>
    </w:p>
    <w:p>
      <w:pPr>
        <w:ind w:right="2080" w:firstLine="320"/>
        <w:spacing w:after="0" w:line="237" w:lineRule="auto"/>
        <w:tabs>
          <w:tab w:leader="none" w:pos="648"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See Note 2 of the 2018 10-K for the prior period adjustments for accounting of straight line rent receivable deemed not material. </w:t>
      </w:r>
      <w:r>
        <w:rPr>
          <w:rFonts w:ascii="Arial" w:cs="Arial" w:eastAsia="Arial" w:hAnsi="Arial"/>
          <w:sz w:val="14"/>
          <w:szCs w:val="14"/>
          <w:b w:val="1"/>
          <w:bCs w:val="1"/>
          <w:color w:val="auto"/>
        </w:rPr>
        <w:t xml:space="preserve">“nm” </w:t>
      </w:r>
      <w:r>
        <w:rPr>
          <w:rFonts w:ascii="Arial" w:cs="Arial" w:eastAsia="Arial" w:hAnsi="Arial"/>
          <w:sz w:val="14"/>
          <w:szCs w:val="14"/>
          <w:color w:val="auto"/>
        </w:rPr>
        <w:t>– not meaningful for further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vs. 2017</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Net income attributable to RDI common stockholders decreased by $16.7 million, or 54%, to $14.4 million. This decrease was mainly due to: (i) the 2017 recognition of a non-recurring $9.2 million casualty gain attributable the insurance settlement on our Courtenay Central earthquake damage claim, (ii) a $9.4 million gain on property sales in 2017 (attributable to the sale of our Burwood Property) not repeated in 2018, (iii) an increase in non-segment general and administrative expenses of $1.3 million in 2018 iv) 844,000 decrease in other income in 2018 mainly due to a non-recurring 2017 gain on foreign exchange (FX) of $563,000 relating to short term intercompany loan balances held in foreign operations, (v) a $1.7 million decrease in Real Estate segment operating income due to non-recurring receipt in 2017 of legal fee reimbursement related to the STOMP arbitration award settlement and (vi) a $40,000 increase in income tax expense for 2018. These were offset by increased Cinema Exhibition segment operating income of $4.6.4 million mainly relating to higher admissions in all three jurisdictions, predominantly in the United States.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2017 vs. 2016</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Net income attributable to RDI common stockholders increased 221% to $31.1 million for the year ended December 31, 2017. This increase was mainly due to: (i) a non-recurring increase of $9.2 million attributable to the receipt of insurance settlement proceeds with respect to our Courtenay Central earthquake damage claim, (ii) a $9.4 million gain on the sale of our Burwood Property, (iii) $1.8 million decrease in non-segment general and administrative expenses, (iv) a $651,000 increase in other income mainly consisting of a gain on FX of $563,000 relating to short term intercompany loan balances held in foreign operations, and (v) offset by a decrease in Cinema Exhibit segment operating income of $ 2.5 million mainly relating to lower admissions in the United States and higher occupancy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 2018 vs 2017</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Presented below is the comparison of the segment operating income of our two business segments for the years ended December 31, 2018 and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7"/>
              </w:rPr>
              <w:t>% Change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vMerge w:val="restart"/>
          </w:tcPr>
          <w:p>
            <w:pPr>
              <w:jc w:val="right"/>
              <w:ind w:right="7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4"/>
            <w:vMerge w:val="restart"/>
          </w:tcPr>
          <w:p>
            <w:pPr>
              <w:jc w:val="right"/>
              <w:ind w:right="76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340" w:type="dxa"/>
            <w:vAlign w:val="bottom"/>
            <w:gridSpan w:val="3"/>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4"/>
                <w:szCs w:val="14"/>
                <w:b w:val="1"/>
                <w:bCs w:val="1"/>
                <w:color w:val="auto"/>
                <w:w w:val="95"/>
              </w:rPr>
              <w:t>(Unfavorable)</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Cinema</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8"/>
              </w:rPr>
              <w:t xml:space="preserve">Real Estate </w:t>
            </w:r>
            <w:r>
              <w:rPr>
                <w:rFonts w:ascii="Arial" w:cs="Arial" w:eastAsia="Arial" w:hAnsi="Arial"/>
                <w:sz w:val="7"/>
                <w:szCs w:val="7"/>
                <w:b w:val="1"/>
                <w:bCs w:val="1"/>
                <w:color w:val="auto"/>
                <w:w w:val="88"/>
              </w:rPr>
              <w:t>(1)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Cinema</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8"/>
              </w:rPr>
              <w:t xml:space="preserve">Real Estate </w:t>
            </w:r>
            <w:r>
              <w:rPr>
                <w:rFonts w:ascii="Arial" w:cs="Arial" w:eastAsia="Arial" w:hAnsi="Arial"/>
                <w:sz w:val="7"/>
                <w:szCs w:val="7"/>
                <w:b w:val="1"/>
                <w:bCs w:val="1"/>
                <w:color w:val="auto"/>
                <w:w w:val="88"/>
              </w:rPr>
              <w:t>(1)</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Cinema</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Real Estate</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Segment Revenues</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294,177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b w:val="1"/>
                <w:bCs w:val="1"/>
                <w:color w:val="auto"/>
              </w:rPr>
              <w:t>Segment Operating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1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Cost of services and products (excluding depreciation and</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(234,818)</w:t>
            </w: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(9,904)</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(215,020)</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(9,436)</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(16,314)</w:t>
            </w:r>
          </w:p>
        </w:tc>
        <w:tc>
          <w:tcPr>
            <w:tcW w:w="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(5,567)</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(12,213)</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(4,256)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(3,261)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(2,140)</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4"/>
                <w:szCs w:val="14"/>
                <w:color w:val="auto"/>
              </w:rPr>
              <w:t>Total segment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(254,856)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(17,797)</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(230,494)</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(15,832)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Segment operating income</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39,321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203"/>
        </w:trPr>
        <w:tc>
          <w:tcPr>
            <w:tcW w:w="4140" w:type="dxa"/>
            <w:vAlign w:val="bottom"/>
          </w:tcPr>
          <w:p>
            <w:pPr>
              <w:ind w:left="320"/>
              <w:spacing w:after="0"/>
              <w:rPr>
                <w:sz w:val="20"/>
                <w:szCs w:val="20"/>
                <w:color w:val="auto"/>
              </w:rPr>
            </w:pPr>
            <w:r>
              <w:rPr>
                <w:rFonts w:ascii="Arial" w:cs="Arial" w:eastAsia="Arial" w:hAnsi="Arial"/>
                <w:sz w:val="14"/>
                <w:szCs w:val="14"/>
                <w:b w:val="1"/>
                <w:bCs w:val="1"/>
                <w:i w:val="1"/>
                <w:iCs w:val="1"/>
                <w:color w:val="auto"/>
              </w:rPr>
              <w:t>Breakdown by country: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United States</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76 %</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(&gt;100)</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540"/>
              <w:spacing w:after="0"/>
              <w:rPr>
                <w:sz w:val="20"/>
                <w:szCs w:val="20"/>
                <w:color w:val="auto"/>
              </w:rPr>
            </w:pPr>
            <w:r>
              <w:rPr>
                <w:rFonts w:ascii="Arial" w:cs="Arial" w:eastAsia="Arial" w:hAnsi="Arial"/>
                <w:sz w:val="14"/>
                <w:szCs w:val="14"/>
                <w:color w:val="auto"/>
              </w:rPr>
              <w:t>Australia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5,623</w:t>
            </w: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New Zealand</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5,343</w:t>
            </w: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4,405</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21 %</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35 %</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39,321</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6,438</w:t>
            </w:r>
          </w:p>
        </w:tc>
        <w:tc>
          <w:tcPr>
            <w:tcW w:w="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32,970</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8,156</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19 %</w:t>
            </w:r>
          </w:p>
        </w:tc>
        <w:tc>
          <w:tcPr>
            <w:tcW w:w="80" w:type="dxa"/>
            <w:vAlign w:val="bottom"/>
          </w:tcPr>
          <w:p>
            <w:pPr>
              <w:spacing w:after="0"/>
              <w:rPr>
                <w:sz w:val="17"/>
                <w:szCs w:val="17"/>
                <w:color w:val="auto"/>
              </w:rPr>
            </w:pPr>
          </w:p>
        </w:tc>
        <w:tc>
          <w:tcPr>
            <w:tcW w:w="8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-12065</wp:posOffset>
            </wp:positionV>
            <wp:extent cx="254698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ind w:left="640" w:hanging="320"/>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Note 2 of the 2018 10-K for the prior period adjustments for accounting of straight line rent receivable deemed not material.</w:t>
      </w:r>
    </w:p>
    <w:p>
      <w:pPr>
        <w:spacing w:after="0" w:line="196" w:lineRule="exact"/>
        <w:rPr>
          <w:rFonts w:ascii="Arial" w:cs="Arial" w:eastAsia="Arial" w:hAnsi="Arial"/>
          <w:sz w:val="14"/>
          <w:szCs w:val="14"/>
          <w:color w:val="auto"/>
        </w:rPr>
      </w:pPr>
    </w:p>
    <w:p>
      <w:pPr>
        <w:ind w:left="4960" w:hanging="146"/>
        <w:spacing w:after="0"/>
        <w:tabs>
          <w:tab w:leader="none" w:pos="4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discussion for each segments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Cinema Exhibition – 2018 vs. 2017</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3"/>
              </w:rPr>
              <w:t>(Dollars in thousands)</w:t>
            </w:r>
          </w:p>
        </w:tc>
        <w:tc>
          <w:tcPr>
            <w:tcW w:w="2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i w:val="1"/>
                <w:iCs w:val="1"/>
                <w:color w:val="auto"/>
                <w:w w:val="93"/>
              </w:rPr>
              <w:t>% of Revenue</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Admission revenue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103,421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63 %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48,110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30 %</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Advertising and other revenue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10,720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7 %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162,251</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Admission revenue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65,263</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64 %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29,722</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29 %</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Advertising and other revenue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7,011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7 %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101,996</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Admission revenue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19,708</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66 %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8,683</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29 %</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Advertising and other revenue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1,539</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5 %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29,930</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294,177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227"/>
        </w:trPr>
        <w:tc>
          <w:tcPr>
            <w:tcW w:w="4160" w:type="dxa"/>
            <w:vAlign w:val="bottom"/>
            <w:gridSpan w:val="3"/>
          </w:tcPr>
          <w:p>
            <w:pPr>
              <w:spacing w:after="0"/>
              <w:rPr>
                <w:sz w:val="20"/>
                <w:szCs w:val="20"/>
                <w:color w:val="auto"/>
              </w:rPr>
            </w:pPr>
            <w:r>
              <w:rPr>
                <w:rFonts w:ascii="Arial" w:cs="Arial" w:eastAsia="Arial" w:hAnsi="Arial"/>
                <w:sz w:val="13"/>
                <w:szCs w:val="13"/>
                <w:b w:val="1"/>
                <w:bCs w:val="1"/>
                <w:color w:val="auto"/>
              </w:rPr>
              <w:t>OPERATING EXPENSE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Film rent and advertising cost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(55,269)</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(10,457)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Occupancy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(28,963)</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(18)%</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Other operating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(42,515)</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(26)%</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(137,204)</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(85)%</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Film rent and advertising cost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(30,151)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(5,967)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Occupancy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(15,995)</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(16)%</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Other operating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(22,520)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(22)%</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(74,633)</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(73)%</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Film rent and advertising cost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(9,259)</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(1,915)</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Occupancy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(5,153)</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(17)%</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Other operating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(6,654)</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(22)%</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(22,981)</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(77)%</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6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expense</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(234,818)</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(80)%</w:t>
            </w:r>
          </w:p>
        </w:tc>
        <w:tc>
          <w:tcPr>
            <w:tcW w:w="0" w:type="dxa"/>
            <w:vAlign w:val="bottom"/>
          </w:tcPr>
          <w:p>
            <w:pPr>
              <w:spacing w:after="0"/>
              <w:rPr>
                <w:sz w:val="1"/>
                <w:szCs w:val="1"/>
                <w:color w:val="auto"/>
              </w:rPr>
            </w:pPr>
          </w:p>
        </w:tc>
      </w:tr>
      <w:tr>
        <w:trPr>
          <w:trHeight w:val="103"/>
        </w:trPr>
        <w:tc>
          <w:tcPr>
            <w:tcW w:w="4160" w:type="dxa"/>
            <w:vAlign w:val="bottom"/>
            <w:gridSpan w:val="3"/>
          </w:tcPr>
          <w:p>
            <w:pPr>
              <w:spacing w:after="0" w:line="104" w:lineRule="exact"/>
              <w:rPr>
                <w:sz w:val="20"/>
                <w:szCs w:val="20"/>
                <w:color w:val="auto"/>
              </w:rPr>
            </w:pPr>
            <w:r>
              <w:rPr>
                <w:rFonts w:ascii="Arial" w:cs="Arial" w:eastAsia="Arial" w:hAnsi="Arial"/>
                <w:sz w:val="11"/>
                <w:szCs w:val="11"/>
                <w:b w:val="1"/>
                <w:bCs w:val="1"/>
                <w:color w:val="auto"/>
              </w:rPr>
              <w:t>DEPRECIATION, AMORTIZATION, GENERAL AND ADMINISTRATIVE</w:t>
            </w: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200" w:type="dxa"/>
            <w:vAlign w:val="bottom"/>
          </w:tcPr>
          <w:p>
            <w:pPr>
              <w:spacing w:after="0"/>
              <w:rPr>
                <w:sz w:val="20"/>
                <w:szCs w:val="20"/>
                <w:color w:val="auto"/>
              </w:rPr>
            </w:pPr>
            <w:r>
              <w:rPr>
                <w:rFonts w:ascii="Arial" w:cs="Arial" w:eastAsia="Arial" w:hAnsi="Arial"/>
                <w:sz w:val="13"/>
                <w:szCs w:val="13"/>
                <w:b w:val="1"/>
                <w:bCs w:val="1"/>
                <w:color w:val="auto"/>
              </w:rPr>
              <w:t>EXPENSE</w:t>
            </w: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(9,957)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(7)%</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General and administrative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(12,364)</w:t>
            </w:r>
          </w:p>
        </w:tc>
        <w:tc>
          <w:tcPr>
            <w:tcW w:w="1080" w:type="dxa"/>
            <w:vAlign w:val="bottom"/>
            <w:gridSpan w:val="2"/>
            <w:vMerge w:val="restart"/>
          </w:tcPr>
          <w:p>
            <w:pPr>
              <w:jc w:val="right"/>
              <w:ind w:right="117"/>
              <w:spacing w:after="0"/>
              <w:rPr>
                <w:sz w:val="20"/>
                <w:szCs w:val="20"/>
                <w:color w:val="auto"/>
              </w:rPr>
            </w:pPr>
            <w:r>
              <w:rPr>
                <w:rFonts w:ascii="Arial" w:cs="Arial" w:eastAsia="Arial" w:hAnsi="Arial"/>
                <w:sz w:val="13"/>
                <w:szCs w:val="13"/>
                <w:i w:val="1"/>
                <w:iCs w:val="1"/>
                <w:color w:val="auto"/>
              </w:rPr>
              <w:t>(8)%</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(4,763)</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(5)%</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General and administrative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(1,305)</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(6,068)</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(1,595)</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(5)%</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General and administrative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7"/>
                <w:szCs w:val="17"/>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(1,606)</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(5)%</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-5975350</wp:posOffset>
            </wp:positionV>
            <wp:extent cx="642302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-5692140</wp:posOffset>
            </wp:positionV>
            <wp:extent cx="642302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-5417820</wp:posOffset>
            </wp:positionV>
            <wp:extent cx="642302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-5143500</wp:posOffset>
            </wp:positionV>
            <wp:extent cx="642302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-4868545</wp:posOffset>
            </wp:positionV>
            <wp:extent cx="642302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-4594225</wp:posOffset>
            </wp:positionV>
            <wp:extent cx="642302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-4319905</wp:posOffset>
            </wp:positionV>
            <wp:extent cx="64230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-4036695</wp:posOffset>
            </wp:positionV>
            <wp:extent cx="642302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-3754120</wp:posOffset>
            </wp:positionV>
            <wp:extent cx="64230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-3479800</wp:posOffset>
            </wp:positionV>
            <wp:extent cx="642302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-3204845</wp:posOffset>
            </wp:positionV>
            <wp:extent cx="642302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-2930525</wp:posOffset>
            </wp:positionV>
            <wp:extent cx="642302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-2656205</wp:posOffset>
            </wp:positionV>
            <wp:extent cx="64230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-2381885</wp:posOffset>
            </wp:positionV>
            <wp:extent cx="64230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-2107565</wp:posOffset>
            </wp:positionV>
            <wp:extent cx="642302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-1833245</wp:posOffset>
            </wp:positionV>
            <wp:extent cx="642302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-1550035</wp:posOffset>
            </wp:positionV>
            <wp:extent cx="642302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-1241425</wp:posOffset>
            </wp:positionV>
            <wp:extent cx="642302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-967105</wp:posOffset>
            </wp:positionV>
            <wp:extent cx="642302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42302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42302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42302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2018 vs. 2017</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Favorable /</w:t>
            </w:r>
          </w:p>
        </w:tc>
        <w:tc>
          <w:tcPr>
            <w:tcW w:w="0" w:type="dxa"/>
            <w:vAlign w:val="bottom"/>
          </w:tcPr>
          <w:p>
            <w:pPr>
              <w:spacing w:after="0"/>
              <w:rPr>
                <w:sz w:val="1"/>
                <w:szCs w:val="1"/>
                <w:color w:val="auto"/>
              </w:rPr>
            </w:pPr>
          </w:p>
        </w:tc>
      </w:tr>
      <w:tr>
        <w:trPr>
          <w:trHeight w:val="160"/>
        </w:trPr>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3"/>
                <w:szCs w:val="13"/>
                <w:color w:val="auto"/>
              </w:rPr>
            </w:pPr>
          </w:p>
        </w:tc>
        <w:tc>
          <w:tcPr>
            <w:tcW w:w="12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i w:val="1"/>
                <w:iCs w:val="1"/>
                <w:color w:val="auto"/>
              </w:rPr>
              <w:t>% of Revenue</w:t>
            </w:r>
          </w:p>
        </w:tc>
        <w:tc>
          <w:tcPr>
            <w:tcW w:w="16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443"/>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87,646</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63 %</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41,911</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30 %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9,521</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4"/>
        </w:trPr>
        <w:tc>
          <w:tcPr>
            <w:tcW w:w="240" w:type="dxa"/>
            <w:vAlign w:val="bottom"/>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139,078</w:t>
            </w:r>
          </w:p>
        </w:tc>
        <w:tc>
          <w:tcPr>
            <w:tcW w:w="138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8"/>
                <w:szCs w:val="18"/>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3"/>
                <w:szCs w:val="13"/>
                <w:color w:val="auto"/>
              </w:rPr>
              <w:t>17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60,736</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63 %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28,746</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30 %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7,124</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269"/>
        </w:trPr>
        <w:tc>
          <w:tcPr>
            <w:tcW w:w="240" w:type="dxa"/>
            <w:vAlign w:val="bottom"/>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96,606</w:t>
            </w:r>
          </w:p>
        </w:tc>
        <w:tc>
          <w:tcPr>
            <w:tcW w:w="138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3"/>
                <w:szCs w:val="23"/>
                <w:color w:val="auto"/>
              </w:rPr>
            </w:pPr>
          </w:p>
        </w:tc>
        <w:tc>
          <w:tcPr>
            <w:tcW w:w="840" w:type="dxa"/>
            <w:vAlign w:val="bottom"/>
            <w:gridSpan w:val="2"/>
          </w:tcPr>
          <w:p>
            <w:pPr>
              <w:jc w:val="right"/>
              <w:spacing w:after="0" w:line="269" w:lineRule="exact"/>
              <w:rPr>
                <w:sz w:val="20"/>
                <w:szCs w:val="20"/>
                <w:color w:val="auto"/>
              </w:rPr>
            </w:pPr>
            <w:r>
              <w:rPr>
                <w:rFonts w:ascii="Arial" w:cs="Arial" w:eastAsia="Arial" w:hAnsi="Arial"/>
                <w:sz w:val="25"/>
                <w:szCs w:val="25"/>
                <w:color w:val="auto"/>
                <w:vertAlign w:val="superscript"/>
              </w:rPr>
              <w:t>6</w:t>
            </w: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60"/>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17,495</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63 %</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7,689</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28 %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2,596</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9 %</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(41) %</w:t>
            </w:r>
          </w:p>
        </w:tc>
        <w:tc>
          <w:tcPr>
            <w:tcW w:w="0" w:type="dxa"/>
            <w:vAlign w:val="bottom"/>
          </w:tcPr>
          <w:p>
            <w:pPr>
              <w:spacing w:after="0"/>
              <w:rPr>
                <w:sz w:val="1"/>
                <w:szCs w:val="1"/>
                <w:color w:val="auto"/>
              </w:rPr>
            </w:pPr>
          </w:p>
        </w:tc>
      </w:tr>
      <w:tr>
        <w:trPr>
          <w:trHeight w:val="301"/>
        </w:trPr>
        <w:tc>
          <w:tcPr>
            <w:tcW w:w="240" w:type="dxa"/>
            <w:vAlign w:val="bottom"/>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27,780</w:t>
            </w:r>
          </w:p>
        </w:tc>
        <w:tc>
          <w:tcPr>
            <w:tcW w:w="138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xml:space="preserve">8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125"/>
        </w:trPr>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263,464</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3"/>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(46,520)</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(33)%</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(8,325)</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(28,903)</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(21)%</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(39,920)</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(29)%</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(123,668)</w:t>
            </w:r>
          </w:p>
        </w:tc>
        <w:tc>
          <w:tcPr>
            <w:tcW w:w="138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(89)%</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(28,286)</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(29)%</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(5,964)</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(14,921)</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(20,620)</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(21)%</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(69,791)</w:t>
            </w:r>
          </w:p>
        </w:tc>
        <w:tc>
          <w:tcPr>
            <w:tcW w:w="138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(72)%</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(8,203)</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(30)%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(1,771)</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(5,128)</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(19)%</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(6,459)</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(23)%</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(21,561)</w:t>
            </w:r>
          </w:p>
        </w:tc>
        <w:tc>
          <w:tcPr>
            <w:tcW w:w="138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(78)%</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(215,020)</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(82)%</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484"/>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(6,092)</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(4)%</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(63)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(2,111)</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(8,203)</w:t>
            </w:r>
          </w:p>
        </w:tc>
        <w:tc>
          <w:tcPr>
            <w:tcW w:w="138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(51)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(4,357)</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(1)%</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(5,457)</w:t>
            </w:r>
          </w:p>
        </w:tc>
        <w:tc>
          <w:tcPr>
            <w:tcW w:w="138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(1,763)</w:t>
            </w:r>
          </w:p>
        </w:tc>
        <w:tc>
          <w:tcPr>
            <w:tcW w:w="138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(1,814)</w:t>
            </w:r>
          </w:p>
        </w:tc>
        <w:tc>
          <w:tcPr>
            <w:tcW w:w="138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4"/>
                <w:szCs w:val="14"/>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3"/>
                <w:szCs w:val="13"/>
                <w:color w:val="auto"/>
              </w:rPr>
              <w:t>11</w:t>
            </w:r>
          </w:p>
        </w:tc>
        <w:tc>
          <w:tcPr>
            <w:tcW w:w="2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ectPr>
          <w:pgSz w:w="11900" w:h="16838" w:orient="portrait"/>
          <w:cols w:equalWidth="0" w:num="2">
            <w:col w:w="6540" w:space="160"/>
            <w:col w:w="3420"/>
          </w:cols>
          <w:pgMar w:left="900" w:top="125" w:right="879" w:bottom="1440" w:gutter="0" w:footer="0" w:header="0"/>
        </w:sectPr>
      </w:pPr>
    </w:p>
    <w:tbl>
      <w:tblPr>
        <w:tblLayout w:type="fixed"/>
        <w:tblInd w:w="0" w:type="dxa"/>
        <w:tblCellMar>
          <w:top w:w="0" w:type="dxa"/>
          <w:left w:w="0" w:type="dxa"/>
          <w:bottom w:w="0" w:type="dxa"/>
          <w:right w:w="0" w:type="dxa"/>
        </w:tblCellMar>
      </w:tblPr>
      <w:tr>
        <w:trPr>
          <w:trHeight w:val="46"/>
        </w:trPr>
        <w:tc>
          <w:tcPr>
            <w:tcW w:w="3920" w:type="dxa"/>
            <w:vAlign w:val="bottom"/>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w w:val="94"/>
              </w:rPr>
              <w:t>Total depreciation, amortization, and general and administrative</w:t>
            </w:r>
          </w:p>
        </w:tc>
        <w:tc>
          <w:tcPr>
            <w:tcW w:w="240" w:type="dxa"/>
            <w:vAlign w:val="bottom"/>
            <w:shd w:val="clear" w:color="auto" w:fill="CCEEFF"/>
          </w:tcPr>
          <w:p>
            <w:pPr>
              <w:spacing w:after="0"/>
              <w:rPr>
                <w:sz w:val="4"/>
                <w:szCs w:val="4"/>
                <w:color w:val="auto"/>
              </w:rPr>
            </w:pPr>
          </w:p>
        </w:tc>
        <w:tc>
          <w:tcPr>
            <w:tcW w:w="440" w:type="dxa"/>
            <w:vAlign w:val="bottom"/>
            <w:shd w:val="clear" w:color="auto" w:fill="000000"/>
          </w:tcPr>
          <w:p>
            <w:pPr>
              <w:spacing w:after="0"/>
              <w:rPr>
                <w:sz w:val="4"/>
                <w:szCs w:val="4"/>
                <w:color w:val="auto"/>
              </w:rPr>
            </w:pPr>
          </w:p>
        </w:tc>
        <w:tc>
          <w:tcPr>
            <w:tcW w:w="860" w:type="dxa"/>
            <w:vAlign w:val="bottom"/>
            <w:shd w:val="clear" w:color="auto" w:fill="000000"/>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720" w:type="dxa"/>
            <w:vAlign w:val="bottom"/>
            <w:shd w:val="clear" w:color="auto" w:fill="000000"/>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3920" w:type="dxa"/>
            <w:vAlign w:val="bottom"/>
            <w:vMerge w:val="continue"/>
            <w:shd w:val="clear" w:color="auto" w:fill="CCEEFF"/>
          </w:tcPr>
          <w:p>
            <w:pPr>
              <w:spacing w:after="0"/>
              <w:rPr>
                <w:sz w:val="8"/>
                <w:szCs w:val="8"/>
                <w:color w:val="auto"/>
              </w:rPr>
            </w:pPr>
          </w:p>
        </w:tc>
        <w:tc>
          <w:tcPr>
            <w:tcW w:w="240" w:type="dxa"/>
            <w:vAlign w:val="bottom"/>
            <w:vMerge w:val="restart"/>
            <w:shd w:val="clear" w:color="auto" w:fill="CCEEFF"/>
          </w:tcPr>
          <w:p>
            <w:pPr>
              <w:spacing w:after="0"/>
              <w:rPr>
                <w:sz w:val="8"/>
                <w:szCs w:val="8"/>
                <w:color w:val="auto"/>
              </w:rPr>
            </w:pPr>
          </w:p>
        </w:tc>
        <w:tc>
          <w:tcPr>
            <w:tcW w:w="440" w:type="dxa"/>
            <w:vAlign w:val="bottom"/>
            <w:vMerge w:val="restart"/>
            <w:shd w:val="clear" w:color="auto" w:fill="CCEEFF"/>
          </w:tcPr>
          <w:p>
            <w:pPr>
              <w:jc w:val="right"/>
              <w:ind w:right="297"/>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(20,038)</w:t>
            </w:r>
          </w:p>
        </w:tc>
        <w:tc>
          <w:tcPr>
            <w:tcW w:w="94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(15,474)</w:t>
            </w:r>
          </w:p>
        </w:tc>
        <w:tc>
          <w:tcPr>
            <w:tcW w:w="1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92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expense</w:t>
            </w:r>
          </w:p>
        </w:tc>
        <w:tc>
          <w:tcPr>
            <w:tcW w:w="24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940" w:type="dxa"/>
            <w:vAlign w:val="bottom"/>
            <w:shd w:val="clear" w:color="auto" w:fill="CCEEFF"/>
          </w:tcPr>
          <w:p>
            <w:pPr>
              <w:jc w:val="right"/>
              <w:ind w:right="277"/>
              <w:spacing w:after="0" w:line="140" w:lineRule="exact"/>
              <w:rPr>
                <w:sz w:val="20"/>
                <w:szCs w:val="20"/>
                <w:color w:val="auto"/>
              </w:rPr>
            </w:pPr>
            <w:r>
              <w:rPr>
                <w:rFonts w:ascii="Arial" w:cs="Arial" w:eastAsia="Arial" w:hAnsi="Arial"/>
                <w:sz w:val="13"/>
                <w:szCs w:val="13"/>
                <w:i w:val="1"/>
                <w:iCs w:val="1"/>
                <w:color w:val="auto"/>
              </w:rPr>
              <w:t>(7)%</w:t>
            </w:r>
          </w:p>
        </w:tc>
        <w:tc>
          <w:tcPr>
            <w:tcW w:w="320" w:type="dxa"/>
            <w:vAlign w:val="bottom"/>
            <w:vMerge w:val="continue"/>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140" w:type="dxa"/>
            <w:vAlign w:val="bottom"/>
            <w:shd w:val="clear" w:color="auto" w:fill="CCEEFF"/>
          </w:tcPr>
          <w:p>
            <w:pPr>
              <w:jc w:val="right"/>
              <w:ind w:right="317"/>
              <w:spacing w:after="0" w:line="140" w:lineRule="exact"/>
              <w:rPr>
                <w:sz w:val="20"/>
                <w:szCs w:val="20"/>
                <w:color w:val="auto"/>
              </w:rPr>
            </w:pPr>
            <w:r>
              <w:rPr>
                <w:rFonts w:ascii="Arial" w:cs="Arial" w:eastAsia="Arial" w:hAnsi="Arial"/>
                <w:sz w:val="13"/>
                <w:szCs w:val="13"/>
                <w:i w:val="1"/>
                <w:iCs w:val="1"/>
                <w:color w:val="auto"/>
              </w:rPr>
              <w:t>(6)%</w:t>
            </w:r>
          </w:p>
        </w:tc>
        <w:tc>
          <w:tcPr>
            <w:tcW w:w="7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(29) %</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CCEEFF"/>
              <w:bottom w:val="single" w:sz="8" w:color="CCEEFF"/>
            </w:tcBorders>
          </w:tcPr>
          <w:p>
            <w:pPr>
              <w:spacing w:after="0"/>
              <w:rPr>
                <w:sz w:val="19"/>
                <w:szCs w:val="19"/>
                <w:color w:val="auto"/>
              </w:rPr>
            </w:pPr>
          </w:p>
        </w:tc>
        <w:tc>
          <w:tcPr>
            <w:tcW w:w="940" w:type="dxa"/>
            <w:vAlign w:val="bottom"/>
            <w:tcBorders>
              <w:top w:val="single" w:sz="8" w:color="CCEEFF"/>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CCEEFF"/>
              <w:bottom w:val="single" w:sz="8" w:color="CCEEFF"/>
            </w:tcBorders>
          </w:tcPr>
          <w:p>
            <w:pPr>
              <w:spacing w:after="0"/>
              <w:rPr>
                <w:sz w:val="19"/>
                <w:szCs w:val="19"/>
                <w:color w:val="auto"/>
              </w:rPr>
            </w:pPr>
          </w:p>
        </w:tc>
        <w:tc>
          <w:tcPr>
            <w:tcW w:w="1140" w:type="dxa"/>
            <w:vAlign w:val="bottom"/>
            <w:tcBorders>
              <w:top w:val="single" w:sz="8" w:color="CCEEFF"/>
              <w:bottom w:val="single" w:sz="8" w:color="CCEEFF"/>
            </w:tcBorders>
          </w:tcPr>
          <w:p>
            <w:pPr>
              <w:spacing w:after="0"/>
              <w:rPr>
                <w:sz w:val="19"/>
                <w:szCs w:val="19"/>
                <w:color w:val="auto"/>
              </w:rPr>
            </w:pPr>
          </w:p>
        </w:tc>
        <w:tc>
          <w:tcPr>
            <w:tcW w:w="56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expenses</w:t>
            </w:r>
          </w:p>
        </w:tc>
        <w:tc>
          <w:tcPr>
            <w:tcW w:w="680" w:type="dxa"/>
            <w:vAlign w:val="bottom"/>
            <w:gridSpan w:val="2"/>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(254,856)</w:t>
            </w:r>
          </w:p>
        </w:tc>
        <w:tc>
          <w:tcPr>
            <w:tcW w:w="940" w:type="dxa"/>
            <w:vAlign w:val="bottom"/>
            <w:shd w:val="clear" w:color="auto" w:fill="CCEEFF"/>
          </w:tcPr>
          <w:p>
            <w:pPr>
              <w:jc w:val="right"/>
              <w:ind w:right="277"/>
              <w:spacing w:after="0"/>
              <w:rPr>
                <w:sz w:val="20"/>
                <w:szCs w:val="20"/>
                <w:color w:val="auto"/>
              </w:rPr>
            </w:pPr>
            <w:r>
              <w:rPr>
                <w:rFonts w:ascii="Arial" w:cs="Arial" w:eastAsia="Arial" w:hAnsi="Arial"/>
                <w:sz w:val="13"/>
                <w:szCs w:val="13"/>
                <w:i w:val="1"/>
                <w:iCs w:val="1"/>
                <w:color w:val="auto"/>
              </w:rPr>
              <w:t>(87)%</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(230,494)</w:t>
            </w:r>
          </w:p>
        </w:tc>
        <w:tc>
          <w:tcPr>
            <w:tcW w:w="1140" w:type="dxa"/>
            <w:vAlign w:val="bottom"/>
            <w:shd w:val="clear" w:color="auto" w:fill="CCEEFF"/>
          </w:tcPr>
          <w:p>
            <w:pPr>
              <w:jc w:val="right"/>
              <w:ind w:right="317"/>
              <w:spacing w:after="0"/>
              <w:rPr>
                <w:sz w:val="20"/>
                <w:szCs w:val="20"/>
                <w:color w:val="auto"/>
              </w:rPr>
            </w:pPr>
            <w:r>
              <w:rPr>
                <w:rFonts w:ascii="Arial" w:cs="Arial" w:eastAsia="Arial" w:hAnsi="Arial"/>
                <w:sz w:val="13"/>
                <w:szCs w:val="13"/>
                <w:i w:val="1"/>
                <w:iCs w:val="1"/>
                <w:color w:val="auto"/>
              </w:rPr>
              <w:t>(87)%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OPERATING INCOME</w:t>
            </w:r>
          </w:p>
        </w:tc>
        <w:tc>
          <w:tcPr>
            <w:tcW w:w="2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United States</w:t>
            </w:r>
          </w:p>
        </w:tc>
        <w:tc>
          <w:tcPr>
            <w:tcW w:w="680" w:type="dxa"/>
            <w:vAlign w:val="bottom"/>
            <w:gridSpan w:val="2"/>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7"/>
              <w:spacing w:after="0" w:line="216" w:lineRule="exact"/>
              <w:rPr>
                <w:sz w:val="20"/>
                <w:szCs w:val="20"/>
                <w:color w:val="auto"/>
              </w:rPr>
            </w:pPr>
            <w:r>
              <w:rPr>
                <w:rFonts w:ascii="Arial" w:cs="Arial" w:eastAsia="Arial" w:hAnsi="Arial"/>
                <w:sz w:val="25"/>
                <w:szCs w:val="25"/>
                <w:i w:val="1"/>
                <w:iCs w:val="1"/>
                <w:color w:val="auto"/>
                <w:vertAlign w:val="subscript"/>
              </w:rPr>
              <w:t>8</w:t>
            </w:r>
            <w:r>
              <w:rPr>
                <w:rFonts w:ascii="Arial" w:cs="Arial" w:eastAsia="Arial" w:hAnsi="Arial"/>
                <w:sz w:val="13"/>
                <w:szCs w:val="13"/>
                <w:i w:val="1"/>
                <w:iCs w:val="1"/>
                <w:color w:val="auto"/>
              </w:rPr>
              <w:t xml:space="preserve"> %</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7,207</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7"/>
              <w:spacing w:after="0" w:line="216" w:lineRule="exact"/>
              <w:rPr>
                <w:sz w:val="20"/>
                <w:szCs w:val="20"/>
                <w:color w:val="auto"/>
              </w:rPr>
            </w:pPr>
            <w:r>
              <w:rPr>
                <w:rFonts w:ascii="Arial" w:cs="Arial" w:eastAsia="Arial" w:hAnsi="Arial"/>
                <w:sz w:val="25"/>
                <w:szCs w:val="25"/>
                <w:i w:val="1"/>
                <w:iCs w:val="1"/>
                <w:color w:val="auto"/>
                <w:vertAlign w:val="subscript"/>
              </w:rPr>
              <w:t>5</w:t>
            </w:r>
            <w:r>
              <w:rPr>
                <w:rFonts w:ascii="Arial" w:cs="Arial" w:eastAsia="Arial" w:hAnsi="Arial"/>
                <w:sz w:val="13"/>
                <w:szCs w:val="13"/>
                <w:i w:val="1"/>
                <w:iCs w:val="1"/>
                <w:color w:val="auto"/>
              </w:rPr>
              <w:t xml:space="preserve">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21,295</w:t>
            </w:r>
          </w:p>
        </w:tc>
        <w:tc>
          <w:tcPr>
            <w:tcW w:w="300" w:type="dxa"/>
            <w:vAlign w:val="bottom"/>
          </w:tcPr>
          <w:p>
            <w:pPr>
              <w:spacing w:after="0"/>
              <w:rPr>
                <w:sz w:val="18"/>
                <w:szCs w:val="18"/>
                <w:color w:val="auto"/>
              </w:rPr>
            </w:pPr>
          </w:p>
        </w:tc>
        <w:tc>
          <w:tcPr>
            <w:tcW w:w="940" w:type="dxa"/>
            <w:vAlign w:val="bottom"/>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21 </w:t>
            </w:r>
            <w:r>
              <w:rPr>
                <w:rFonts w:ascii="Arial" w:cs="Arial" w:eastAsia="Arial" w:hAnsi="Arial"/>
                <w:sz w:val="25"/>
                <w:szCs w:val="25"/>
                <w:i w:val="1"/>
                <w:iCs w:val="1"/>
                <w:color w:val="auto"/>
                <w:vertAlign w:val="superscript"/>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21,358</w:t>
            </w:r>
          </w:p>
        </w:tc>
        <w:tc>
          <w:tcPr>
            <w:tcW w:w="480" w:type="dxa"/>
            <w:vAlign w:val="bottom"/>
          </w:tcPr>
          <w:p>
            <w:pPr>
              <w:spacing w:after="0"/>
              <w:rPr>
                <w:sz w:val="18"/>
                <w:szCs w:val="18"/>
                <w:color w:val="auto"/>
              </w:rPr>
            </w:pPr>
          </w:p>
        </w:tc>
        <w:tc>
          <w:tcPr>
            <w:tcW w:w="1140" w:type="dxa"/>
            <w:vAlign w:val="bottom"/>
          </w:tcPr>
          <w:p>
            <w:pPr>
              <w:jc w:val="right"/>
              <w:ind w:right="317"/>
              <w:spacing w:after="0" w:line="216" w:lineRule="exact"/>
              <w:rPr>
                <w:sz w:val="20"/>
                <w:szCs w:val="20"/>
                <w:color w:val="auto"/>
              </w:rPr>
            </w:pPr>
            <w:r>
              <w:rPr>
                <w:rFonts w:ascii="Arial" w:cs="Arial" w:eastAsia="Arial" w:hAnsi="Arial"/>
                <w:sz w:val="13"/>
                <w:szCs w:val="13"/>
                <w:i w:val="1"/>
                <w:iCs w:val="1"/>
                <w:color w:val="auto"/>
              </w:rPr>
              <w:t xml:space="preserve">22 </w:t>
            </w:r>
            <w:r>
              <w:rPr>
                <w:rFonts w:ascii="Arial" w:cs="Arial" w:eastAsia="Arial" w:hAnsi="Arial"/>
                <w:sz w:val="25"/>
                <w:szCs w:val="25"/>
                <w:i w:val="1"/>
                <w:iCs w:val="1"/>
                <w:color w:val="auto"/>
                <w:vertAlign w:val="superscript"/>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New Zealand</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5,343</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18 </w:t>
            </w:r>
            <w:r>
              <w:rPr>
                <w:rFonts w:ascii="Arial" w:cs="Arial" w:eastAsia="Arial" w:hAnsi="Arial"/>
                <w:sz w:val="25"/>
                <w:szCs w:val="25"/>
                <w:i w:val="1"/>
                <w:iCs w:val="1"/>
                <w:color w:val="auto"/>
                <w:vertAlign w:val="superscript"/>
              </w:rPr>
              <w:t>%</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4,405</w:t>
            </w:r>
          </w:p>
        </w:tc>
        <w:tc>
          <w:tcPr>
            <w:tcW w:w="4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17"/>
              <w:spacing w:after="0" w:line="216" w:lineRule="exact"/>
              <w:rPr>
                <w:sz w:val="20"/>
                <w:szCs w:val="20"/>
                <w:color w:val="auto"/>
              </w:rPr>
            </w:pPr>
            <w:r>
              <w:rPr>
                <w:rFonts w:ascii="Arial" w:cs="Arial" w:eastAsia="Arial" w:hAnsi="Arial"/>
                <w:sz w:val="13"/>
                <w:szCs w:val="13"/>
                <w:i w:val="1"/>
                <w:iCs w:val="1"/>
                <w:color w:val="auto"/>
              </w:rPr>
              <w:t xml:space="preserve">16 </w:t>
            </w:r>
            <w:r>
              <w:rPr>
                <w:rFonts w:ascii="Arial" w:cs="Arial" w:eastAsia="Arial" w:hAnsi="Arial"/>
                <w:sz w:val="25"/>
                <w:szCs w:val="25"/>
                <w:i w:val="1"/>
                <w:iCs w:val="1"/>
                <w:color w:val="auto"/>
                <w:vertAlign w:val="superscript"/>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920" w:type="dxa"/>
            <w:vAlign w:val="bottom"/>
          </w:tcPr>
          <w:p>
            <w:pPr>
              <w:ind w:left="180"/>
              <w:spacing w:after="0"/>
              <w:rPr>
                <w:sz w:val="20"/>
                <w:szCs w:val="20"/>
                <w:color w:val="auto"/>
              </w:rPr>
            </w:pPr>
            <w:r>
              <w:rPr>
                <w:rFonts w:ascii="Arial" w:cs="Arial" w:eastAsia="Arial" w:hAnsi="Arial"/>
                <w:sz w:val="13"/>
                <w:szCs w:val="13"/>
                <w:b w:val="1"/>
                <w:bCs w:val="1"/>
                <w:color w:val="auto"/>
              </w:rPr>
              <w:t>Total operating income</w:t>
            </w:r>
          </w:p>
        </w:tc>
        <w:tc>
          <w:tcPr>
            <w:tcW w:w="240" w:type="dxa"/>
            <w:vAlign w:val="bottom"/>
          </w:tcPr>
          <w:p>
            <w:pPr>
              <w:spacing w:after="0"/>
              <w:rPr>
                <w:sz w:val="17"/>
                <w:szCs w:val="17"/>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39,321</w:t>
            </w:r>
          </w:p>
        </w:tc>
        <w:tc>
          <w:tcPr>
            <w:tcW w:w="300" w:type="dxa"/>
            <w:vAlign w:val="bottom"/>
          </w:tcPr>
          <w:p>
            <w:pPr>
              <w:spacing w:after="0"/>
              <w:rPr>
                <w:sz w:val="17"/>
                <w:szCs w:val="17"/>
                <w:color w:val="auto"/>
              </w:rPr>
            </w:pPr>
          </w:p>
        </w:tc>
        <w:tc>
          <w:tcPr>
            <w:tcW w:w="940" w:type="dxa"/>
            <w:vAlign w:val="bottom"/>
          </w:tcPr>
          <w:p>
            <w:pPr>
              <w:jc w:val="right"/>
              <w:ind w:right="277"/>
              <w:spacing w:after="0"/>
              <w:rPr>
                <w:sz w:val="20"/>
                <w:szCs w:val="20"/>
                <w:color w:val="auto"/>
              </w:rPr>
            </w:pPr>
            <w:r>
              <w:rPr>
                <w:rFonts w:ascii="Arial" w:cs="Arial" w:eastAsia="Arial" w:hAnsi="Arial"/>
                <w:sz w:val="13"/>
                <w:szCs w:val="13"/>
                <w:i w:val="1"/>
                <w:iCs w:val="1"/>
                <w:color w:val="auto"/>
              </w:rPr>
              <w:t>13 %</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32,970</w:t>
            </w:r>
          </w:p>
        </w:tc>
        <w:tc>
          <w:tcPr>
            <w:tcW w:w="48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Arial" w:cs="Arial" w:eastAsia="Arial" w:hAnsi="Arial"/>
                <w:sz w:val="13"/>
                <w:szCs w:val="13"/>
                <w:i w:val="1"/>
                <w:iCs w:val="1"/>
                <w:color w:val="auto"/>
              </w:rPr>
              <w:t>13 %</w:t>
            </w:r>
          </w:p>
        </w:tc>
        <w:tc>
          <w:tcPr>
            <w:tcW w:w="56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type w:val="continuous"/>
        </w:sectPr>
      </w:pPr>
    </w:p>
    <w:bookmarkStart w:id="56" w:name="page57"/>
    <w:bookmarkEnd w:id="56"/>
    <w:p>
      <w:pPr>
        <w:ind w:right="280"/>
        <w:spacing w:after="0" w:line="282" w:lineRule="auto"/>
        <w:rPr>
          <w:sz w:val="20"/>
          <w:szCs w:val="20"/>
          <w:color w:val="auto"/>
        </w:rPr>
      </w:pPr>
      <w:r>
        <w:rPr>
          <w:rFonts w:ascii="Arial" w:cs="Arial" w:eastAsia="Arial" w:hAnsi="Arial"/>
          <w:sz w:val="18"/>
          <w:szCs w:val="18"/>
          <w:b w:val="1"/>
          <w:bCs w:val="1"/>
          <w:color w:val="auto"/>
        </w:rPr>
        <w:t xml:space="preserve">Cinema Exhibition – </w:t>
      </w:r>
      <w:r>
        <w:rPr>
          <w:rFonts w:ascii="Arial" w:cs="Arial" w:eastAsia="Arial" w:hAnsi="Arial"/>
          <w:sz w:val="18"/>
          <w:szCs w:val="18"/>
          <w:b w:val="1"/>
          <w:bCs w:val="1"/>
          <w:i w:val="1"/>
          <w:iCs w:val="1"/>
          <w:color w:val="auto"/>
        </w:rPr>
        <w:t>The following table details our cinema segment operating results for the quarter ended December 31, 2018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December 31, 2017, respectively</w:t>
      </w:r>
      <w:r>
        <w:rPr>
          <w:rFonts w:ascii="Arial" w:cs="Arial" w:eastAsia="Arial" w:hAnsi="Arial"/>
          <w:sz w:val="18"/>
          <w:szCs w:val="18"/>
          <w:i w:val="1"/>
          <w:iCs w:val="1"/>
          <w:color w:val="auto"/>
        </w:rPr>
        <w:t>.</w:t>
      </w:r>
    </w:p>
    <w:p>
      <w:pPr>
        <w:sectPr>
          <w:pgSz w:w="11900" w:h="16838" w:orient="portrait"/>
          <w:cols w:equalWidth="0" w:num="1">
            <w:col w:w="10120"/>
          </w:cols>
          <w:pgMar w:left="900" w:top="121" w:right="879" w:bottom="0" w:gutter="0" w:footer="0" w:header="0"/>
        </w:sect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3"/>
              </w:rPr>
              <w:t>(Dollars in thousands)</w:t>
            </w:r>
          </w:p>
        </w:tc>
        <w:tc>
          <w:tcPr>
            <w:tcW w:w="2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i w:val="1"/>
                <w:iCs w:val="1"/>
                <w:color w:val="auto"/>
                <w:w w:val="93"/>
              </w:rPr>
              <w:t>% of Revenue</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Admission revenue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24,915</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63 %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12,081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30 %</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Advertising and other revenue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2,818</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7 %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39,814</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gridSpan w:val="2"/>
            <w:vMerge w:val="restart"/>
          </w:tcPr>
          <w:p>
            <w:pPr>
              <w:jc w:val="right"/>
              <w:ind w:right="117"/>
              <w:spacing w:after="0" w:line="240" w:lineRule="exact"/>
              <w:rPr>
                <w:sz w:val="20"/>
                <w:szCs w:val="20"/>
                <w:color w:val="auto"/>
              </w:rPr>
            </w:pPr>
            <w:r>
              <w:rPr>
                <w:rFonts w:ascii="Arial" w:cs="Arial" w:eastAsia="Arial" w:hAnsi="Arial"/>
                <w:sz w:val="13"/>
                <w:szCs w:val="13"/>
                <w:i w:val="1"/>
                <w:iCs w:val="1"/>
                <w:color w:val="auto"/>
              </w:rPr>
              <w:t xml:space="preserve">64 </w:t>
            </w:r>
            <w:r>
              <w:rPr>
                <w:rFonts w:ascii="Arial" w:cs="Arial" w:eastAsia="Arial" w:hAnsi="Arial"/>
                <w:sz w:val="25"/>
                <w:szCs w:val="25"/>
                <w:i w:val="1"/>
                <w:iCs w:val="1"/>
                <w:color w:val="auto"/>
                <w:vertAlign w:val="subscript"/>
              </w:rPr>
              <w:t>%</w:t>
            </w:r>
          </w:p>
        </w:tc>
        <w:tc>
          <w:tcPr>
            <w:tcW w:w="0" w:type="dxa"/>
            <w:vAlign w:val="bottom"/>
          </w:tcPr>
          <w:p>
            <w:pPr>
              <w:spacing w:after="0"/>
              <w:rPr>
                <w:sz w:val="1"/>
                <w:szCs w:val="1"/>
                <w:color w:val="auto"/>
              </w:rPr>
            </w:pPr>
          </w:p>
        </w:tc>
      </w:tr>
      <w:tr>
        <w:trPr>
          <w:trHeight w:val="191"/>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Admission revenue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15,605</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6,853</w:t>
            </w:r>
          </w:p>
        </w:tc>
        <w:tc>
          <w:tcPr>
            <w:tcW w:w="1080" w:type="dxa"/>
            <w:vAlign w:val="bottom"/>
            <w:gridSpan w:val="2"/>
          </w:tcPr>
          <w:p>
            <w:pPr>
              <w:jc w:val="right"/>
              <w:ind w:right="117"/>
              <w:spacing w:after="0" w:line="216" w:lineRule="exact"/>
              <w:rPr>
                <w:sz w:val="20"/>
                <w:szCs w:val="20"/>
                <w:color w:val="auto"/>
              </w:rPr>
            </w:pPr>
            <w:r>
              <w:rPr>
                <w:rFonts w:ascii="Arial" w:cs="Arial" w:eastAsia="Arial" w:hAnsi="Arial"/>
                <w:sz w:val="13"/>
                <w:szCs w:val="13"/>
                <w:i w:val="1"/>
                <w:iCs w:val="1"/>
                <w:color w:val="auto"/>
              </w:rPr>
              <w:t xml:space="preserve">28 </w:t>
            </w:r>
            <w:r>
              <w:rPr>
                <w:rFonts w:ascii="Arial" w:cs="Arial" w:eastAsia="Arial" w:hAnsi="Arial"/>
                <w:sz w:val="25"/>
                <w:szCs w:val="25"/>
                <w:i w:val="1"/>
                <w:iCs w:val="1"/>
                <w:color w:val="auto"/>
                <w:vertAlign w:val="subscript"/>
              </w:rPr>
              <w:t>%</w:t>
            </w: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Advertising and other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2,025</w:t>
            </w:r>
          </w:p>
        </w:tc>
        <w:tc>
          <w:tcPr>
            <w:tcW w:w="1080" w:type="dxa"/>
            <w:vAlign w:val="bottom"/>
            <w:gridSpan w:val="2"/>
          </w:tcPr>
          <w:p>
            <w:pPr>
              <w:jc w:val="right"/>
              <w:ind w:right="117"/>
              <w:spacing w:after="0" w:line="216" w:lineRule="exact"/>
              <w:rPr>
                <w:sz w:val="20"/>
                <w:szCs w:val="20"/>
                <w:color w:val="auto"/>
              </w:rPr>
            </w:pPr>
            <w:r>
              <w:rPr>
                <w:rFonts w:ascii="Arial" w:cs="Arial" w:eastAsia="Arial" w:hAnsi="Arial"/>
                <w:sz w:val="25"/>
                <w:szCs w:val="25"/>
                <w:i w:val="1"/>
                <w:iCs w:val="1"/>
                <w:color w:val="auto"/>
                <w:vertAlign w:val="superscript"/>
              </w:rPr>
              <w:t>8</w:t>
            </w:r>
            <w:r>
              <w:rPr>
                <w:rFonts w:ascii="Arial" w:cs="Arial" w:eastAsia="Arial" w:hAnsi="Arial"/>
                <w:sz w:val="13"/>
                <w:szCs w:val="13"/>
                <w:i w:val="1"/>
                <w:iCs w:val="1"/>
                <w:color w:val="auto"/>
              </w:rPr>
              <w:t xml:space="preserve">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24,483</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gridSpan w:val="2"/>
            <w:vMerge w:val="restart"/>
          </w:tcPr>
          <w:p>
            <w:pPr>
              <w:jc w:val="right"/>
              <w:ind w:right="117"/>
              <w:spacing w:after="0" w:line="240" w:lineRule="exact"/>
              <w:rPr>
                <w:sz w:val="20"/>
                <w:szCs w:val="20"/>
                <w:color w:val="auto"/>
              </w:rPr>
            </w:pPr>
            <w:r>
              <w:rPr>
                <w:rFonts w:ascii="Arial" w:cs="Arial" w:eastAsia="Arial" w:hAnsi="Arial"/>
                <w:sz w:val="13"/>
                <w:szCs w:val="13"/>
                <w:i w:val="1"/>
                <w:iCs w:val="1"/>
                <w:color w:val="auto"/>
              </w:rPr>
              <w:t xml:space="preserve">68 </w:t>
            </w:r>
            <w:r>
              <w:rPr>
                <w:rFonts w:ascii="Arial" w:cs="Arial" w:eastAsia="Arial" w:hAnsi="Arial"/>
                <w:sz w:val="25"/>
                <w:szCs w:val="25"/>
                <w:i w:val="1"/>
                <w:iCs w:val="1"/>
                <w:color w:val="auto"/>
                <w:vertAlign w:val="subscript"/>
              </w:rPr>
              <w:t>%</w:t>
            </w:r>
          </w:p>
        </w:tc>
        <w:tc>
          <w:tcPr>
            <w:tcW w:w="0" w:type="dxa"/>
            <w:vAlign w:val="bottom"/>
          </w:tcPr>
          <w:p>
            <w:pPr>
              <w:spacing w:after="0"/>
              <w:rPr>
                <w:sz w:val="1"/>
                <w:szCs w:val="1"/>
                <w:color w:val="auto"/>
              </w:rPr>
            </w:pPr>
          </w:p>
        </w:tc>
      </w:tr>
      <w:tr>
        <w:trPr>
          <w:trHeight w:val="191"/>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Admission revenue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4,599</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1,891</w:t>
            </w:r>
          </w:p>
        </w:tc>
        <w:tc>
          <w:tcPr>
            <w:tcW w:w="1080" w:type="dxa"/>
            <w:vAlign w:val="bottom"/>
            <w:gridSpan w:val="2"/>
          </w:tcPr>
          <w:p>
            <w:pPr>
              <w:jc w:val="right"/>
              <w:ind w:right="117"/>
              <w:spacing w:after="0" w:line="216" w:lineRule="exact"/>
              <w:rPr>
                <w:sz w:val="20"/>
                <w:szCs w:val="20"/>
                <w:color w:val="auto"/>
              </w:rPr>
            </w:pPr>
            <w:r>
              <w:rPr>
                <w:rFonts w:ascii="Arial" w:cs="Arial" w:eastAsia="Arial" w:hAnsi="Arial"/>
                <w:sz w:val="13"/>
                <w:szCs w:val="13"/>
                <w:i w:val="1"/>
                <w:iCs w:val="1"/>
                <w:color w:val="auto"/>
              </w:rPr>
              <w:t xml:space="preserve">28 </w:t>
            </w:r>
            <w:r>
              <w:rPr>
                <w:rFonts w:ascii="Arial" w:cs="Arial" w:eastAsia="Arial" w:hAnsi="Arial"/>
                <w:sz w:val="25"/>
                <w:szCs w:val="25"/>
                <w:i w:val="1"/>
                <w:iCs w:val="1"/>
                <w:color w:val="auto"/>
                <w:vertAlign w:val="subscript"/>
              </w:rPr>
              <w:t>%</w:t>
            </w: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Advertising and other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w:t>
            </w:r>
          </w:p>
        </w:tc>
        <w:tc>
          <w:tcPr>
            <w:tcW w:w="1080" w:type="dxa"/>
            <w:vAlign w:val="bottom"/>
            <w:gridSpan w:val="2"/>
          </w:tcPr>
          <w:p>
            <w:pPr>
              <w:jc w:val="right"/>
              <w:ind w:right="117"/>
              <w:spacing w:after="0" w:line="216" w:lineRule="exact"/>
              <w:rPr>
                <w:sz w:val="20"/>
                <w:szCs w:val="20"/>
                <w:color w:val="auto"/>
              </w:rPr>
            </w:pPr>
            <w:r>
              <w:rPr>
                <w:rFonts w:ascii="Arial" w:cs="Arial" w:eastAsia="Arial" w:hAnsi="Arial"/>
                <w:sz w:val="25"/>
                <w:szCs w:val="25"/>
                <w:i w:val="1"/>
                <w:iCs w:val="1"/>
                <w:color w:val="auto"/>
                <w:vertAlign w:val="superscript"/>
              </w:rPr>
              <w:t>4</w:t>
            </w:r>
            <w:r>
              <w:rPr>
                <w:rFonts w:ascii="Arial" w:cs="Arial" w:eastAsia="Arial" w:hAnsi="Arial"/>
                <w:sz w:val="13"/>
                <w:szCs w:val="13"/>
                <w:i w:val="1"/>
                <w:iCs w:val="1"/>
                <w:color w:val="auto"/>
              </w:rPr>
              <w:t xml:space="preserve">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6,771</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71,068</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227"/>
        </w:trPr>
        <w:tc>
          <w:tcPr>
            <w:tcW w:w="4160" w:type="dxa"/>
            <w:vAlign w:val="bottom"/>
            <w:gridSpan w:val="3"/>
          </w:tcPr>
          <w:p>
            <w:pPr>
              <w:spacing w:after="0"/>
              <w:rPr>
                <w:sz w:val="20"/>
                <w:szCs w:val="20"/>
                <w:color w:val="auto"/>
              </w:rPr>
            </w:pPr>
            <w:r>
              <w:rPr>
                <w:rFonts w:ascii="Arial" w:cs="Arial" w:eastAsia="Arial" w:hAnsi="Arial"/>
                <w:sz w:val="13"/>
                <w:szCs w:val="13"/>
                <w:b w:val="1"/>
                <w:bCs w:val="1"/>
                <w:color w:val="auto"/>
              </w:rPr>
              <w:t>OPERATING EXPENSE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Film rent and advertising cost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(13,311)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(33)%</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(2,640)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Occupancy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(7,186)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(18)%</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Other operating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(10,876)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(27)%</w:t>
            </w:r>
          </w:p>
        </w:tc>
        <w:tc>
          <w:tcPr>
            <w:tcW w:w="0" w:type="dxa"/>
            <w:vAlign w:val="bottom"/>
          </w:tcPr>
          <w:p>
            <w:pPr>
              <w:spacing w:after="0"/>
              <w:rPr>
                <w:sz w:val="1"/>
                <w:szCs w:val="1"/>
                <w:color w:val="auto"/>
              </w:rPr>
            </w:pPr>
          </w:p>
        </w:tc>
      </w:tr>
      <w:tr>
        <w:trPr>
          <w:trHeight w:val="265"/>
        </w:trPr>
        <w:tc>
          <w:tcPr>
            <w:tcW w:w="12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(34,013)</w:t>
            </w:r>
          </w:p>
        </w:tc>
        <w:tc>
          <w:tcPr>
            <w:tcW w:w="1080" w:type="dxa"/>
            <w:vAlign w:val="bottom"/>
            <w:gridSpan w:val="2"/>
          </w:tcPr>
          <w:p>
            <w:pPr>
              <w:jc w:val="right"/>
              <w:ind w:right="117"/>
              <w:spacing w:after="0" w:line="265" w:lineRule="exact"/>
              <w:rPr>
                <w:sz w:val="20"/>
                <w:szCs w:val="20"/>
                <w:color w:val="auto"/>
              </w:rPr>
            </w:pPr>
            <w:r>
              <w:rPr>
                <w:rFonts w:ascii="Arial" w:cs="Arial" w:eastAsia="Arial" w:hAnsi="Arial"/>
                <w:sz w:val="13"/>
                <w:szCs w:val="13"/>
                <w:i w:val="1"/>
                <w:iCs w:val="1"/>
                <w:color w:val="auto"/>
              </w:rPr>
              <w:t>(85)</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64"/>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Film rent and advertising cost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(7,216)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(1,404)</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Occupancy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(3,779)</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(15)%</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Other operating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(5,909)</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(25)%</w:t>
            </w:r>
          </w:p>
        </w:tc>
        <w:tc>
          <w:tcPr>
            <w:tcW w:w="0" w:type="dxa"/>
            <w:vAlign w:val="bottom"/>
          </w:tcPr>
          <w:p>
            <w:pPr>
              <w:spacing w:after="0"/>
              <w:rPr>
                <w:sz w:val="1"/>
                <w:szCs w:val="1"/>
                <w:color w:val="auto"/>
              </w:rPr>
            </w:pPr>
          </w:p>
        </w:tc>
      </w:tr>
      <w:tr>
        <w:trPr>
          <w:trHeight w:val="265"/>
        </w:trPr>
        <w:tc>
          <w:tcPr>
            <w:tcW w:w="12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(18,308)</w:t>
            </w:r>
          </w:p>
        </w:tc>
        <w:tc>
          <w:tcPr>
            <w:tcW w:w="1080" w:type="dxa"/>
            <w:vAlign w:val="bottom"/>
            <w:gridSpan w:val="2"/>
          </w:tcPr>
          <w:p>
            <w:pPr>
              <w:jc w:val="right"/>
              <w:ind w:right="117"/>
              <w:spacing w:after="0" w:line="265" w:lineRule="exact"/>
              <w:rPr>
                <w:sz w:val="20"/>
                <w:szCs w:val="20"/>
                <w:color w:val="auto"/>
              </w:rPr>
            </w:pPr>
            <w:r>
              <w:rPr>
                <w:rFonts w:ascii="Arial" w:cs="Arial" w:eastAsia="Arial" w:hAnsi="Arial"/>
                <w:sz w:val="13"/>
                <w:szCs w:val="13"/>
                <w:i w:val="1"/>
                <w:iCs w:val="1"/>
                <w:color w:val="auto"/>
              </w:rPr>
              <w:t>(75)</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64"/>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Film rent and advertising cost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(2,157)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(402)</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Occupancy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(1,230)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(18)%</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Other operating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(24)%</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(5,396)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(80)</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25"/>
        </w:trPr>
        <w:tc>
          <w:tcPr>
            <w:tcW w:w="398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16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expense</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(57,717)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(81)%</w:t>
            </w:r>
          </w:p>
        </w:tc>
        <w:tc>
          <w:tcPr>
            <w:tcW w:w="0" w:type="dxa"/>
            <w:vAlign w:val="bottom"/>
          </w:tcPr>
          <w:p>
            <w:pPr>
              <w:spacing w:after="0"/>
              <w:rPr>
                <w:sz w:val="1"/>
                <w:szCs w:val="1"/>
                <w:color w:val="auto"/>
              </w:rPr>
            </w:pPr>
          </w:p>
        </w:tc>
      </w:tr>
      <w:tr>
        <w:trPr>
          <w:trHeight w:val="227"/>
        </w:trPr>
        <w:tc>
          <w:tcPr>
            <w:tcW w:w="5460" w:type="dxa"/>
            <w:vAlign w:val="bottom"/>
            <w:gridSpan w:val="5"/>
          </w:tcPr>
          <w:p>
            <w:pPr>
              <w:spacing w:after="0"/>
              <w:rPr>
                <w:sz w:val="20"/>
                <w:szCs w:val="20"/>
                <w:color w:val="auto"/>
              </w:rPr>
            </w:pPr>
            <w:r>
              <w:rPr>
                <w:rFonts w:ascii="Arial" w:cs="Arial" w:eastAsia="Arial" w:hAnsi="Arial"/>
                <w:sz w:val="13"/>
                <w:szCs w:val="13"/>
                <w:b w:val="1"/>
                <w:bCs w:val="1"/>
                <w:color w:val="auto"/>
              </w:rPr>
              <w:t>DEPRECIATION, AMORTIZATION, GENERAL AND ADMINISTRATIVE EXPENSE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(2,569)</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(7)%</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General and administrative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(3,126)</w:t>
            </w:r>
          </w:p>
        </w:tc>
        <w:tc>
          <w:tcPr>
            <w:tcW w:w="1080" w:type="dxa"/>
            <w:vAlign w:val="bottom"/>
            <w:gridSpan w:val="2"/>
            <w:vMerge w:val="restart"/>
          </w:tcPr>
          <w:p>
            <w:pPr>
              <w:jc w:val="right"/>
              <w:ind w:right="117"/>
              <w:spacing w:after="0"/>
              <w:rPr>
                <w:sz w:val="20"/>
                <w:szCs w:val="20"/>
                <w:color w:val="auto"/>
              </w:rPr>
            </w:pPr>
            <w:r>
              <w:rPr>
                <w:rFonts w:ascii="Arial" w:cs="Arial" w:eastAsia="Arial" w:hAnsi="Arial"/>
                <w:sz w:val="13"/>
                <w:szCs w:val="13"/>
                <w:i w:val="1"/>
                <w:iCs w:val="1"/>
                <w:color w:val="auto"/>
              </w:rPr>
              <w:t>(8)%</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(1,191)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(5)%</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General and administrative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w:t>
            </w:r>
          </w:p>
        </w:tc>
        <w:tc>
          <w:tcPr>
            <w:tcW w:w="0" w:type="dxa"/>
            <w:vAlign w:val="bottom"/>
          </w:tcPr>
          <w:p>
            <w:pPr>
              <w:spacing w:after="0"/>
              <w:rPr>
                <w:sz w:val="1"/>
                <w:szCs w:val="1"/>
                <w:color w:val="auto"/>
              </w:rPr>
            </w:pPr>
          </w:p>
        </w:tc>
      </w:tr>
      <w:tr>
        <w:trPr>
          <w:trHeight w:val="265"/>
        </w:trPr>
        <w:tc>
          <w:tcPr>
            <w:tcW w:w="12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(1,522)</w:t>
            </w:r>
          </w:p>
        </w:tc>
        <w:tc>
          <w:tcPr>
            <w:tcW w:w="1080" w:type="dxa"/>
            <w:vAlign w:val="bottom"/>
            <w:gridSpan w:val="2"/>
          </w:tcPr>
          <w:p>
            <w:pPr>
              <w:jc w:val="right"/>
              <w:ind w:right="117"/>
              <w:spacing w:after="0" w:line="265" w:lineRule="exact"/>
              <w:rPr>
                <w:sz w:val="20"/>
                <w:szCs w:val="20"/>
                <w:color w:val="auto"/>
              </w:rPr>
            </w:pPr>
            <w:r>
              <w:rPr>
                <w:rFonts w:ascii="Arial" w:cs="Arial" w:eastAsia="Arial" w:hAnsi="Arial"/>
                <w:sz w:val="13"/>
                <w:szCs w:val="13"/>
                <w:i w:val="1"/>
                <w:iCs w:val="1"/>
                <w:color w:val="auto"/>
              </w:rPr>
              <w:t>(6)</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64"/>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(356)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(5)%</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General and administrative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17"/>
                <w:szCs w:val="17"/>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(365)</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(5)</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-5721985</wp:posOffset>
            </wp:positionV>
            <wp:extent cx="642302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-5172710</wp:posOffset>
            </wp:positionV>
            <wp:extent cx="642302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-4624070</wp:posOffset>
            </wp:positionV>
            <wp:extent cx="642302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-3783965</wp:posOffset>
            </wp:positionV>
            <wp:extent cx="642302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-3509010</wp:posOffset>
            </wp:positionV>
            <wp:extent cx="642302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-2960370</wp:posOffset>
            </wp:positionV>
            <wp:extent cx="642302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-2686050</wp:posOffset>
            </wp:positionV>
            <wp:extent cx="642302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-2411730</wp:posOffset>
            </wp:positionV>
            <wp:extent cx="642302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-2137410</wp:posOffset>
            </wp:positionV>
            <wp:extent cx="642302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-1296670</wp:posOffset>
            </wp:positionV>
            <wp:extent cx="642302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-748030</wp:posOffset>
            </wp:positionV>
            <wp:extent cx="642302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-473710</wp:posOffset>
            </wp:positionV>
            <wp:extent cx="642302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-198755</wp:posOffset>
            </wp:positionV>
            <wp:extent cx="642302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-1022350</wp:posOffset>
            </wp:positionV>
            <wp:extent cx="642302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-1588135</wp:posOffset>
            </wp:positionV>
            <wp:extent cx="642302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23025"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-1862455</wp:posOffset>
            </wp:positionV>
            <wp:extent cx="642302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-3234690</wp:posOffset>
            </wp:positionV>
            <wp:extent cx="64230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-4075430</wp:posOffset>
            </wp:positionV>
            <wp:extent cx="642302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23025"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-4349750</wp:posOffset>
            </wp:positionV>
            <wp:extent cx="642302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-4898390</wp:posOffset>
            </wp:positionV>
            <wp:extent cx="642302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-5447665</wp:posOffset>
            </wp:positionV>
            <wp:extent cx="642302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-6013450</wp:posOffset>
            </wp:positionV>
            <wp:extent cx="642302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2017</w:t>
      </w:r>
    </w:p>
    <w:p>
      <w:pPr>
        <w:spacing w:after="0" w:line="314"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23,916</w:t>
      </w:r>
    </w:p>
    <w:p>
      <w:pPr>
        <w:spacing w:after="0" w:line="89"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1"/>
          <w:szCs w:val="11"/>
          <w:color w:val="auto"/>
        </w:rPr>
        <w:t>10,852</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1"/>
          <w:szCs w:val="11"/>
          <w:color w:val="auto"/>
        </w:rPr>
        <w:t>2,452</w:t>
      </w:r>
    </w:p>
    <w:p>
      <w:pPr>
        <w:ind w:left="680" w:hanging="672"/>
        <w:spacing w:after="0" w:line="181" w:lineRule="auto"/>
        <w:tabs>
          <w:tab w:leader="none" w:pos="680" w:val="left"/>
        </w:tabs>
        <w:numPr>
          <w:ilvl w:val="0"/>
          <w:numId w:val="38"/>
        </w:numPr>
        <w:rPr>
          <w:rFonts w:ascii="Arial" w:cs="Arial" w:eastAsia="Arial" w:hAnsi="Arial"/>
          <w:sz w:val="21"/>
          <w:szCs w:val="21"/>
          <w:b w:val="1"/>
          <w:bCs w:val="1"/>
          <w:color w:val="auto"/>
          <w:vertAlign w:val="subscript"/>
        </w:rPr>
      </w:pPr>
      <w:r>
        <w:rPr>
          <w:rFonts w:ascii="Arial" w:cs="Arial" w:eastAsia="Arial" w:hAnsi="Arial"/>
          <w:sz w:val="11"/>
          <w:szCs w:val="11"/>
          <w:b w:val="1"/>
          <w:bCs w:val="1"/>
          <w:color w:val="auto"/>
        </w:rPr>
        <w:t>37,220</w:t>
      </w:r>
    </w:p>
    <w:p>
      <w:pPr>
        <w:spacing w:after="0" w:line="124" w:lineRule="exact"/>
        <w:rPr>
          <w:sz w:val="20"/>
          <w:szCs w:val="20"/>
          <w:color w:val="auto"/>
        </w:rPr>
      </w:pPr>
    </w:p>
    <w:p>
      <w:pPr>
        <w:ind w:left="680" w:hanging="672"/>
        <w:spacing w:after="0"/>
        <w:tabs>
          <w:tab w:leader="none" w:pos="6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14,475</w:t>
      </w:r>
    </w:p>
    <w:p>
      <w:pPr>
        <w:spacing w:after="0" w:line="89" w:lineRule="exact"/>
        <w:rPr>
          <w:rFonts w:ascii="Arial" w:cs="Arial" w:eastAsia="Arial" w:hAnsi="Arial"/>
          <w:sz w:val="11"/>
          <w:szCs w:val="11"/>
          <w:color w:val="auto"/>
        </w:rPr>
      </w:pPr>
    </w:p>
    <w:p>
      <w:pPr>
        <w:ind w:left="740"/>
        <w:spacing w:after="0"/>
        <w:rPr>
          <w:rFonts w:ascii="Arial" w:cs="Arial" w:eastAsia="Arial" w:hAnsi="Arial"/>
          <w:sz w:val="11"/>
          <w:szCs w:val="11"/>
          <w:color w:val="auto"/>
        </w:rPr>
      </w:pPr>
      <w:r>
        <w:rPr>
          <w:rFonts w:ascii="Arial" w:cs="Arial" w:eastAsia="Arial" w:hAnsi="Arial"/>
          <w:sz w:val="11"/>
          <w:szCs w:val="11"/>
          <w:color w:val="auto"/>
        </w:rPr>
        <w:t>6,957</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1"/>
          <w:szCs w:val="11"/>
          <w:color w:val="auto"/>
        </w:rPr>
        <w:t>1,890</w:t>
      </w:r>
    </w:p>
    <w:p>
      <w:pPr>
        <w:ind w:left="680" w:hanging="672"/>
        <w:spacing w:after="0" w:line="181" w:lineRule="auto"/>
        <w:tabs>
          <w:tab w:leader="none" w:pos="680" w:val="left"/>
        </w:tabs>
        <w:numPr>
          <w:ilvl w:val="0"/>
          <w:numId w:val="40"/>
        </w:numPr>
        <w:rPr>
          <w:rFonts w:ascii="Arial" w:cs="Arial" w:eastAsia="Arial" w:hAnsi="Arial"/>
          <w:sz w:val="21"/>
          <w:szCs w:val="21"/>
          <w:b w:val="1"/>
          <w:bCs w:val="1"/>
          <w:color w:val="auto"/>
          <w:vertAlign w:val="subscript"/>
        </w:rPr>
      </w:pPr>
      <w:r>
        <w:rPr>
          <w:rFonts w:ascii="Arial" w:cs="Arial" w:eastAsia="Arial" w:hAnsi="Arial"/>
          <w:sz w:val="11"/>
          <w:szCs w:val="11"/>
          <w:b w:val="1"/>
          <w:bCs w:val="1"/>
          <w:color w:val="auto"/>
        </w:rPr>
        <w:t>23,322</w:t>
      </w:r>
    </w:p>
    <w:p>
      <w:pPr>
        <w:spacing w:after="0" w:line="124" w:lineRule="exact"/>
        <w:rPr>
          <w:sz w:val="20"/>
          <w:szCs w:val="20"/>
          <w:color w:val="auto"/>
        </w:rPr>
      </w:pPr>
    </w:p>
    <w:p>
      <w:pPr>
        <w:ind w:left="740" w:hanging="732"/>
        <w:spacing w:after="0"/>
        <w:tabs>
          <w:tab w:leader="none" w:pos="7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4,331</w:t>
      </w:r>
    </w:p>
    <w:p>
      <w:pPr>
        <w:spacing w:after="0" w:line="89" w:lineRule="exact"/>
        <w:rPr>
          <w:rFonts w:ascii="Arial" w:cs="Arial" w:eastAsia="Arial" w:hAnsi="Arial"/>
          <w:sz w:val="11"/>
          <w:szCs w:val="11"/>
          <w:color w:val="auto"/>
        </w:rPr>
      </w:pPr>
    </w:p>
    <w:p>
      <w:pPr>
        <w:ind w:left="740"/>
        <w:spacing w:after="0"/>
        <w:rPr>
          <w:rFonts w:ascii="Arial" w:cs="Arial" w:eastAsia="Arial" w:hAnsi="Arial"/>
          <w:sz w:val="11"/>
          <w:szCs w:val="11"/>
          <w:color w:val="auto"/>
        </w:rPr>
      </w:pPr>
      <w:r>
        <w:rPr>
          <w:rFonts w:ascii="Arial" w:cs="Arial" w:eastAsia="Arial" w:hAnsi="Arial"/>
          <w:sz w:val="11"/>
          <w:szCs w:val="11"/>
          <w:color w:val="auto"/>
        </w:rPr>
        <w:t>2,012</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3"/>
          <w:szCs w:val="13"/>
          <w:color w:val="auto"/>
        </w:rPr>
        <w:t>516</w:t>
      </w:r>
    </w:p>
    <w:p>
      <w:pPr>
        <w:ind w:left="740" w:hanging="732"/>
        <w:spacing w:after="0" w:line="184" w:lineRule="auto"/>
        <w:tabs>
          <w:tab w:leader="none" w:pos="740" w:val="left"/>
        </w:tabs>
        <w:numPr>
          <w:ilvl w:val="0"/>
          <w:numId w:val="42"/>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6,859</w:t>
      </w:r>
    </w:p>
    <w:p>
      <w:pPr>
        <w:spacing w:after="0" w:line="336"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1"/>
          <w:szCs w:val="11"/>
          <w:b w:val="1"/>
          <w:bCs w:val="1"/>
          <w:color w:val="auto"/>
        </w:rPr>
      </w:pPr>
      <w:r>
        <w:rPr>
          <w:rFonts w:ascii="Arial" w:cs="Arial" w:eastAsia="Arial" w:hAnsi="Arial"/>
          <w:sz w:val="11"/>
          <w:szCs w:val="11"/>
          <w:b w:val="1"/>
          <w:bCs w:val="1"/>
          <w:color w:val="auto"/>
        </w:rPr>
        <w:t>67,401</w:t>
      </w:r>
    </w:p>
    <w:p>
      <w:pPr>
        <w:spacing w:after="0" w:line="337" w:lineRule="exact"/>
        <w:rPr>
          <w:sz w:val="20"/>
          <w:szCs w:val="20"/>
          <w:color w:val="auto"/>
        </w:rPr>
      </w:pPr>
    </w:p>
    <w:p>
      <w:pPr>
        <w:ind w:left="620" w:hanging="612"/>
        <w:spacing w:after="0"/>
        <w:tabs>
          <w:tab w:leader="none" w:pos="6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(12,882)</w:t>
      </w:r>
    </w:p>
    <w:p>
      <w:pPr>
        <w:spacing w:after="0" w:line="89"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1"/>
          <w:szCs w:val="11"/>
          <w:color w:val="auto"/>
        </w:rPr>
        <w:t>(2,181)</w:t>
      </w:r>
    </w:p>
    <w:p>
      <w:pPr>
        <w:spacing w:after="0" w:line="89"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1"/>
          <w:szCs w:val="11"/>
          <w:color w:val="auto"/>
        </w:rPr>
        <w:t>(8,150)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(9,322)</w:t>
      </w:r>
    </w:p>
    <w:p>
      <w:pPr>
        <w:ind w:left="620" w:hanging="612"/>
        <w:spacing w:after="0" w:line="184" w:lineRule="auto"/>
        <w:tabs>
          <w:tab w:leader="none" w:pos="620" w:val="left"/>
        </w:tabs>
        <w:numPr>
          <w:ilvl w:val="0"/>
          <w:numId w:val="45"/>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(32,535)</w:t>
      </w:r>
    </w:p>
    <w:p>
      <w:pPr>
        <w:spacing w:after="0" w:line="124"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(7,010)</w:t>
      </w:r>
    </w:p>
    <w:p>
      <w:pPr>
        <w:spacing w:after="0" w:line="89"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1"/>
          <w:szCs w:val="11"/>
          <w:color w:val="auto"/>
        </w:rPr>
        <w:t>(1,345)</w:t>
      </w:r>
    </w:p>
    <w:p>
      <w:pPr>
        <w:spacing w:after="0" w:line="89"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1"/>
          <w:szCs w:val="11"/>
          <w:color w:val="auto"/>
        </w:rPr>
        <w:t>(3,773)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604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ind w:left="620" w:hanging="612"/>
        <w:spacing w:after="0" w:line="184" w:lineRule="auto"/>
        <w:tabs>
          <w:tab w:leader="none" w:pos="620" w:val="left"/>
        </w:tabs>
        <w:numPr>
          <w:ilvl w:val="0"/>
          <w:numId w:val="47"/>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(17,435)</w:t>
      </w:r>
    </w:p>
    <w:p>
      <w:pPr>
        <w:spacing w:after="0" w:line="124"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(2,082)</w:t>
      </w:r>
    </w:p>
    <w:p>
      <w:pPr>
        <w:spacing w:after="0" w:line="89" w:lineRule="exact"/>
        <w:rPr>
          <w:rFonts w:ascii="Arial" w:cs="Arial" w:eastAsia="Arial" w:hAnsi="Arial"/>
          <w:sz w:val="11"/>
          <w:szCs w:val="11"/>
          <w:color w:val="auto"/>
        </w:rPr>
      </w:pPr>
    </w:p>
    <w:p>
      <w:pPr>
        <w:ind w:left="780"/>
        <w:spacing w:after="0"/>
        <w:rPr>
          <w:rFonts w:ascii="Arial" w:cs="Arial" w:eastAsia="Arial" w:hAnsi="Arial"/>
          <w:sz w:val="11"/>
          <w:szCs w:val="11"/>
          <w:color w:val="auto"/>
        </w:rPr>
      </w:pPr>
      <w:r>
        <w:rPr>
          <w:rFonts w:ascii="Arial" w:cs="Arial" w:eastAsia="Arial" w:hAnsi="Arial"/>
          <w:sz w:val="11"/>
          <w:szCs w:val="11"/>
          <w:color w:val="auto"/>
        </w:rPr>
        <w:t>(442)</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(1,781)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(1,658)</w:t>
      </w:r>
    </w:p>
    <w:p>
      <w:pPr>
        <w:ind w:left="680" w:hanging="672"/>
        <w:spacing w:after="0" w:line="184" w:lineRule="auto"/>
        <w:tabs>
          <w:tab w:leader="none" w:pos="680" w:val="left"/>
        </w:tabs>
        <w:numPr>
          <w:ilvl w:val="0"/>
          <w:numId w:val="49"/>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(5,963)</w:t>
      </w:r>
    </w:p>
    <w:p>
      <w:pPr>
        <w:spacing w:after="0" w:line="336" w:lineRule="exact"/>
        <w:rPr>
          <w:sz w:val="20"/>
          <w:szCs w:val="20"/>
          <w:color w:val="auto"/>
        </w:rPr>
      </w:pPr>
    </w:p>
    <w:p>
      <w:pPr>
        <w:ind w:left="620" w:hanging="612"/>
        <w:spacing w:after="0"/>
        <w:tabs>
          <w:tab w:leader="none" w:pos="620" w:val="left"/>
        </w:tabs>
        <w:numPr>
          <w:ilvl w:val="0"/>
          <w:numId w:val="50"/>
        </w:numPr>
        <w:rPr>
          <w:rFonts w:ascii="Arial" w:cs="Arial" w:eastAsia="Arial" w:hAnsi="Arial"/>
          <w:sz w:val="11"/>
          <w:szCs w:val="11"/>
          <w:b w:val="1"/>
          <w:bCs w:val="1"/>
          <w:color w:val="auto"/>
        </w:rPr>
      </w:pPr>
      <w:r>
        <w:rPr>
          <w:rFonts w:ascii="Arial" w:cs="Arial" w:eastAsia="Arial" w:hAnsi="Arial"/>
          <w:sz w:val="11"/>
          <w:szCs w:val="11"/>
          <w:b w:val="1"/>
          <w:bCs w:val="1"/>
          <w:color w:val="auto"/>
        </w:rPr>
        <w:t>(55,933)</w:t>
      </w:r>
    </w:p>
    <w:p>
      <w:pPr>
        <w:spacing w:after="0" w:line="337" w:lineRule="exact"/>
        <w:rPr>
          <w:sz w:val="20"/>
          <w:szCs w:val="20"/>
          <w:color w:val="auto"/>
        </w:rPr>
      </w:pPr>
    </w:p>
    <w:p>
      <w:pPr>
        <w:ind w:left="680" w:hanging="672"/>
        <w:spacing w:after="0"/>
        <w:tabs>
          <w:tab w:leader="none" w:pos="6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(1,831)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(437)</w:t>
      </w:r>
    </w:p>
    <w:p>
      <w:pPr>
        <w:ind w:left="680" w:hanging="672"/>
        <w:spacing w:after="0" w:line="184" w:lineRule="auto"/>
        <w:tabs>
          <w:tab w:leader="none" w:pos="680" w:val="left"/>
        </w:tabs>
        <w:numPr>
          <w:ilvl w:val="0"/>
          <w:numId w:val="52"/>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(2,268)</w:t>
      </w:r>
    </w:p>
    <w:p>
      <w:pPr>
        <w:spacing w:after="0" w:line="124" w:lineRule="exact"/>
        <w:rPr>
          <w:sz w:val="20"/>
          <w:szCs w:val="20"/>
          <w:color w:val="auto"/>
        </w:rPr>
      </w:pPr>
    </w:p>
    <w:p>
      <w:pPr>
        <w:ind w:left="680" w:hanging="672"/>
        <w:spacing w:after="0"/>
        <w:tabs>
          <w:tab w:leader="none" w:pos="6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(1,073)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604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ind w:left="680" w:hanging="672"/>
        <w:spacing w:after="0" w:line="184" w:lineRule="auto"/>
        <w:tabs>
          <w:tab w:leader="none" w:pos="680" w:val="left"/>
        </w:tabs>
        <w:numPr>
          <w:ilvl w:val="0"/>
          <w:numId w:val="54"/>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(1,341)</w:t>
      </w:r>
    </w:p>
    <w:p>
      <w:pPr>
        <w:spacing w:after="0" w:line="124" w:lineRule="exact"/>
        <w:rPr>
          <w:sz w:val="20"/>
          <w:szCs w:val="20"/>
          <w:color w:val="auto"/>
        </w:rPr>
      </w:pPr>
    </w:p>
    <w:p>
      <w:pPr>
        <w:ind w:left="780" w:hanging="772"/>
        <w:spacing w:after="0"/>
        <w:tabs>
          <w:tab w:leader="none" w:pos="7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(441)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(29)</w:t>
      </w:r>
    </w:p>
    <w:p>
      <w:pPr>
        <w:ind w:left="780" w:hanging="772"/>
        <w:spacing w:after="0" w:line="184" w:lineRule="auto"/>
        <w:tabs>
          <w:tab w:leader="none" w:pos="780" w:val="left"/>
        </w:tabs>
        <w:numPr>
          <w:ilvl w:val="0"/>
          <w:numId w:val="56"/>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(470)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2018 vs. 2017</w:t>
            </w:r>
          </w:p>
        </w:tc>
      </w:tr>
      <w:tr>
        <w:trPr>
          <w:trHeight w:val="135"/>
        </w:trPr>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Favorable /</w:t>
            </w:r>
          </w:p>
        </w:tc>
      </w:tr>
      <w:tr>
        <w:trPr>
          <w:trHeight w:val="160"/>
        </w:trPr>
        <w:tc>
          <w:tcPr>
            <w:tcW w:w="1360" w:type="dxa"/>
            <w:vAlign w:val="bottom"/>
            <w:gridSpan w:val="2"/>
          </w:tcPr>
          <w:p>
            <w:pPr>
              <w:ind w:left="260"/>
              <w:spacing w:after="0"/>
              <w:rPr>
                <w:sz w:val="20"/>
                <w:szCs w:val="20"/>
                <w:color w:val="auto"/>
              </w:rPr>
            </w:pPr>
            <w:r>
              <w:rPr>
                <w:rFonts w:ascii="Arial" w:cs="Arial" w:eastAsia="Arial" w:hAnsi="Arial"/>
                <w:sz w:val="13"/>
                <w:szCs w:val="13"/>
                <w:i w:val="1"/>
                <w:iCs w:val="1"/>
                <w:color w:val="auto"/>
              </w:rPr>
              <w:t>% of Revenue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r>
      <w:tr>
        <w:trPr>
          <w:trHeight w:val="443"/>
        </w:trPr>
        <w:tc>
          <w:tcPr>
            <w:tcW w:w="12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64 %</w:t>
            </w:r>
          </w:p>
        </w:tc>
        <w:tc>
          <w:tcPr>
            <w:tcW w:w="16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4 %</w:t>
            </w:r>
          </w:p>
        </w:tc>
      </w:tr>
      <w:tr>
        <w:trPr>
          <w:trHeight w:val="216"/>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29 %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191"/>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15 %</w:t>
            </w:r>
          </w:p>
        </w:tc>
      </w:tr>
      <w:tr>
        <w:trPr>
          <w:trHeight w:val="216"/>
        </w:trPr>
        <w:tc>
          <w:tcPr>
            <w:tcW w:w="1200" w:type="dxa"/>
            <w:vAlign w:val="bottom"/>
          </w:tcPr>
          <w:p>
            <w:pPr>
              <w:jc w:val="right"/>
              <w:ind w:right="77"/>
              <w:spacing w:after="0" w:line="216" w:lineRule="exact"/>
              <w:rPr>
                <w:sz w:val="20"/>
                <w:szCs w:val="20"/>
                <w:color w:val="auto"/>
              </w:rPr>
            </w:pPr>
            <w:r>
              <w:rPr>
                <w:rFonts w:ascii="Arial" w:cs="Arial" w:eastAsia="Arial" w:hAnsi="Arial"/>
                <w:sz w:val="13"/>
                <w:szCs w:val="13"/>
                <w:i w:val="1"/>
                <w:iCs w:val="1"/>
                <w:color w:val="auto"/>
              </w:rPr>
              <w:t xml:space="preserve">100 </w:t>
            </w:r>
            <w:r>
              <w:rPr>
                <w:rFonts w:ascii="Arial" w:cs="Arial" w:eastAsia="Arial" w:hAnsi="Arial"/>
                <w:sz w:val="25"/>
                <w:szCs w:val="25"/>
                <w:i w:val="1"/>
                <w:iCs w:val="1"/>
                <w:color w:val="auto"/>
                <w:vertAlign w:val="superscript"/>
              </w:rPr>
              <w:t>%</w:t>
            </w:r>
          </w:p>
        </w:tc>
        <w:tc>
          <w:tcPr>
            <w:tcW w:w="16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13"/>
                <w:szCs w:val="13"/>
                <w:color w:val="auto"/>
              </w:rPr>
              <w:t xml:space="preserve">7 </w:t>
            </w:r>
            <w:r>
              <w:rPr>
                <w:rFonts w:ascii="Arial" w:cs="Arial" w:eastAsia="Arial" w:hAnsi="Arial"/>
                <w:sz w:val="25"/>
                <w:szCs w:val="25"/>
                <w:color w:val="auto"/>
                <w:vertAlign w:val="subscript"/>
              </w:rPr>
              <w:t>%</w:t>
            </w:r>
          </w:p>
        </w:tc>
      </w:tr>
      <w:tr>
        <w:trPr>
          <w:trHeight w:val="216"/>
        </w:trPr>
        <w:tc>
          <w:tcPr>
            <w:tcW w:w="1200" w:type="dxa"/>
            <w:vAlign w:val="bottom"/>
          </w:tcPr>
          <w:p>
            <w:pPr>
              <w:jc w:val="right"/>
              <w:ind w:right="77"/>
              <w:spacing w:after="0" w:line="216" w:lineRule="exact"/>
              <w:rPr>
                <w:sz w:val="20"/>
                <w:szCs w:val="20"/>
                <w:color w:val="auto"/>
              </w:rPr>
            </w:pPr>
            <w:r>
              <w:rPr>
                <w:rFonts w:ascii="Arial" w:cs="Arial" w:eastAsia="Arial" w:hAnsi="Arial"/>
                <w:sz w:val="13"/>
                <w:szCs w:val="13"/>
                <w:i w:val="1"/>
                <w:iCs w:val="1"/>
                <w:color w:val="auto"/>
              </w:rPr>
              <w:t xml:space="preserve">62 </w:t>
            </w:r>
            <w:r>
              <w:rPr>
                <w:rFonts w:ascii="Arial" w:cs="Arial" w:eastAsia="Arial" w:hAnsi="Arial"/>
                <w:sz w:val="25"/>
                <w:szCs w:val="25"/>
                <w:i w:val="1"/>
                <w:iCs w:val="1"/>
                <w:color w:val="auto"/>
                <w:vertAlign w:val="subscript"/>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8 %</w:t>
            </w:r>
          </w:p>
        </w:tc>
      </w:tr>
      <w:tr>
        <w:trPr>
          <w:trHeight w:val="216"/>
        </w:trPr>
        <w:tc>
          <w:tcPr>
            <w:tcW w:w="1200" w:type="dxa"/>
            <w:vAlign w:val="bottom"/>
          </w:tcPr>
          <w:p>
            <w:pPr>
              <w:jc w:val="right"/>
              <w:ind w:right="77"/>
              <w:spacing w:after="0" w:line="216" w:lineRule="exact"/>
              <w:rPr>
                <w:sz w:val="20"/>
                <w:szCs w:val="20"/>
                <w:color w:val="auto"/>
              </w:rPr>
            </w:pPr>
            <w:r>
              <w:rPr>
                <w:rFonts w:ascii="Arial" w:cs="Arial" w:eastAsia="Arial" w:hAnsi="Arial"/>
                <w:sz w:val="13"/>
                <w:szCs w:val="13"/>
                <w:i w:val="1"/>
                <w:iCs w:val="1"/>
                <w:color w:val="auto"/>
              </w:rPr>
              <w:t xml:space="preserve">30 </w:t>
            </w:r>
            <w:r>
              <w:rPr>
                <w:rFonts w:ascii="Arial" w:cs="Arial" w:eastAsia="Arial" w:hAnsi="Arial"/>
                <w:sz w:val="25"/>
                <w:szCs w:val="25"/>
                <w:i w:val="1"/>
                <w:iCs w:val="1"/>
                <w:color w:val="auto"/>
                <w:vertAlign w:val="subscript"/>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216"/>
        </w:trPr>
        <w:tc>
          <w:tcPr>
            <w:tcW w:w="1200" w:type="dxa"/>
            <w:vAlign w:val="bottom"/>
          </w:tcPr>
          <w:p>
            <w:pPr>
              <w:jc w:val="right"/>
              <w:ind w:right="77"/>
              <w:spacing w:after="0" w:line="216" w:lineRule="exact"/>
              <w:rPr>
                <w:sz w:val="20"/>
                <w:szCs w:val="20"/>
                <w:color w:val="auto"/>
              </w:rPr>
            </w:pPr>
            <w:r>
              <w:rPr>
                <w:rFonts w:ascii="Arial" w:cs="Arial" w:eastAsia="Arial" w:hAnsi="Arial"/>
                <w:sz w:val="25"/>
                <w:szCs w:val="25"/>
                <w:i w:val="1"/>
                <w:iCs w:val="1"/>
                <w:color w:val="auto"/>
                <w:vertAlign w:val="superscript"/>
              </w:rPr>
              <w:t>8</w:t>
            </w:r>
            <w:r>
              <w:rPr>
                <w:rFonts w:ascii="Arial" w:cs="Arial" w:eastAsia="Arial" w:hAnsi="Arial"/>
                <w:sz w:val="13"/>
                <w:szCs w:val="13"/>
                <w:i w:val="1"/>
                <w:iCs w:val="1"/>
                <w:color w:val="auto"/>
              </w:rPr>
              <w:t xml:space="preserve">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216"/>
        </w:trPr>
        <w:tc>
          <w:tcPr>
            <w:tcW w:w="1200" w:type="dxa"/>
            <w:vAlign w:val="bottom"/>
          </w:tcPr>
          <w:p>
            <w:pPr>
              <w:jc w:val="right"/>
              <w:ind w:right="77"/>
              <w:spacing w:after="0" w:line="216" w:lineRule="exact"/>
              <w:rPr>
                <w:sz w:val="20"/>
                <w:szCs w:val="20"/>
                <w:color w:val="auto"/>
              </w:rPr>
            </w:pPr>
            <w:r>
              <w:rPr>
                <w:rFonts w:ascii="Arial" w:cs="Arial" w:eastAsia="Arial" w:hAnsi="Arial"/>
                <w:sz w:val="13"/>
                <w:szCs w:val="13"/>
                <w:i w:val="1"/>
                <w:iCs w:val="1"/>
                <w:color w:val="auto"/>
              </w:rPr>
              <w:t xml:space="preserve">100 </w:t>
            </w:r>
            <w:r>
              <w:rPr>
                <w:rFonts w:ascii="Arial" w:cs="Arial" w:eastAsia="Arial" w:hAnsi="Arial"/>
                <w:sz w:val="25"/>
                <w:szCs w:val="25"/>
                <w:i w:val="1"/>
                <w:iCs w:val="1"/>
                <w:color w:val="auto"/>
                <w:vertAlign w:val="superscript"/>
              </w:rPr>
              <w:t>%</w:t>
            </w:r>
          </w:p>
        </w:tc>
        <w:tc>
          <w:tcPr>
            <w:tcW w:w="16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13"/>
                <w:szCs w:val="13"/>
                <w:color w:val="auto"/>
              </w:rPr>
              <w:t xml:space="preserve">5 </w:t>
            </w:r>
            <w:r>
              <w:rPr>
                <w:rFonts w:ascii="Arial" w:cs="Arial" w:eastAsia="Arial" w:hAnsi="Arial"/>
                <w:sz w:val="25"/>
                <w:szCs w:val="25"/>
                <w:color w:val="auto"/>
                <w:vertAlign w:val="subscript"/>
              </w:rPr>
              <w:t>%</w:t>
            </w:r>
          </w:p>
        </w:tc>
      </w:tr>
      <w:tr>
        <w:trPr>
          <w:trHeight w:val="216"/>
        </w:trPr>
        <w:tc>
          <w:tcPr>
            <w:tcW w:w="1200" w:type="dxa"/>
            <w:vAlign w:val="bottom"/>
          </w:tcPr>
          <w:p>
            <w:pPr>
              <w:jc w:val="right"/>
              <w:ind w:right="77"/>
              <w:spacing w:after="0" w:line="216" w:lineRule="exact"/>
              <w:rPr>
                <w:sz w:val="20"/>
                <w:szCs w:val="20"/>
                <w:color w:val="auto"/>
              </w:rPr>
            </w:pPr>
            <w:r>
              <w:rPr>
                <w:rFonts w:ascii="Arial" w:cs="Arial" w:eastAsia="Arial" w:hAnsi="Arial"/>
                <w:sz w:val="13"/>
                <w:szCs w:val="13"/>
                <w:i w:val="1"/>
                <w:iCs w:val="1"/>
                <w:color w:val="auto"/>
              </w:rPr>
              <w:t xml:space="preserve">63 </w:t>
            </w:r>
            <w:r>
              <w:rPr>
                <w:rFonts w:ascii="Arial" w:cs="Arial" w:eastAsia="Arial" w:hAnsi="Arial"/>
                <w:sz w:val="25"/>
                <w:szCs w:val="25"/>
                <w:i w:val="1"/>
                <w:iCs w:val="1"/>
                <w:color w:val="auto"/>
                <w:vertAlign w:val="subscript"/>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216"/>
        </w:trPr>
        <w:tc>
          <w:tcPr>
            <w:tcW w:w="1200" w:type="dxa"/>
            <w:vAlign w:val="bottom"/>
          </w:tcPr>
          <w:p>
            <w:pPr>
              <w:jc w:val="right"/>
              <w:ind w:right="77"/>
              <w:spacing w:after="0" w:line="216" w:lineRule="exact"/>
              <w:rPr>
                <w:sz w:val="20"/>
                <w:szCs w:val="20"/>
                <w:color w:val="auto"/>
              </w:rPr>
            </w:pPr>
            <w:r>
              <w:rPr>
                <w:rFonts w:ascii="Arial" w:cs="Arial" w:eastAsia="Arial" w:hAnsi="Arial"/>
                <w:sz w:val="13"/>
                <w:szCs w:val="13"/>
                <w:i w:val="1"/>
                <w:iCs w:val="1"/>
                <w:color w:val="auto"/>
              </w:rPr>
              <w:t xml:space="preserve">29 </w:t>
            </w:r>
            <w:r>
              <w:rPr>
                <w:rFonts w:ascii="Arial" w:cs="Arial" w:eastAsia="Arial" w:hAnsi="Arial"/>
                <w:sz w:val="25"/>
                <w:szCs w:val="25"/>
                <w:i w:val="1"/>
                <w:iCs w:val="1"/>
                <w:color w:val="auto"/>
                <w:vertAlign w:val="subscript"/>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216"/>
        </w:trPr>
        <w:tc>
          <w:tcPr>
            <w:tcW w:w="1200" w:type="dxa"/>
            <w:vAlign w:val="bottom"/>
          </w:tcPr>
          <w:p>
            <w:pPr>
              <w:jc w:val="right"/>
              <w:ind w:right="77"/>
              <w:spacing w:after="0" w:line="216" w:lineRule="exact"/>
              <w:rPr>
                <w:sz w:val="20"/>
                <w:szCs w:val="20"/>
                <w:color w:val="auto"/>
              </w:rPr>
            </w:pPr>
            <w:r>
              <w:rPr>
                <w:rFonts w:ascii="Arial" w:cs="Arial" w:eastAsia="Arial" w:hAnsi="Arial"/>
                <w:sz w:val="25"/>
                <w:szCs w:val="25"/>
                <w:i w:val="1"/>
                <w:iCs w:val="1"/>
                <w:color w:val="auto"/>
                <w:vertAlign w:val="superscript"/>
              </w:rPr>
              <w:t>8</w:t>
            </w:r>
            <w:r>
              <w:rPr>
                <w:rFonts w:ascii="Arial" w:cs="Arial" w:eastAsia="Arial" w:hAnsi="Arial"/>
                <w:sz w:val="13"/>
                <w:szCs w:val="13"/>
                <w:i w:val="1"/>
                <w:iCs w:val="1"/>
                <w:color w:val="auto"/>
              </w:rPr>
              <w:t xml:space="preserve">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 %</w:t>
            </w:r>
          </w:p>
        </w:tc>
      </w:tr>
      <w:tr>
        <w:trPr>
          <w:trHeight w:val="329"/>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25"/>
                <w:szCs w:val="25"/>
                <w:color w:val="auto"/>
                <w:vertAlign w:val="subscript"/>
              </w:rPr>
              <w:t>%</w:t>
            </w:r>
          </w:p>
        </w:tc>
      </w:tr>
      <w:tr>
        <w:trPr>
          <w:trHeight w:val="358"/>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446"/>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(34)%</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216"/>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 %</w:t>
            </w:r>
          </w:p>
        </w:tc>
      </w:tr>
      <w:tr>
        <w:trPr>
          <w:trHeight w:val="216"/>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(22)%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12 %</w:t>
            </w:r>
          </w:p>
        </w:tc>
      </w:tr>
      <w:tr>
        <w:trPr>
          <w:trHeight w:val="191"/>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(25)%</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 %</w:t>
            </w:r>
          </w:p>
        </w:tc>
      </w:tr>
      <w:tr>
        <w:trPr>
          <w:trHeight w:val="297"/>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(87)</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160"/>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(30)%</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216"/>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216"/>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91"/>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(23)%</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297"/>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(75)</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160"/>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(31)%</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216"/>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9 %</w:t>
            </w:r>
          </w:p>
        </w:tc>
      </w:tr>
      <w:tr>
        <w:trPr>
          <w:trHeight w:val="216"/>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(26)%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31 %</w:t>
            </w:r>
          </w:p>
        </w:tc>
      </w:tr>
      <w:tr>
        <w:trPr>
          <w:trHeight w:val="191"/>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(24)%</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329"/>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(87)</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10 %</w:t>
            </w:r>
          </w:p>
        </w:tc>
      </w:tr>
      <w:tr>
        <w:trPr>
          <w:trHeight w:val="358"/>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(83)%</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446"/>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 %</w:t>
            </w:r>
          </w:p>
        </w:tc>
      </w:tr>
      <w:tr>
        <w:trPr>
          <w:trHeight w:val="191"/>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(1)%</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 %</w:t>
            </w:r>
          </w:p>
        </w:tc>
      </w:tr>
      <w:tr>
        <w:trPr>
          <w:trHeight w:val="160"/>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 %</w:t>
            </w:r>
          </w:p>
        </w:tc>
      </w:tr>
      <w:tr>
        <w:trPr>
          <w:trHeight w:val="272"/>
        </w:trPr>
        <w:tc>
          <w:tcPr>
            <w:tcW w:w="1200" w:type="dxa"/>
            <w:vAlign w:val="bottom"/>
          </w:tcPr>
          <w:p>
            <w:pPr>
              <w:jc w:val="right"/>
              <w:ind w:right="77"/>
              <w:spacing w:after="0" w:line="271" w:lineRule="exact"/>
              <w:rPr>
                <w:sz w:val="20"/>
                <w:szCs w:val="20"/>
                <w:color w:val="auto"/>
              </w:rPr>
            </w:pPr>
            <w:r>
              <w:rPr>
                <w:rFonts w:ascii="Arial" w:cs="Arial" w:eastAsia="Arial" w:hAnsi="Arial"/>
                <w:sz w:val="13"/>
                <w:szCs w:val="13"/>
                <w:i w:val="1"/>
                <w:iCs w:val="1"/>
                <w:color w:val="auto"/>
              </w:rPr>
              <w:t>(5)</w:t>
            </w:r>
            <w:r>
              <w:rPr>
                <w:rFonts w:ascii="Arial" w:cs="Arial" w:eastAsia="Arial" w:hAnsi="Arial"/>
                <w:sz w:val="25"/>
                <w:szCs w:val="25"/>
                <w:i w:val="1"/>
                <w:iCs w:val="1"/>
                <w:color w:val="auto"/>
                <w:vertAlign w:val="subscript"/>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216"/>
        </w:trPr>
        <w:tc>
          <w:tcPr>
            <w:tcW w:w="1200" w:type="dxa"/>
            <w:vAlign w:val="bottom"/>
          </w:tcPr>
          <w:p>
            <w:pPr>
              <w:jc w:val="right"/>
              <w:ind w:right="77"/>
              <w:spacing w:after="0" w:line="216" w:lineRule="exact"/>
              <w:rPr>
                <w:sz w:val="20"/>
                <w:szCs w:val="20"/>
                <w:color w:val="auto"/>
              </w:rPr>
            </w:pPr>
            <w:r>
              <w:rPr>
                <w:rFonts w:ascii="Arial" w:cs="Arial" w:eastAsia="Arial" w:hAnsi="Arial"/>
                <w:sz w:val="13"/>
                <w:szCs w:val="13"/>
                <w:i w:val="1"/>
                <w:iCs w:val="1"/>
                <w:color w:val="auto"/>
              </w:rPr>
              <w:t>(1)</w:t>
            </w:r>
            <w:r>
              <w:rPr>
                <w:rFonts w:ascii="Arial" w:cs="Arial" w:eastAsia="Arial" w:hAnsi="Arial"/>
                <w:sz w:val="25"/>
                <w:szCs w:val="25"/>
                <w:i w:val="1"/>
                <w:iCs w:val="1"/>
                <w:color w:val="auto"/>
                <w:vertAlign w:val="subscript"/>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 %</w:t>
            </w:r>
          </w:p>
        </w:tc>
      </w:tr>
      <w:tr>
        <w:trPr>
          <w:trHeight w:val="160"/>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 %</w:t>
            </w:r>
          </w:p>
        </w:tc>
      </w:tr>
      <w:tr>
        <w:trPr>
          <w:trHeight w:val="272"/>
        </w:trPr>
        <w:tc>
          <w:tcPr>
            <w:tcW w:w="1200" w:type="dxa"/>
            <w:vAlign w:val="bottom"/>
          </w:tcPr>
          <w:p>
            <w:pPr>
              <w:jc w:val="right"/>
              <w:ind w:right="77"/>
              <w:spacing w:after="0" w:line="271" w:lineRule="exact"/>
              <w:rPr>
                <w:sz w:val="20"/>
                <w:szCs w:val="20"/>
                <w:color w:val="auto"/>
              </w:rPr>
            </w:pPr>
            <w:r>
              <w:rPr>
                <w:rFonts w:ascii="Arial" w:cs="Arial" w:eastAsia="Arial" w:hAnsi="Arial"/>
                <w:sz w:val="13"/>
                <w:szCs w:val="13"/>
                <w:i w:val="1"/>
                <w:iCs w:val="1"/>
                <w:color w:val="auto"/>
              </w:rPr>
              <w:t>(7)</w:t>
            </w:r>
            <w:r>
              <w:rPr>
                <w:rFonts w:ascii="Arial" w:cs="Arial" w:eastAsia="Arial" w:hAnsi="Arial"/>
                <w:sz w:val="25"/>
                <w:szCs w:val="25"/>
                <w:i w:val="1"/>
                <w:iCs w:val="1"/>
                <w:color w:val="auto"/>
                <w:vertAlign w:val="subscript"/>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216"/>
        </w:trPr>
        <w:tc>
          <w:tcPr>
            <w:tcW w:w="1360" w:type="dxa"/>
            <w:vAlign w:val="bottom"/>
            <w:gridSpan w:val="2"/>
          </w:tcPr>
          <w:p>
            <w:pPr>
              <w:jc w:val="right"/>
              <w:ind w:right="300"/>
              <w:spacing w:after="0" w:line="216" w:lineRule="exact"/>
              <w:rPr>
                <w:sz w:val="20"/>
                <w:szCs w:val="20"/>
                <w:color w:val="auto"/>
              </w:rPr>
            </w:pPr>
            <w:r>
              <w:rPr>
                <w:rFonts w:ascii="Arial" w:cs="Arial" w:eastAsia="Arial" w:hAnsi="Arial"/>
                <w:sz w:val="13"/>
                <w:szCs w:val="13"/>
                <w:i w:val="1"/>
                <w:iCs w:val="1"/>
                <w:color w:val="auto"/>
              </w:rPr>
              <w:t>—</w:t>
            </w:r>
            <w:r>
              <w:rPr>
                <w:rFonts w:ascii="Arial" w:cs="Arial" w:eastAsia="Arial" w:hAnsi="Arial"/>
                <w:sz w:val="25"/>
                <w:szCs w:val="25"/>
                <w:i w:val="1"/>
                <w:iCs w:val="1"/>
                <w:color w:val="auto"/>
                <w:vertAlign w:val="subscript"/>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69 %</w:t>
            </w:r>
          </w:p>
        </w:tc>
      </w:tr>
      <w:tr>
        <w:trPr>
          <w:trHeight w:val="160"/>
        </w:trPr>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(7)%</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22 %</w:t>
            </w:r>
          </w:p>
        </w:tc>
      </w:tr>
    </w:tbl>
    <w:p>
      <w:pPr>
        <w:spacing w:after="0" w:line="267" w:lineRule="exact"/>
        <w:rPr>
          <w:sz w:val="20"/>
          <w:szCs w:val="20"/>
          <w:color w:val="auto"/>
        </w:rPr>
      </w:pPr>
    </w:p>
    <w:p>
      <w:pPr>
        <w:sectPr>
          <w:pgSz w:w="11900" w:h="16838" w:orient="portrait"/>
          <w:cols w:equalWidth="0" w:num="3">
            <w:col w:w="6540" w:space="160"/>
            <w:col w:w="1040" w:space="180"/>
            <w:col w:w="2200"/>
          </w:cols>
          <w:pgMar w:left="900" w:top="121" w:right="879" w:bottom="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3920" w:type="dxa"/>
            <w:vAlign w:val="bottom"/>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w w:val="94"/>
              </w:rPr>
              <w:t>Total depreciation, amortization, and general and administrative</w:t>
            </w:r>
          </w:p>
        </w:tc>
        <w:tc>
          <w:tcPr>
            <w:tcW w:w="240" w:type="dxa"/>
            <w:vAlign w:val="bottom"/>
            <w:shd w:val="clear" w:color="auto" w:fill="CCEEFF"/>
          </w:tcPr>
          <w:p>
            <w:pPr>
              <w:spacing w:after="0"/>
              <w:rPr>
                <w:sz w:val="4"/>
                <w:szCs w:val="4"/>
                <w:color w:val="auto"/>
              </w:rPr>
            </w:pPr>
          </w:p>
        </w:tc>
        <w:tc>
          <w:tcPr>
            <w:tcW w:w="480" w:type="dxa"/>
            <w:vAlign w:val="bottom"/>
            <w:shd w:val="clear" w:color="auto" w:fill="000000"/>
          </w:tcPr>
          <w:p>
            <w:pPr>
              <w:spacing w:after="0"/>
              <w:rPr>
                <w:sz w:val="4"/>
                <w:szCs w:val="4"/>
                <w:color w:val="auto"/>
              </w:rPr>
            </w:pPr>
          </w:p>
        </w:tc>
        <w:tc>
          <w:tcPr>
            <w:tcW w:w="820" w:type="dxa"/>
            <w:vAlign w:val="bottom"/>
            <w:shd w:val="clear" w:color="auto" w:fill="000000"/>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340" w:type="dxa"/>
            <w:vAlign w:val="bottom"/>
            <w:shd w:val="clear" w:color="auto" w:fill="000000"/>
          </w:tcPr>
          <w:p>
            <w:pPr>
              <w:spacing w:after="0"/>
              <w:rPr>
                <w:sz w:val="4"/>
                <w:szCs w:val="4"/>
                <w:color w:val="auto"/>
              </w:rPr>
            </w:pPr>
          </w:p>
        </w:tc>
        <w:tc>
          <w:tcPr>
            <w:tcW w:w="700" w:type="dxa"/>
            <w:vAlign w:val="bottom"/>
            <w:shd w:val="clear" w:color="auto" w:fill="000000"/>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3920" w:type="dxa"/>
            <w:vAlign w:val="bottom"/>
            <w:vMerge w:val="continue"/>
            <w:shd w:val="clear" w:color="auto" w:fill="CCEEFF"/>
          </w:tcPr>
          <w:p>
            <w:pPr>
              <w:spacing w:after="0"/>
              <w:rPr>
                <w:sz w:val="8"/>
                <w:szCs w:val="8"/>
                <w:color w:val="auto"/>
              </w:rPr>
            </w:pPr>
          </w:p>
        </w:tc>
        <w:tc>
          <w:tcPr>
            <w:tcW w:w="240" w:type="dxa"/>
            <w:vAlign w:val="bottom"/>
            <w:vMerge w:val="restart"/>
            <w:shd w:val="clear" w:color="auto" w:fill="CCEEFF"/>
          </w:tcPr>
          <w:p>
            <w:pPr>
              <w:spacing w:after="0"/>
              <w:rPr>
                <w:sz w:val="8"/>
                <w:szCs w:val="8"/>
                <w:color w:val="auto"/>
              </w:rPr>
            </w:pPr>
          </w:p>
        </w:tc>
        <w:tc>
          <w:tcPr>
            <w:tcW w:w="480" w:type="dxa"/>
            <w:vAlign w:val="bottom"/>
            <w:vMerge w:val="restart"/>
            <w:shd w:val="clear" w:color="auto" w:fill="CCEEFF"/>
          </w:tcPr>
          <w:p>
            <w:pPr>
              <w:jc w:val="right"/>
              <w:ind w:right="337"/>
              <w:spacing w:after="0"/>
              <w:rPr>
                <w:sz w:val="20"/>
                <w:szCs w:val="20"/>
                <w:color w:val="auto"/>
              </w:rPr>
            </w:pPr>
            <w:r>
              <w:rPr>
                <w:rFonts w:ascii="Arial" w:cs="Arial" w:eastAsia="Arial" w:hAnsi="Arial"/>
                <w:sz w:val="13"/>
                <w:szCs w:val="13"/>
                <w:b w:val="1"/>
                <w:bCs w:val="1"/>
                <w:color w:val="auto"/>
                <w:w w:val="82"/>
              </w:rPr>
              <w:t>$</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(5,013)</w:t>
            </w:r>
          </w:p>
        </w:tc>
        <w:tc>
          <w:tcPr>
            <w:tcW w:w="94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11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(4,079)</w:t>
            </w:r>
          </w:p>
        </w:tc>
        <w:tc>
          <w:tcPr>
            <w:tcW w:w="1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92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expense</w:t>
            </w:r>
          </w:p>
        </w:tc>
        <w:tc>
          <w:tcPr>
            <w:tcW w:w="24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940" w:type="dxa"/>
            <w:vAlign w:val="bottom"/>
            <w:shd w:val="clear" w:color="auto" w:fill="CCEEFF"/>
          </w:tcPr>
          <w:p>
            <w:pPr>
              <w:jc w:val="right"/>
              <w:ind w:right="277"/>
              <w:spacing w:after="0" w:line="140" w:lineRule="exact"/>
              <w:rPr>
                <w:sz w:val="20"/>
                <w:szCs w:val="20"/>
                <w:color w:val="auto"/>
              </w:rPr>
            </w:pPr>
            <w:r>
              <w:rPr>
                <w:rFonts w:ascii="Arial" w:cs="Arial" w:eastAsia="Arial" w:hAnsi="Arial"/>
                <w:sz w:val="13"/>
                <w:szCs w:val="13"/>
                <w:i w:val="1"/>
                <w:iCs w:val="1"/>
                <w:color w:val="auto"/>
              </w:rPr>
              <w:t>(7)%</w:t>
            </w:r>
          </w:p>
        </w:tc>
        <w:tc>
          <w:tcPr>
            <w:tcW w:w="340" w:type="dxa"/>
            <w:vAlign w:val="bottom"/>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100" w:type="dxa"/>
            <w:vAlign w:val="bottom"/>
            <w:shd w:val="clear" w:color="auto" w:fill="CCEEFF"/>
          </w:tcPr>
          <w:p>
            <w:pPr>
              <w:jc w:val="right"/>
              <w:ind w:right="277"/>
              <w:spacing w:after="0" w:line="140" w:lineRule="exact"/>
              <w:rPr>
                <w:sz w:val="20"/>
                <w:szCs w:val="20"/>
                <w:color w:val="auto"/>
              </w:rPr>
            </w:pPr>
            <w:r>
              <w:rPr>
                <w:rFonts w:ascii="Arial" w:cs="Arial" w:eastAsia="Arial" w:hAnsi="Arial"/>
                <w:sz w:val="13"/>
                <w:szCs w:val="13"/>
                <w:i w:val="1"/>
                <w:iCs w:val="1"/>
                <w:color w:val="auto"/>
              </w:rPr>
              <w:t>(6)%</w:t>
            </w:r>
          </w:p>
        </w:tc>
        <w:tc>
          <w:tcPr>
            <w:tcW w:w="8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CCEEFF"/>
              <w:bottom w:val="single" w:sz="8" w:color="CCEEFF"/>
            </w:tcBorders>
          </w:tcPr>
          <w:p>
            <w:pPr>
              <w:spacing w:after="0"/>
              <w:rPr>
                <w:sz w:val="19"/>
                <w:szCs w:val="19"/>
                <w:color w:val="auto"/>
              </w:rPr>
            </w:pPr>
          </w:p>
        </w:tc>
        <w:tc>
          <w:tcPr>
            <w:tcW w:w="94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CCEEFF"/>
              <w:bottom w:val="single" w:sz="8" w:color="CCEEFF"/>
            </w:tcBorders>
          </w:tcPr>
          <w:p>
            <w:pPr>
              <w:spacing w:after="0"/>
              <w:rPr>
                <w:sz w:val="19"/>
                <w:szCs w:val="19"/>
                <w:color w:val="auto"/>
              </w:rPr>
            </w:pPr>
          </w:p>
        </w:tc>
        <w:tc>
          <w:tcPr>
            <w:tcW w:w="1100" w:type="dxa"/>
            <w:vAlign w:val="bottom"/>
            <w:tcBorders>
              <w:top w:val="single" w:sz="8" w:color="CCEEFF"/>
              <w:bottom w:val="single" w:sz="8" w:color="CCEEFF"/>
            </w:tcBorders>
          </w:tcPr>
          <w:p>
            <w:pPr>
              <w:spacing w:after="0"/>
              <w:rPr>
                <w:sz w:val="19"/>
                <w:szCs w:val="19"/>
                <w:color w:val="auto"/>
              </w:rPr>
            </w:pPr>
          </w:p>
        </w:tc>
        <w:tc>
          <w:tcPr>
            <w:tcW w:w="60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expenses</w:t>
            </w:r>
          </w:p>
        </w:tc>
        <w:tc>
          <w:tcPr>
            <w:tcW w:w="720" w:type="dxa"/>
            <w:vAlign w:val="bottom"/>
            <w:gridSpan w:val="2"/>
            <w:shd w:val="clear" w:color="auto" w:fill="CCEEFF"/>
          </w:tcPr>
          <w:p>
            <w:pPr>
              <w:jc w:val="right"/>
              <w:ind w:right="337"/>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(62,730)</w:t>
            </w:r>
          </w:p>
        </w:tc>
        <w:tc>
          <w:tcPr>
            <w:tcW w:w="940" w:type="dxa"/>
            <w:vAlign w:val="bottom"/>
            <w:shd w:val="clear" w:color="auto" w:fill="CCEEFF"/>
          </w:tcPr>
          <w:p>
            <w:pPr>
              <w:jc w:val="right"/>
              <w:ind w:right="277"/>
              <w:spacing w:after="0"/>
              <w:rPr>
                <w:sz w:val="20"/>
                <w:szCs w:val="20"/>
                <w:color w:val="auto"/>
              </w:rPr>
            </w:pPr>
            <w:r>
              <w:rPr>
                <w:rFonts w:ascii="Arial" w:cs="Arial" w:eastAsia="Arial" w:hAnsi="Arial"/>
                <w:sz w:val="13"/>
                <w:szCs w:val="13"/>
                <w:i w:val="1"/>
                <w:iCs w:val="1"/>
                <w:color w:val="auto"/>
              </w:rPr>
              <w:t>(88)%</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(60,012)</w:t>
            </w:r>
          </w:p>
        </w:tc>
        <w:tc>
          <w:tcPr>
            <w:tcW w:w="1100" w:type="dxa"/>
            <w:vAlign w:val="bottom"/>
            <w:shd w:val="clear" w:color="auto" w:fill="CCEEFF"/>
          </w:tcPr>
          <w:p>
            <w:pPr>
              <w:jc w:val="right"/>
              <w:ind w:right="277"/>
              <w:spacing w:after="0"/>
              <w:rPr>
                <w:sz w:val="20"/>
                <w:szCs w:val="20"/>
                <w:color w:val="auto"/>
              </w:rPr>
            </w:pPr>
            <w:r>
              <w:rPr>
                <w:rFonts w:ascii="Arial" w:cs="Arial" w:eastAsia="Arial" w:hAnsi="Arial"/>
                <w:sz w:val="13"/>
                <w:szCs w:val="13"/>
                <w:i w:val="1"/>
                <w:iCs w:val="1"/>
                <w:color w:val="auto"/>
              </w:rPr>
              <w:t>(89)%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OPERATING INCOME</w:t>
            </w:r>
          </w:p>
        </w:tc>
        <w:tc>
          <w:tcPr>
            <w:tcW w:w="2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United States</w:t>
            </w:r>
          </w:p>
        </w:tc>
        <w:tc>
          <w:tcPr>
            <w:tcW w:w="720" w:type="dxa"/>
            <w:vAlign w:val="bottom"/>
            <w:gridSpan w:val="2"/>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7 </w:t>
            </w:r>
            <w:r>
              <w:rPr>
                <w:rFonts w:ascii="Arial" w:cs="Arial" w:eastAsia="Arial" w:hAnsi="Arial"/>
                <w:sz w:val="25"/>
                <w:szCs w:val="25"/>
                <w:i w:val="1"/>
                <w:iCs w:val="1"/>
                <w:color w:val="auto"/>
                <w:vertAlign w:val="superscript"/>
              </w:rPr>
              <w:t>%</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6 </w:t>
            </w:r>
            <w:r>
              <w:rPr>
                <w:rFonts w:ascii="Arial" w:cs="Arial" w:eastAsia="Arial" w:hAnsi="Arial"/>
                <w:sz w:val="25"/>
                <w:szCs w:val="25"/>
                <w:i w:val="1"/>
                <w:iCs w:val="1"/>
                <w:color w:val="auto"/>
                <w:vertAlign w:val="superscript"/>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4,652</w:t>
            </w:r>
          </w:p>
        </w:tc>
        <w:tc>
          <w:tcPr>
            <w:tcW w:w="300" w:type="dxa"/>
            <w:vAlign w:val="bottom"/>
          </w:tcPr>
          <w:p>
            <w:pPr>
              <w:spacing w:after="0"/>
              <w:rPr>
                <w:sz w:val="18"/>
                <w:szCs w:val="18"/>
                <w:color w:val="auto"/>
              </w:rPr>
            </w:pPr>
          </w:p>
        </w:tc>
        <w:tc>
          <w:tcPr>
            <w:tcW w:w="940" w:type="dxa"/>
            <w:vAlign w:val="bottom"/>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19 </w:t>
            </w:r>
            <w:r>
              <w:rPr>
                <w:rFonts w:ascii="Arial" w:cs="Arial" w:eastAsia="Arial" w:hAnsi="Arial"/>
                <w:sz w:val="25"/>
                <w:szCs w:val="25"/>
                <w:i w:val="1"/>
                <w:iCs w:val="1"/>
                <w:color w:val="auto"/>
                <w:vertAlign w:val="superscript"/>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4,546</w:t>
            </w:r>
          </w:p>
        </w:tc>
        <w:tc>
          <w:tcPr>
            <w:tcW w:w="480" w:type="dxa"/>
            <w:vAlign w:val="bottom"/>
          </w:tcPr>
          <w:p>
            <w:pPr>
              <w:spacing w:after="0"/>
              <w:rPr>
                <w:sz w:val="18"/>
                <w:szCs w:val="18"/>
                <w:color w:val="auto"/>
              </w:rPr>
            </w:pPr>
          </w:p>
        </w:tc>
        <w:tc>
          <w:tcPr>
            <w:tcW w:w="1100" w:type="dxa"/>
            <w:vAlign w:val="bottom"/>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19 </w:t>
            </w:r>
            <w:r>
              <w:rPr>
                <w:rFonts w:ascii="Arial" w:cs="Arial" w:eastAsia="Arial" w:hAnsi="Arial"/>
                <w:sz w:val="25"/>
                <w:szCs w:val="25"/>
                <w:i w:val="1"/>
                <w:iCs w:val="1"/>
                <w:color w:val="auto"/>
                <w:vertAlign w:val="superscript"/>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New Zealand</w:t>
            </w: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1,010</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15 </w:t>
            </w:r>
            <w:r>
              <w:rPr>
                <w:rFonts w:ascii="Arial" w:cs="Arial" w:eastAsia="Arial" w:hAnsi="Arial"/>
                <w:sz w:val="25"/>
                <w:szCs w:val="25"/>
                <w:i w:val="1"/>
                <w:iCs w:val="1"/>
                <w:color w:val="auto"/>
                <w:vertAlign w:val="superscript"/>
              </w:rPr>
              <w:t>%</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4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6 </w:t>
            </w:r>
            <w:r>
              <w:rPr>
                <w:rFonts w:ascii="Arial" w:cs="Arial" w:eastAsia="Arial" w:hAnsi="Arial"/>
                <w:sz w:val="25"/>
                <w:szCs w:val="25"/>
                <w:i w:val="1"/>
                <w:iCs w:val="1"/>
                <w:color w:val="auto"/>
                <w:vertAlign w:val="superscript"/>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96"/>
        </w:trPr>
        <w:tc>
          <w:tcPr>
            <w:tcW w:w="3920" w:type="dxa"/>
            <w:vAlign w:val="bottom"/>
          </w:tcPr>
          <w:p>
            <w:pPr>
              <w:ind w:left="180"/>
              <w:spacing w:after="0"/>
              <w:rPr>
                <w:sz w:val="20"/>
                <w:szCs w:val="20"/>
                <w:color w:val="auto"/>
              </w:rPr>
            </w:pPr>
            <w:r>
              <w:rPr>
                <w:rFonts w:ascii="Arial" w:cs="Arial" w:eastAsia="Arial" w:hAnsi="Arial"/>
                <w:sz w:val="13"/>
                <w:szCs w:val="13"/>
                <w:b w:val="1"/>
                <w:bCs w:val="1"/>
                <w:color w:val="auto"/>
              </w:rPr>
              <w:t>Total operating income</w:t>
            </w:r>
          </w:p>
        </w:tc>
        <w:tc>
          <w:tcPr>
            <w:tcW w:w="240" w:type="dxa"/>
            <w:vAlign w:val="bottom"/>
          </w:tcPr>
          <w:p>
            <w:pPr>
              <w:spacing w:after="0"/>
              <w:rPr>
                <w:sz w:val="17"/>
                <w:szCs w:val="17"/>
                <w:color w:val="auto"/>
              </w:rPr>
            </w:pPr>
          </w:p>
        </w:tc>
        <w:tc>
          <w:tcPr>
            <w:tcW w:w="4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8,337</w:t>
            </w:r>
          </w:p>
        </w:tc>
        <w:tc>
          <w:tcPr>
            <w:tcW w:w="300" w:type="dxa"/>
            <w:vAlign w:val="bottom"/>
          </w:tcPr>
          <w:p>
            <w:pPr>
              <w:spacing w:after="0"/>
              <w:rPr>
                <w:sz w:val="17"/>
                <w:szCs w:val="17"/>
                <w:color w:val="auto"/>
              </w:rPr>
            </w:pPr>
          </w:p>
        </w:tc>
        <w:tc>
          <w:tcPr>
            <w:tcW w:w="940" w:type="dxa"/>
            <w:vAlign w:val="bottom"/>
          </w:tcPr>
          <w:p>
            <w:pPr>
              <w:jc w:val="right"/>
              <w:ind w:right="277"/>
              <w:spacing w:after="0"/>
              <w:rPr>
                <w:sz w:val="20"/>
                <w:szCs w:val="20"/>
                <w:color w:val="auto"/>
              </w:rPr>
            </w:pPr>
            <w:r>
              <w:rPr>
                <w:rFonts w:ascii="Arial" w:cs="Arial" w:eastAsia="Arial" w:hAnsi="Arial"/>
                <w:sz w:val="13"/>
                <w:szCs w:val="13"/>
                <w:i w:val="1"/>
                <w:iCs w:val="1"/>
                <w:color w:val="auto"/>
              </w:rPr>
              <w:t>12 %</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7,389</w:t>
            </w:r>
          </w:p>
        </w:tc>
        <w:tc>
          <w:tcPr>
            <w:tcW w:w="480" w:type="dxa"/>
            <w:vAlign w:val="bottom"/>
          </w:tcPr>
          <w:p>
            <w:pPr>
              <w:spacing w:after="0"/>
              <w:rPr>
                <w:sz w:val="17"/>
                <w:szCs w:val="17"/>
                <w:color w:val="auto"/>
              </w:rPr>
            </w:pPr>
          </w:p>
        </w:tc>
        <w:tc>
          <w:tcPr>
            <w:tcW w:w="1100" w:type="dxa"/>
            <w:vAlign w:val="bottom"/>
          </w:tcPr>
          <w:p>
            <w:pPr>
              <w:jc w:val="right"/>
              <w:ind w:right="277"/>
              <w:spacing w:after="0"/>
              <w:rPr>
                <w:sz w:val="20"/>
                <w:szCs w:val="20"/>
                <w:color w:val="auto"/>
              </w:rPr>
            </w:pPr>
            <w:r>
              <w:rPr>
                <w:rFonts w:ascii="Arial" w:cs="Arial" w:eastAsia="Arial" w:hAnsi="Arial"/>
                <w:sz w:val="13"/>
                <w:szCs w:val="13"/>
                <w:i w:val="1"/>
                <w:iCs w:val="1"/>
                <w:color w:val="auto"/>
              </w:rPr>
              <w:t>11 %</w:t>
            </w:r>
          </w:p>
        </w:tc>
        <w:tc>
          <w:tcPr>
            <w:tcW w:w="60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Exhibition segment operating income</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Cinema Exhibition segment operating income increased by 19%, or $6.4 million, to $39.3 million for the year ended December 31, 2018 compared to December 31, 2017, primarily driven by higher admissions for our US, Australia, and New Zealand operations coupled with improved F&amp;B revenues in all three circuits.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Cinema Exhibition segment operating income for the quarter ended December 31, 2018 increased by 13% or $948,000, to $8.3 million compared to quarter ended December 31, 2017, primarily driven by higher F&amp;B revenue in the U.S. and an overall increase in attendance for the three circuits.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Measured in local currencies these increases were somewhat greater as reported results were dampened by the strengthening of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in 2018.</w:t>
      </w:r>
    </w:p>
    <w:p>
      <w:pPr>
        <w:sectPr>
          <w:pgSz w:w="11900" w:h="16838" w:orient="portrait"/>
          <w:cols w:equalWidth="0" w:num="1">
            <w:col w:w="10120"/>
          </w:cols>
          <w:pgMar w:left="900" w:top="121" w:right="879" w:bottom="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0" w:gutter="0" w:footer="0" w:header="0"/>
          <w:type w:val="continuous"/>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Cinema revenue increased by 12%, or $30.7 million, to $294.2 million for the year ended December 31, 2018 compared to 2017. This was primarily driven by higher admissions in all three of our geographies, resulting in higher box office and F&amp;B revenue. These increases were offset by the weakened AU and NZ dollars compared to the US dollar. Additionally, the increase in cinema revenue for 2018 was due to the industry-wide box office soft year for product in 2017 and the closure of some of our cinemas and auditoriums for renovation in 2017. Comparing the current and prior year, the Australian dollar and New Zealand dollar decreased against the U.S. dollar by 2.5% and 2.5% (on average rates), respectively.</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quarter ended December 31, 2018, Cinema segment revenues increased 5%, or $3.7 million, to $71.1 million compared to the same quarter in 2017. This increase is primarily due to U.S. Circuit including the positive results from Cal Oaks, Manville, and Ward which all had improved revenue results over the same quarter in the previous year.</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Cinemas in Australia and New Zealand also enjoyed increased revenues in local currency, offset by the strengthening of the U.S. dollar during the same two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is the revenue breakdown by country for each year:</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 of</w:t>
            </w:r>
          </w:p>
        </w:tc>
        <w:tc>
          <w:tcPr>
            <w:tcW w:w="22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7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i w:val="1"/>
                <w:iCs w:val="1"/>
                <w:color w:val="auto"/>
              </w:rPr>
              <w:t>Revenue</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162,251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line="216" w:lineRule="exact"/>
              <w:rPr>
                <w:sz w:val="20"/>
                <w:szCs w:val="20"/>
                <w:color w:val="auto"/>
              </w:rPr>
            </w:pPr>
            <w:r>
              <w:rPr>
                <w:rFonts w:ascii="Arial" w:cs="Arial" w:eastAsia="Arial" w:hAnsi="Arial"/>
                <w:sz w:val="13"/>
                <w:szCs w:val="13"/>
                <w:i w:val="1"/>
                <w:iCs w:val="1"/>
                <w:color w:val="auto"/>
              </w:rPr>
              <w:t xml:space="preserve">55 </w:t>
            </w:r>
            <w:r>
              <w:rPr>
                <w:rFonts w:ascii="Arial" w:cs="Arial" w:eastAsia="Arial" w:hAnsi="Arial"/>
                <w:sz w:val="25"/>
                <w:szCs w:val="25"/>
                <w:i w:val="1"/>
                <w:iCs w:val="1"/>
                <w:color w:val="auto"/>
                <w:vertAlign w:val="superscript"/>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139,078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line="216" w:lineRule="exact"/>
              <w:rPr>
                <w:sz w:val="20"/>
                <w:szCs w:val="20"/>
                <w:color w:val="auto"/>
              </w:rPr>
            </w:pPr>
            <w:r>
              <w:rPr>
                <w:rFonts w:ascii="Arial" w:cs="Arial" w:eastAsia="Arial" w:hAnsi="Arial"/>
                <w:sz w:val="13"/>
                <w:szCs w:val="13"/>
                <w:i w:val="1"/>
                <w:iCs w:val="1"/>
                <w:color w:val="auto"/>
              </w:rPr>
              <w:t xml:space="preserve">53 </w:t>
            </w:r>
            <w:r>
              <w:rPr>
                <w:rFonts w:ascii="Arial" w:cs="Arial" w:eastAsia="Arial" w:hAnsi="Arial"/>
                <w:sz w:val="25"/>
                <w:szCs w:val="25"/>
                <w:i w:val="1"/>
                <w:iCs w:val="1"/>
                <w:color w:val="auto"/>
                <w:vertAlign w:val="superscript"/>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1"/>
              <w:spacing w:after="0" w:line="216" w:lineRule="exact"/>
              <w:rPr>
                <w:sz w:val="20"/>
                <w:szCs w:val="20"/>
                <w:color w:val="auto"/>
              </w:rPr>
            </w:pPr>
            <w:r>
              <w:rPr>
                <w:rFonts w:ascii="Arial" w:cs="Arial" w:eastAsia="Arial" w:hAnsi="Arial"/>
                <w:sz w:val="13"/>
                <w:szCs w:val="13"/>
                <w:color w:val="auto"/>
              </w:rPr>
              <w:t xml:space="preserve">17 </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4"/>
                <w:szCs w:val="14"/>
                <w:color w:val="auto"/>
              </w:rPr>
              <w:t>Australia</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101,996</w:t>
            </w:r>
          </w:p>
        </w:tc>
        <w:tc>
          <w:tcPr>
            <w:tcW w:w="920" w:type="dxa"/>
            <w:vAlign w:val="bottom"/>
            <w:gridSpan w:val="2"/>
          </w:tcPr>
          <w:p>
            <w:pPr>
              <w:jc w:val="right"/>
              <w:ind w:right="30"/>
              <w:spacing w:after="0" w:line="230" w:lineRule="exact"/>
              <w:rPr>
                <w:sz w:val="20"/>
                <w:szCs w:val="20"/>
                <w:color w:val="auto"/>
              </w:rPr>
            </w:pPr>
            <w:r>
              <w:rPr>
                <w:rFonts w:ascii="Arial" w:cs="Arial" w:eastAsia="Arial" w:hAnsi="Arial"/>
                <w:sz w:val="14"/>
                <w:szCs w:val="14"/>
                <w:i w:val="1"/>
                <w:iCs w:val="1"/>
                <w:color w:val="auto"/>
              </w:rPr>
              <w:t xml:space="preserve">35 </w:t>
            </w:r>
            <w:r>
              <w:rPr>
                <w:rFonts w:ascii="Arial" w:cs="Arial" w:eastAsia="Arial" w:hAnsi="Arial"/>
                <w:sz w:val="26"/>
                <w:szCs w:val="26"/>
                <w:i w:val="1"/>
                <w:iCs w:val="1"/>
                <w:color w:val="auto"/>
                <w:vertAlign w:val="superscript"/>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96,606</w:t>
            </w:r>
          </w:p>
        </w:tc>
        <w:tc>
          <w:tcPr>
            <w:tcW w:w="920" w:type="dxa"/>
            <w:vAlign w:val="bottom"/>
            <w:gridSpan w:val="2"/>
          </w:tcPr>
          <w:p>
            <w:pPr>
              <w:jc w:val="right"/>
              <w:ind w:right="30"/>
              <w:spacing w:after="0" w:line="230" w:lineRule="exact"/>
              <w:rPr>
                <w:sz w:val="20"/>
                <w:szCs w:val="20"/>
                <w:color w:val="auto"/>
              </w:rPr>
            </w:pPr>
            <w:r>
              <w:rPr>
                <w:rFonts w:ascii="Arial" w:cs="Arial" w:eastAsia="Arial" w:hAnsi="Arial"/>
                <w:sz w:val="14"/>
                <w:szCs w:val="14"/>
                <w:i w:val="1"/>
                <w:iCs w:val="1"/>
                <w:color w:val="auto"/>
              </w:rPr>
              <w:t xml:space="preserve">37 </w:t>
            </w:r>
            <w:r>
              <w:rPr>
                <w:rFonts w:ascii="Arial" w:cs="Arial" w:eastAsia="Arial" w:hAnsi="Arial"/>
                <w:sz w:val="26"/>
                <w:szCs w:val="26"/>
                <w:i w:val="1"/>
                <w:iCs w:val="1"/>
                <w:color w:val="auto"/>
                <w:vertAlign w:val="superscript"/>
              </w:rPr>
              <w:t>%</w:t>
            </w:r>
          </w:p>
        </w:tc>
        <w:tc>
          <w:tcPr>
            <w:tcW w:w="100" w:type="dxa"/>
            <w:vAlign w:val="bottom"/>
          </w:tcPr>
          <w:p>
            <w:pPr>
              <w:spacing w:after="0"/>
              <w:rPr>
                <w:sz w:val="19"/>
                <w:szCs w:val="19"/>
                <w:color w:val="auto"/>
              </w:rPr>
            </w:pPr>
          </w:p>
        </w:tc>
        <w:tc>
          <w:tcPr>
            <w:tcW w:w="1160" w:type="dxa"/>
            <w:vAlign w:val="bottom"/>
          </w:tcPr>
          <w:p>
            <w:pPr>
              <w:jc w:val="right"/>
              <w:ind w:right="71"/>
              <w:spacing w:after="0" w:line="230" w:lineRule="exact"/>
              <w:rPr>
                <w:sz w:val="20"/>
                <w:szCs w:val="20"/>
                <w:color w:val="auto"/>
              </w:rPr>
            </w:pPr>
            <w:r>
              <w:rPr>
                <w:rFonts w:ascii="Arial" w:cs="Arial" w:eastAsia="Arial" w:hAnsi="Arial"/>
                <w:sz w:val="14"/>
                <w:szCs w:val="14"/>
                <w:color w:val="auto"/>
              </w:rPr>
              <w:t xml:space="preserve">6 </w:t>
            </w:r>
            <w:r>
              <w:rPr>
                <w:rFonts w:ascii="Arial" w:cs="Arial" w:eastAsia="Arial" w:hAnsi="Arial"/>
                <w:sz w:val="26"/>
                <w:szCs w:val="26"/>
                <w:i w:val="1"/>
                <w:iCs w:val="1"/>
                <w:color w:val="auto"/>
                <w:vertAlign w:val="superscript"/>
              </w:rPr>
              <w:t>%</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Zealand</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29,930</w:t>
            </w:r>
          </w:p>
        </w:tc>
        <w:tc>
          <w:tcPr>
            <w:tcW w:w="920" w:type="dxa"/>
            <w:vAlign w:val="bottom"/>
            <w:gridSpan w:val="2"/>
            <w:shd w:val="clear" w:color="auto" w:fill="CCEEFF"/>
          </w:tcPr>
          <w:p>
            <w:pPr>
              <w:jc w:val="right"/>
              <w:ind w:right="30"/>
              <w:spacing w:after="0" w:line="230" w:lineRule="exact"/>
              <w:rPr>
                <w:sz w:val="20"/>
                <w:szCs w:val="20"/>
                <w:color w:val="auto"/>
              </w:rPr>
            </w:pPr>
            <w:r>
              <w:rPr>
                <w:rFonts w:ascii="Arial" w:cs="Arial" w:eastAsia="Arial" w:hAnsi="Arial"/>
                <w:sz w:val="14"/>
                <w:szCs w:val="14"/>
                <w:i w:val="1"/>
                <w:iCs w:val="1"/>
                <w:color w:val="auto"/>
              </w:rPr>
              <w:t xml:space="preserve">10 </w:t>
            </w:r>
            <w:r>
              <w:rPr>
                <w:rFonts w:ascii="Arial" w:cs="Arial" w:eastAsia="Arial" w:hAnsi="Arial"/>
                <w:sz w:val="26"/>
                <w:szCs w:val="26"/>
                <w:i w:val="1"/>
                <w:iCs w:val="1"/>
                <w:color w:val="auto"/>
                <w:vertAlign w:val="superscript"/>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27,780</w:t>
            </w:r>
          </w:p>
        </w:tc>
        <w:tc>
          <w:tcPr>
            <w:tcW w:w="920" w:type="dxa"/>
            <w:vAlign w:val="bottom"/>
            <w:gridSpan w:val="2"/>
            <w:shd w:val="clear" w:color="auto" w:fill="CCEEFF"/>
          </w:tcPr>
          <w:p>
            <w:pPr>
              <w:jc w:val="right"/>
              <w:ind w:right="30"/>
              <w:spacing w:after="0" w:line="230" w:lineRule="exact"/>
              <w:rPr>
                <w:sz w:val="20"/>
                <w:szCs w:val="20"/>
                <w:color w:val="auto"/>
              </w:rPr>
            </w:pPr>
            <w:r>
              <w:rPr>
                <w:rFonts w:ascii="Arial" w:cs="Arial" w:eastAsia="Arial" w:hAnsi="Arial"/>
                <w:sz w:val="14"/>
                <w:szCs w:val="14"/>
                <w:i w:val="1"/>
                <w:iCs w:val="1"/>
                <w:color w:val="auto"/>
              </w:rPr>
              <w:t xml:space="preserve">10 </w:t>
            </w:r>
            <w:r>
              <w:rPr>
                <w:rFonts w:ascii="Arial" w:cs="Arial" w:eastAsia="Arial" w:hAnsi="Arial"/>
                <w:sz w:val="26"/>
                <w:szCs w:val="26"/>
                <w:i w:val="1"/>
                <w:iCs w:val="1"/>
                <w:color w:val="auto"/>
                <w:vertAlign w:val="superscript"/>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line="230" w:lineRule="exact"/>
              <w:rPr>
                <w:sz w:val="20"/>
                <w:szCs w:val="20"/>
                <w:color w:val="auto"/>
              </w:rPr>
            </w:pPr>
            <w:r>
              <w:rPr>
                <w:rFonts w:ascii="Arial" w:cs="Arial" w:eastAsia="Arial" w:hAnsi="Arial"/>
                <w:sz w:val="14"/>
                <w:szCs w:val="14"/>
                <w:color w:val="auto"/>
              </w:rPr>
              <w:t xml:space="preserve">8 </w:t>
            </w:r>
            <w:r>
              <w:rPr>
                <w:rFonts w:ascii="Arial" w:cs="Arial" w:eastAsia="Arial" w:hAnsi="Arial"/>
                <w:sz w:val="26"/>
                <w:szCs w:val="26"/>
                <w:i w:val="1"/>
                <w:iCs w:val="1"/>
                <w:color w:val="auto"/>
                <w:vertAlign w:val="superscript"/>
              </w:rPr>
              <w:t>%</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Total Segment Revenues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294,177</w:t>
            </w:r>
          </w:p>
        </w:tc>
        <w:tc>
          <w:tcPr>
            <w:tcW w:w="920" w:type="dxa"/>
            <w:vAlign w:val="bottom"/>
            <w:gridSpan w:val="2"/>
          </w:tcPr>
          <w:p>
            <w:pPr>
              <w:jc w:val="right"/>
              <w:ind w:right="30"/>
              <w:spacing w:after="0" w:line="197"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2"/>
                <w:szCs w:val="22"/>
                <w:i w:val="1"/>
                <w:iCs w:val="1"/>
                <w:color w:val="auto"/>
                <w:vertAlign w:val="superscript"/>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263,464</w:t>
            </w:r>
          </w:p>
        </w:tc>
        <w:tc>
          <w:tcPr>
            <w:tcW w:w="920" w:type="dxa"/>
            <w:vAlign w:val="bottom"/>
            <w:gridSpan w:val="2"/>
          </w:tcPr>
          <w:p>
            <w:pPr>
              <w:jc w:val="right"/>
              <w:ind w:right="30"/>
              <w:spacing w:after="0" w:line="197"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2"/>
                <w:szCs w:val="22"/>
                <w:i w:val="1"/>
                <w:iCs w:val="1"/>
                <w:color w:val="auto"/>
                <w:vertAlign w:val="superscript"/>
              </w:rPr>
              <w:t>%</w:t>
            </w:r>
          </w:p>
        </w:tc>
        <w:tc>
          <w:tcPr>
            <w:tcW w:w="100" w:type="dxa"/>
            <w:vAlign w:val="bottom"/>
          </w:tcPr>
          <w:p>
            <w:pPr>
              <w:spacing w:after="0"/>
              <w:rPr>
                <w:sz w:val="17"/>
                <w:szCs w:val="17"/>
                <w:color w:val="auto"/>
              </w:rPr>
            </w:pPr>
          </w:p>
        </w:tc>
        <w:tc>
          <w:tcPr>
            <w:tcW w:w="1160" w:type="dxa"/>
            <w:vAlign w:val="bottom"/>
          </w:tcPr>
          <w:p>
            <w:pPr>
              <w:jc w:val="right"/>
              <w:ind w:right="71"/>
              <w:spacing w:after="0" w:line="197" w:lineRule="exact"/>
              <w:rPr>
                <w:sz w:val="20"/>
                <w:szCs w:val="20"/>
                <w:color w:val="auto"/>
              </w:rPr>
            </w:pPr>
            <w:r>
              <w:rPr>
                <w:rFonts w:ascii="Arial" w:cs="Arial" w:eastAsia="Arial" w:hAnsi="Arial"/>
                <w:sz w:val="12"/>
                <w:szCs w:val="12"/>
                <w:color w:val="auto"/>
              </w:rPr>
              <w:t xml:space="preserve">12 </w:t>
            </w:r>
            <w:r>
              <w:rPr>
                <w:rFonts w:ascii="Arial" w:cs="Arial" w:eastAsia="Arial" w:hAnsi="Arial"/>
                <w:sz w:val="22"/>
                <w:szCs w:val="22"/>
                <w:i w:val="1"/>
                <w:iCs w:val="1"/>
                <w:color w:val="auto"/>
                <w:vertAlign w:val="super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640" w:right="20" w:hanging="320"/>
        <w:spacing w:after="0" w:line="198" w:lineRule="auto"/>
        <w:tabs>
          <w:tab w:leader="none" w:pos="64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In the United States, revenues increased by 17%, or $23.2 million, primarily driven by a 9% increase in attendance, an 8% increase in average ticket price (ATP), and an increase of 5% in spend per patron (SPP).</w:t>
      </w:r>
    </w:p>
    <w:p>
      <w:pPr>
        <w:spacing w:after="0" w:line="80" w:lineRule="exact"/>
        <w:rPr>
          <w:rFonts w:ascii="Arial" w:cs="Arial" w:eastAsia="Arial" w:hAnsi="Arial"/>
          <w:sz w:val="29"/>
          <w:szCs w:val="29"/>
          <w:color w:val="auto"/>
          <w:vertAlign w:val="superscript"/>
        </w:rPr>
      </w:pPr>
    </w:p>
    <w:p>
      <w:pPr>
        <w:jc w:val="both"/>
        <w:ind w:left="640" w:right="200" w:hanging="320"/>
        <w:spacing w:after="0" w:line="212" w:lineRule="auto"/>
        <w:tabs>
          <w:tab w:leader="none" w:pos="64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Australia’s cinema revenue, stated in U.S. dollars, increased by 6%, or $5.4 million, primarily due to a 4% increase in ATP, a 3% increase in attendance, as well as a slight favorable increase in SPP. Additionally, the Newmarket ETC was fully operational for the entire year of 2018 which contributed to the overall positive results.</w:t>
      </w:r>
    </w:p>
    <w:p>
      <w:pPr>
        <w:spacing w:after="0" w:line="82" w:lineRule="exact"/>
        <w:rPr>
          <w:rFonts w:ascii="Arial" w:cs="Arial" w:eastAsia="Arial" w:hAnsi="Arial"/>
          <w:sz w:val="29"/>
          <w:szCs w:val="29"/>
          <w:color w:val="auto"/>
          <w:vertAlign w:val="superscript"/>
        </w:rPr>
      </w:pPr>
    </w:p>
    <w:p>
      <w:pPr>
        <w:ind w:left="640" w:right="240" w:hanging="320"/>
        <w:spacing w:after="0" w:line="198" w:lineRule="auto"/>
        <w:tabs>
          <w:tab w:leader="none" w:pos="64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In New Zealand, cinema revenue increased by 8%, or $2.2 million, mainly due to an 11% increase in attendance, coupled with a 2% increase in ATP and SPP.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products (excluding depreciation and amortization)</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Cost of services and products for 2018 increased by 9%, or $19.8 million, to $234.8 million mainly attributable to higher film rent and advertising costs in the U.S. due to higher box office revenue and higher concession costs due to increased concession sales. Increases were driven by operations in Australia at our Newmarket Cinema location related to costs associated with the full year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December 31, 2018 costs of services remained relatively flat compared to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 and products as a percentage of gross revenue increased to 82% in 2018 from 80%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general and administrative expense</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Depreciation, amortization, general and administrative expense for 2018 cinema operations increased by 29% or $4.6 million, to $20.0 million compared to 2017 primarily driven by the increase in depreciation resulting from improvements in several of our cinema facilities.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amortization, general and administrative expenses for the quarter ended December 31, 2018 increased by 23%, or $934,000, to $5.0 million primarily from the refurbishments and capital investments in the U.S. circuit.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Real Estate – 2018 vs. 2017</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4"/>
              </w:rPr>
              <w:t>2018 vs. 2017</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Favorable /</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20"/>
                <w:szCs w:val="20"/>
                <w:color w:val="auto"/>
              </w:rPr>
            </w:pPr>
            <w:r>
              <w:rPr>
                <w:rFonts w:ascii="Arial" w:cs="Arial" w:eastAsia="Arial" w:hAnsi="Arial"/>
                <w:sz w:val="13"/>
                <w:szCs w:val="13"/>
                <w:color w:val="auto"/>
              </w:rPr>
              <w:t>(Dollars in thousands)</w:t>
            </w: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37"/>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i w:val="1"/>
                <w:iCs w:val="1"/>
                <w:color w:val="auto"/>
              </w:rPr>
              <w:t>% of Revenue</w:t>
            </w:r>
          </w:p>
        </w:tc>
        <w:tc>
          <w:tcPr>
            <w:tcW w:w="22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i w:val="1"/>
                <w:iCs w:val="1"/>
                <w:color w:val="auto"/>
              </w:rPr>
              <w:t>% of Revenue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216"/>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2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United States</w:t>
            </w: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Live theater rental and ancillary income</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3,163</w:t>
            </w:r>
          </w:p>
        </w:tc>
        <w:tc>
          <w:tcPr>
            <w:tcW w:w="18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91 %</w:t>
            </w:r>
          </w:p>
        </w:tc>
        <w:tc>
          <w:tcPr>
            <w:tcW w:w="16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4,418</w:t>
            </w:r>
          </w:p>
        </w:tc>
        <w:tc>
          <w:tcPr>
            <w:tcW w:w="14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93 %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rental income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9 %</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7 %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3,480</w:t>
            </w:r>
          </w:p>
        </w:tc>
        <w:tc>
          <w:tcPr>
            <w:tcW w:w="180" w:type="dxa"/>
            <w:vAlign w:val="bottom"/>
          </w:tcPr>
          <w:p>
            <w:pPr>
              <w:spacing w:after="0"/>
              <w:rPr>
                <w:sz w:val="13"/>
                <w:szCs w:val="13"/>
                <w:color w:val="auto"/>
              </w:rPr>
            </w:pPr>
          </w:p>
        </w:tc>
        <w:tc>
          <w:tcPr>
            <w:tcW w:w="860" w:type="dxa"/>
            <w:vAlign w:val="bottom"/>
          </w:tcPr>
          <w:p>
            <w:pPr>
              <w:jc w:val="right"/>
              <w:ind w:right="97"/>
              <w:spacing w:after="0" w:line="141" w:lineRule="exact"/>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4,740</w:t>
            </w:r>
          </w:p>
        </w:tc>
        <w:tc>
          <w:tcPr>
            <w:tcW w:w="140" w:type="dxa"/>
            <w:vAlign w:val="bottom"/>
          </w:tcPr>
          <w:p>
            <w:pPr>
              <w:spacing w:after="0"/>
              <w:rPr>
                <w:sz w:val="13"/>
                <w:szCs w:val="13"/>
                <w:color w:val="auto"/>
              </w:rPr>
            </w:pPr>
          </w:p>
        </w:tc>
        <w:tc>
          <w:tcPr>
            <w:tcW w:w="1160" w:type="dxa"/>
            <w:vAlign w:val="bottom"/>
          </w:tcPr>
          <w:p>
            <w:pPr>
              <w:jc w:val="right"/>
              <w:ind w:right="37"/>
              <w:spacing w:after="0" w:line="141" w:lineRule="exact"/>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3"/>
                <w:szCs w:val="13"/>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(27) %</w:t>
            </w: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Australia</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rental income</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16,122</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100 %</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15,089</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48"/>
        </w:trPr>
        <w:tc>
          <w:tcPr>
            <w:tcW w:w="1500" w:type="dxa"/>
            <w:vAlign w:val="bottom"/>
            <w:tcBorders>
              <w:bottom w:val="single" w:sz="8" w:color="CCEEFF"/>
            </w:tcBorders>
            <w:shd w:val="clear" w:color="auto" w:fill="CCEEFF"/>
          </w:tcPr>
          <w:p>
            <w:pPr>
              <w:spacing w:after="0"/>
              <w:rPr>
                <w:sz w:val="4"/>
                <w:szCs w:val="4"/>
                <w:color w:val="auto"/>
              </w:rPr>
            </w:pPr>
          </w:p>
        </w:tc>
        <w:tc>
          <w:tcPr>
            <w:tcW w:w="27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New Zealand</w:t>
            </w: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Property rental income</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4,633</w:t>
            </w:r>
          </w:p>
        </w:tc>
        <w:tc>
          <w:tcPr>
            <w:tcW w:w="180" w:type="dxa"/>
            <w:vAlign w:val="bottom"/>
          </w:tcPr>
          <w:p>
            <w:pPr>
              <w:spacing w:after="0"/>
              <w:rPr>
                <w:sz w:val="12"/>
                <w:szCs w:val="12"/>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4,159</w:t>
            </w:r>
          </w:p>
        </w:tc>
        <w:tc>
          <w:tcPr>
            <w:tcW w:w="140" w:type="dxa"/>
            <w:vAlign w:val="bottom"/>
          </w:tcPr>
          <w:p>
            <w:pPr>
              <w:spacing w:after="0"/>
              <w:rPr>
                <w:sz w:val="12"/>
                <w:szCs w:val="1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38"/>
        </w:trPr>
        <w:tc>
          <w:tcPr>
            <w:tcW w:w="15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1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b w:val="1"/>
                <w:bCs w:val="1"/>
                <w:color w:val="auto"/>
              </w:rPr>
              <w:t>Total revenue</w:t>
            </w:r>
          </w:p>
        </w:tc>
        <w:tc>
          <w:tcPr>
            <w:tcW w:w="2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24,235</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23,988</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3"/>
                <w:szCs w:val="13"/>
                <w:b w:val="1"/>
                <w:bCs w:val="1"/>
                <w:color w:val="auto"/>
              </w:rPr>
              <w:t>OPERATING EXPENSE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United States</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Live theater cost</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(1,222)</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(35)%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(1,105)</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Property cost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(520)</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(15)%</w:t>
            </w:r>
          </w:p>
        </w:tc>
        <w:tc>
          <w:tcPr>
            <w:tcW w:w="16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(388)</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Occupancy expense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(696)</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(660)</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(2,438)</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(70)%</w:t>
            </w:r>
          </w:p>
        </w:tc>
        <w:tc>
          <w:tcPr>
            <w:tcW w:w="160" w:type="dxa"/>
            <w:vAlign w:val="bottom"/>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(2,153)</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(45)%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Australia</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cost</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(3,138)</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(3,031)</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(2,531)</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(2,375)</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(5,669)</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(35)%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(5,406)</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216"/>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New Zealand</w:t>
            </w: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Property cost</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(1,199)</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(26)%</w:t>
            </w:r>
          </w:p>
        </w:tc>
        <w:tc>
          <w:tcPr>
            <w:tcW w:w="16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(1,295)</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(31)%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Occupancy expense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(598)</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(582)</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(1,797)</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(39)%</w:t>
            </w:r>
          </w:p>
        </w:tc>
        <w:tc>
          <w:tcPr>
            <w:tcW w:w="160" w:type="dxa"/>
            <w:vAlign w:val="bottom"/>
          </w:tcPr>
          <w:p>
            <w:pPr>
              <w:spacing w:after="0"/>
              <w:rPr>
                <w:sz w:val="15"/>
                <w:szCs w:val="15"/>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(1,877)</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(45)%</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27"/>
        </w:trPr>
        <w:tc>
          <w:tcPr>
            <w:tcW w:w="15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w w:val="88"/>
              </w:rPr>
              <w:t>Total operating expense</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(9,904)</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(9,436)</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90"/>
        </w:trPr>
        <w:tc>
          <w:tcPr>
            <w:tcW w:w="4400" w:type="dxa"/>
            <w:vAlign w:val="bottom"/>
            <w:tcBorders>
              <w:top w:val="single" w:sz="8" w:color="CCEEFF"/>
            </w:tcBorders>
            <w:gridSpan w:val="3"/>
          </w:tcPr>
          <w:p>
            <w:pPr>
              <w:spacing w:after="0" w:line="91" w:lineRule="exact"/>
              <w:rPr>
                <w:sz w:val="20"/>
                <w:szCs w:val="20"/>
                <w:color w:val="auto"/>
              </w:rPr>
            </w:pPr>
            <w:r>
              <w:rPr>
                <w:rFonts w:ascii="Arial" w:cs="Arial" w:eastAsia="Arial" w:hAnsi="Arial"/>
                <w:sz w:val="9"/>
                <w:szCs w:val="9"/>
                <w:b w:val="1"/>
                <w:bCs w:val="1"/>
                <w:color w:val="auto"/>
              </w:rPr>
              <w:t>DEPRECIATION, AMORTIZATION, GENERAL AND ADMINISTRATIVE</w:t>
            </w:r>
          </w:p>
        </w:tc>
        <w:tc>
          <w:tcPr>
            <w:tcW w:w="2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860" w:type="dxa"/>
            <w:vAlign w:val="bottom"/>
            <w:tcBorders>
              <w:top w:val="single" w:sz="8" w:color="CCEEFF"/>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160" w:type="dxa"/>
            <w:vAlign w:val="bottom"/>
            <w:tcBorders>
              <w:top w:val="single" w:sz="8" w:color="CCEEFF"/>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80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20"/>
                <w:szCs w:val="20"/>
                <w:color w:val="auto"/>
              </w:rPr>
            </w:pPr>
            <w:r>
              <w:rPr>
                <w:rFonts w:ascii="Arial" w:cs="Arial" w:eastAsia="Arial" w:hAnsi="Arial"/>
                <w:sz w:val="13"/>
                <w:szCs w:val="13"/>
                <w:b w:val="1"/>
                <w:bCs w:val="1"/>
                <w:color w:val="auto"/>
              </w:rPr>
              <w:t>EXPENSE</w:t>
            </w: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00" w:type="dxa"/>
            <w:vAlign w:val="bottom"/>
            <w:shd w:val="clear" w:color="auto" w:fill="CCEEFF"/>
          </w:tcPr>
          <w:p>
            <w:pPr>
              <w:ind w:left="160"/>
              <w:spacing w:after="0" w:line="117" w:lineRule="exact"/>
              <w:rPr>
                <w:sz w:val="20"/>
                <w:szCs w:val="20"/>
                <w:color w:val="auto"/>
              </w:rPr>
            </w:pPr>
            <w:r>
              <w:rPr>
                <w:rFonts w:ascii="Arial" w:cs="Arial" w:eastAsia="Arial" w:hAnsi="Arial"/>
                <w:sz w:val="13"/>
                <w:szCs w:val="13"/>
                <w:b w:val="1"/>
                <w:bCs w:val="1"/>
                <w:color w:val="auto"/>
              </w:rPr>
              <w:t>United</w:t>
            </w:r>
          </w:p>
        </w:tc>
        <w:tc>
          <w:tcPr>
            <w:tcW w:w="2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States</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(777)</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(22)%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(615)</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(13)%</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(627)</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(774)</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(1,404)</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(40)%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(1,389)</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216"/>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Australia</w:t>
            </w: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(3,752)</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(23)%</w:t>
            </w:r>
          </w:p>
        </w:tc>
        <w:tc>
          <w:tcPr>
            <w:tcW w:w="16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(2,693)</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(1,699)</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(1,367)</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(5,451)</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(34)%</w:t>
            </w:r>
          </w:p>
        </w:tc>
        <w:tc>
          <w:tcPr>
            <w:tcW w:w="160" w:type="dxa"/>
            <w:vAlign w:val="bottom"/>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(4,060)</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(27)%</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 %</w:t>
            </w:r>
          </w:p>
        </w:tc>
        <w:tc>
          <w:tcPr>
            <w:tcW w:w="0" w:type="dxa"/>
            <w:vAlign w:val="bottom"/>
          </w:tcPr>
          <w:p>
            <w:pPr>
              <w:spacing w:after="0"/>
              <w:rPr>
                <w:sz w:val="1"/>
                <w:szCs w:val="1"/>
                <w:color w:val="auto"/>
              </w:rPr>
            </w:pPr>
          </w:p>
        </w:tc>
      </w:tr>
      <w:tr>
        <w:trPr>
          <w:trHeight w:val="117"/>
        </w:trPr>
        <w:tc>
          <w:tcPr>
            <w:tcW w:w="1500" w:type="dxa"/>
            <w:vAlign w:val="bottom"/>
            <w:shd w:val="clear" w:color="auto" w:fill="CCEEFF"/>
          </w:tcPr>
          <w:p>
            <w:pPr>
              <w:ind w:left="160"/>
              <w:spacing w:after="0" w:line="117" w:lineRule="exact"/>
              <w:rPr>
                <w:sz w:val="20"/>
                <w:szCs w:val="20"/>
                <w:color w:val="auto"/>
              </w:rPr>
            </w:pPr>
            <w:r>
              <w:rPr>
                <w:rFonts w:ascii="Arial" w:cs="Arial" w:eastAsia="Arial" w:hAnsi="Arial"/>
                <w:sz w:val="13"/>
                <w:szCs w:val="13"/>
                <w:b w:val="1"/>
                <w:bCs w:val="1"/>
                <w:color w:val="auto"/>
              </w:rPr>
              <w:t>New</w:t>
            </w:r>
          </w:p>
        </w:tc>
        <w:tc>
          <w:tcPr>
            <w:tcW w:w="2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Zealand</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(1,038)</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(22)%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(947)</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(23)%</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(1,038)</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(22)%</w:t>
            </w:r>
          </w:p>
        </w:tc>
        <w:tc>
          <w:tcPr>
            <w:tcW w:w="160" w:type="dxa"/>
            <w:vAlign w:val="bottom"/>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(947)</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(23)%</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00" w:type="dxa"/>
            <w:vAlign w:val="bottom"/>
            <w:gridSpan w:val="3"/>
          </w:tcPr>
          <w:p>
            <w:pPr>
              <w:ind w:left="160"/>
              <w:spacing w:after="0"/>
              <w:rPr>
                <w:sz w:val="20"/>
                <w:szCs w:val="20"/>
                <w:color w:val="auto"/>
              </w:rPr>
            </w:pPr>
            <w:r>
              <w:rPr>
                <w:rFonts w:ascii="Arial" w:cs="Arial" w:eastAsia="Arial" w:hAnsi="Arial"/>
                <w:sz w:val="13"/>
                <w:szCs w:val="13"/>
                <w:b w:val="1"/>
                <w:bCs w:val="1"/>
                <w:color w:val="auto"/>
                <w:w w:val="93"/>
              </w:rPr>
              <w:t>Total depreciation, amortization, and general and administrative expense</w:t>
            </w:r>
          </w:p>
        </w:tc>
        <w:tc>
          <w:tcPr>
            <w:tcW w:w="280" w:type="dxa"/>
            <w:vAlign w:val="bottom"/>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(7,893)</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(33)%</w:t>
            </w:r>
          </w:p>
        </w:tc>
        <w:tc>
          <w:tcPr>
            <w:tcW w:w="160" w:type="dxa"/>
            <w:vAlign w:val="bottom"/>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(6,396)</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(27)%</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236"/>
        </w:trPr>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500" w:type="dxa"/>
            <w:vAlign w:val="bottom"/>
          </w:tcPr>
          <w:p>
            <w:pPr>
              <w:ind w:left="160"/>
              <w:spacing w:after="0" w:line="91" w:lineRule="exact"/>
              <w:rPr>
                <w:sz w:val="20"/>
                <w:szCs w:val="20"/>
                <w:color w:val="auto"/>
              </w:rPr>
            </w:pPr>
            <w:r>
              <w:rPr>
                <w:rFonts w:ascii="Arial" w:cs="Arial" w:eastAsia="Arial" w:hAnsi="Arial"/>
                <w:sz w:val="9"/>
                <w:szCs w:val="9"/>
                <w:b w:val="1"/>
                <w:bCs w:val="1"/>
                <w:color w:val="auto"/>
              </w:rPr>
              <w:t>Total</w:t>
            </w:r>
          </w:p>
        </w:tc>
        <w:tc>
          <w:tcPr>
            <w:tcW w:w="2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vMerge w:val="restart"/>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(17,797)</w:t>
            </w: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vMerge w:val="restart"/>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(15,832)</w:t>
            </w: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500" w:type="dxa"/>
            <w:vAlign w:val="bottom"/>
          </w:tcPr>
          <w:p>
            <w:pPr>
              <w:ind w:left="160"/>
              <w:spacing w:after="0" w:line="140" w:lineRule="exact"/>
              <w:rPr>
                <w:sz w:val="20"/>
                <w:szCs w:val="20"/>
                <w:color w:val="auto"/>
              </w:rPr>
            </w:pPr>
            <w:r>
              <w:rPr>
                <w:rFonts w:ascii="Arial" w:cs="Arial" w:eastAsia="Arial" w:hAnsi="Arial"/>
                <w:sz w:val="13"/>
                <w:szCs w:val="13"/>
                <w:b w:val="1"/>
                <w:bCs w:val="1"/>
                <w:color w:val="auto"/>
              </w:rPr>
              <w:t>expenses</w:t>
            </w: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60" w:type="dxa"/>
            <w:vAlign w:val="bottom"/>
          </w:tcPr>
          <w:p>
            <w:pPr>
              <w:jc w:val="right"/>
              <w:ind w:right="97"/>
              <w:spacing w:after="0" w:line="140" w:lineRule="exact"/>
              <w:rPr>
                <w:sz w:val="20"/>
                <w:szCs w:val="20"/>
                <w:color w:val="auto"/>
              </w:rPr>
            </w:pPr>
            <w:r>
              <w:rPr>
                <w:rFonts w:ascii="Arial" w:cs="Arial" w:eastAsia="Arial" w:hAnsi="Arial"/>
                <w:sz w:val="13"/>
                <w:szCs w:val="13"/>
                <w:i w:val="1"/>
                <w:iCs w:val="1"/>
                <w:color w:val="auto"/>
              </w:rPr>
              <w:t>(73)%</w:t>
            </w:r>
          </w:p>
        </w:tc>
        <w:tc>
          <w:tcPr>
            <w:tcW w:w="1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60" w:type="dxa"/>
            <w:vAlign w:val="bottom"/>
          </w:tcPr>
          <w:p>
            <w:pPr>
              <w:jc w:val="right"/>
              <w:ind w:right="37"/>
              <w:spacing w:after="0" w:line="140" w:lineRule="exact"/>
              <w:rPr>
                <w:sz w:val="20"/>
                <w:szCs w:val="20"/>
                <w:color w:val="auto"/>
              </w:rPr>
            </w:pPr>
            <w:r>
              <w:rPr>
                <w:rFonts w:ascii="Arial" w:cs="Arial" w:eastAsia="Arial" w:hAnsi="Arial"/>
                <w:sz w:val="13"/>
                <w:szCs w:val="13"/>
                <w:i w:val="1"/>
                <w:iCs w:val="1"/>
                <w:color w:val="auto"/>
              </w:rPr>
              <w:t>(66)%</w:t>
            </w:r>
          </w:p>
        </w:tc>
        <w:tc>
          <w:tcPr>
            <w:tcW w:w="16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216"/>
        </w:trPr>
        <w:tc>
          <w:tcPr>
            <w:tcW w:w="1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United States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(362)</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(10)%</w:t>
            </w:r>
          </w:p>
        </w:tc>
        <w:tc>
          <w:tcPr>
            <w:tcW w:w="16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1,198</w:t>
            </w:r>
          </w:p>
        </w:tc>
        <w:tc>
          <w:tcPr>
            <w:tcW w:w="14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25 %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Australia</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31 %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37 %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223"/>
        </w:trPr>
        <w:tc>
          <w:tcPr>
            <w:tcW w:w="1500" w:type="dxa"/>
            <w:vAlign w:val="bottom"/>
            <w:tcBorders>
              <w:bottom w:val="single" w:sz="8" w:color="CCEEFF"/>
            </w:tcBorders>
          </w:tcPr>
          <w:p>
            <w:pPr>
              <w:ind w:left="160"/>
              <w:spacing w:after="0"/>
              <w:rPr>
                <w:sz w:val="20"/>
                <w:szCs w:val="20"/>
                <w:color w:val="auto"/>
              </w:rPr>
            </w:pPr>
            <w:r>
              <w:rPr>
                <w:rFonts w:ascii="Arial" w:cs="Arial" w:eastAsia="Arial" w:hAnsi="Arial"/>
                <w:sz w:val="13"/>
                <w:szCs w:val="13"/>
                <w:b w:val="1"/>
                <w:bCs w:val="1"/>
                <w:color w:val="auto"/>
              </w:rPr>
              <w:t>New Zealand</w:t>
            </w:r>
          </w:p>
        </w:tc>
        <w:tc>
          <w:tcPr>
            <w:tcW w:w="27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1,798</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ind w:right="97"/>
              <w:spacing w:after="0"/>
              <w:rPr>
                <w:sz w:val="20"/>
                <w:szCs w:val="20"/>
                <w:color w:val="auto"/>
              </w:rPr>
            </w:pPr>
            <w:r>
              <w:rPr>
                <w:rFonts w:ascii="Arial" w:cs="Arial" w:eastAsia="Arial" w:hAnsi="Arial"/>
                <w:sz w:val="13"/>
                <w:szCs w:val="13"/>
                <w:i w:val="1"/>
                <w:iCs w:val="1"/>
                <w:color w:val="auto"/>
              </w:rPr>
              <w:t>39 %</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1,335</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i w:val="1"/>
                <w:iCs w:val="1"/>
                <w:color w:val="auto"/>
              </w:rPr>
              <w:t>32 %</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b w:val="1"/>
                <w:bCs w:val="1"/>
                <w:color w:val="auto"/>
                <w:w w:val="92"/>
              </w:rPr>
              <w:t>Total operating income</w:t>
            </w:r>
          </w:p>
        </w:tc>
        <w:tc>
          <w:tcPr>
            <w:tcW w:w="2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6,438</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27 %</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8,156</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34 %</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0" w:name="page61"/>
    <w:bookmarkEnd w:id="60"/>
    <w:p>
      <w:pPr>
        <w:ind w:right="660"/>
        <w:spacing w:after="0" w:line="282" w:lineRule="auto"/>
        <w:rPr>
          <w:sz w:val="20"/>
          <w:szCs w:val="20"/>
          <w:color w:val="auto"/>
        </w:rPr>
      </w:pPr>
      <w:r>
        <w:rPr>
          <w:rFonts w:ascii="Arial" w:cs="Arial" w:eastAsia="Arial" w:hAnsi="Arial"/>
          <w:sz w:val="18"/>
          <w:szCs w:val="18"/>
          <w:b w:val="1"/>
          <w:bCs w:val="1"/>
          <w:u w:val="single" w:color="auto"/>
          <w:color w:val="auto"/>
        </w:rPr>
        <w:t>Real Estate</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real estate segment operating results for the quarter ended December 31, 2018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December 31, 2017,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2018 vs. 2017</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Favorable /</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20"/>
                <w:szCs w:val="20"/>
                <w:color w:val="auto"/>
              </w:rPr>
            </w:pPr>
            <w:r>
              <w:rPr>
                <w:rFonts w:ascii="Arial" w:cs="Arial" w:eastAsia="Arial" w:hAnsi="Arial"/>
                <w:sz w:val="13"/>
                <w:szCs w:val="13"/>
                <w:color w:val="auto"/>
                <w:w w:val="93"/>
              </w:rPr>
              <w:t>(Dollars in thousands)</w:t>
            </w:r>
          </w:p>
        </w:tc>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5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i w:val="1"/>
                <w:iCs w:val="1"/>
                <w:color w:val="auto"/>
              </w:rPr>
              <w:t>% of Revenue</w:t>
            </w:r>
          </w:p>
        </w:tc>
        <w:tc>
          <w:tcPr>
            <w:tcW w:w="240" w:type="dxa"/>
            <w:vAlign w:val="bottom"/>
          </w:tcPr>
          <w:p>
            <w:pPr>
              <w:spacing w:after="0"/>
              <w:rPr>
                <w:sz w:val="13"/>
                <w:szCs w:val="13"/>
                <w:color w:val="auto"/>
              </w:rPr>
            </w:pPr>
          </w:p>
        </w:tc>
        <w:tc>
          <w:tcPr>
            <w:tcW w:w="800" w:type="dxa"/>
            <w:vAlign w:val="bottom"/>
          </w:tcPr>
          <w:p>
            <w:pPr>
              <w:jc w:val="right"/>
              <w:ind w:right="317"/>
              <w:spacing w:after="0"/>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3"/>
                <w:szCs w:val="13"/>
                <w:color w:val="auto"/>
              </w:rPr>
            </w:pPr>
          </w:p>
        </w:tc>
        <w:tc>
          <w:tcPr>
            <w:tcW w:w="1200" w:type="dxa"/>
            <w:vAlign w:val="bottom"/>
          </w:tcPr>
          <w:p>
            <w:pPr>
              <w:jc w:val="right"/>
              <w:ind w:right="197"/>
              <w:spacing w:after="0"/>
              <w:rPr>
                <w:sz w:val="20"/>
                <w:szCs w:val="20"/>
                <w:color w:val="auto"/>
              </w:rPr>
            </w:pPr>
            <w:r>
              <w:rPr>
                <w:rFonts w:ascii="Arial" w:cs="Arial" w:eastAsia="Arial" w:hAnsi="Arial"/>
                <w:sz w:val="13"/>
                <w:szCs w:val="13"/>
                <w:i w:val="1"/>
                <w:iCs w:val="1"/>
                <w:color w:val="auto"/>
              </w:rPr>
              <w:t>% of Revenue</w:t>
            </w:r>
          </w:p>
        </w:tc>
        <w:tc>
          <w:tcPr>
            <w:tcW w:w="1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149"/>
        </w:trPr>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2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tcPr>
          <w:p>
            <w:pPr>
              <w:ind w:left="80"/>
              <w:spacing w:after="0"/>
              <w:rPr>
                <w:sz w:val="20"/>
                <w:szCs w:val="20"/>
                <w:color w:val="auto"/>
              </w:rPr>
            </w:pPr>
            <w:r>
              <w:rPr>
                <w:rFonts w:ascii="Arial" w:cs="Arial" w:eastAsia="Arial" w:hAnsi="Arial"/>
                <w:sz w:val="13"/>
                <w:szCs w:val="13"/>
                <w:color w:val="auto"/>
              </w:rPr>
              <w:t>Live theater rental and ancillary income</w:t>
            </w:r>
          </w:p>
        </w:tc>
        <w:tc>
          <w:tcPr>
            <w:tcW w:w="4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906</w:t>
            </w:r>
          </w:p>
        </w:tc>
        <w:tc>
          <w:tcPr>
            <w:tcW w:w="20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85 %</w:t>
            </w:r>
          </w:p>
        </w:tc>
        <w:tc>
          <w:tcPr>
            <w:tcW w:w="16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1,492</w:t>
            </w:r>
          </w:p>
        </w:tc>
        <w:tc>
          <w:tcPr>
            <w:tcW w:w="180" w:type="dxa"/>
            <w:vAlign w:val="bottom"/>
          </w:tcPr>
          <w:p>
            <w:pPr>
              <w:spacing w:after="0"/>
              <w:rPr>
                <w:sz w:val="14"/>
                <w:szCs w:val="14"/>
                <w:color w:val="auto"/>
              </w:rPr>
            </w:pPr>
          </w:p>
        </w:tc>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98 %</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(39) %</w:t>
            </w: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spacing w:after="0"/>
              <w:rPr>
                <w:sz w:val="14"/>
                <w:szCs w:val="14"/>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Property rental income</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15 %</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1,070</w:t>
            </w:r>
          </w:p>
        </w:tc>
        <w:tc>
          <w:tcPr>
            <w:tcW w:w="200" w:type="dxa"/>
            <w:vAlign w:val="bottom"/>
          </w:tcPr>
          <w:p>
            <w:pPr>
              <w:spacing w:after="0"/>
              <w:rPr>
                <w:sz w:val="12"/>
                <w:szCs w:val="12"/>
                <w:color w:val="auto"/>
              </w:rPr>
            </w:pPr>
          </w:p>
        </w:tc>
        <w:tc>
          <w:tcPr>
            <w:tcW w:w="880" w:type="dxa"/>
            <w:vAlign w:val="bottom"/>
          </w:tcPr>
          <w:p>
            <w:pPr>
              <w:jc w:val="right"/>
              <w:ind w:right="117"/>
              <w:spacing w:after="0" w:line="141" w:lineRule="exact"/>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1,517</w:t>
            </w:r>
          </w:p>
        </w:tc>
        <w:tc>
          <w:tcPr>
            <w:tcW w:w="180" w:type="dxa"/>
            <w:vAlign w:val="bottom"/>
          </w:tcPr>
          <w:p>
            <w:pPr>
              <w:spacing w:after="0"/>
              <w:rPr>
                <w:sz w:val="12"/>
                <w:szCs w:val="12"/>
                <w:color w:val="auto"/>
              </w:rPr>
            </w:pPr>
          </w:p>
        </w:tc>
        <w:tc>
          <w:tcPr>
            <w:tcW w:w="1200" w:type="dxa"/>
            <w:vAlign w:val="bottom"/>
          </w:tcPr>
          <w:p>
            <w:pPr>
              <w:jc w:val="right"/>
              <w:ind w:right="77"/>
              <w:spacing w:after="0" w:line="141" w:lineRule="exact"/>
              <w:rPr>
                <w:sz w:val="20"/>
                <w:szCs w:val="20"/>
                <w:color w:val="auto"/>
              </w:rPr>
            </w:pPr>
            <w:r>
              <w:rPr>
                <w:rFonts w:ascii="Arial" w:cs="Arial" w:eastAsia="Arial" w:hAnsi="Arial"/>
                <w:sz w:val="13"/>
                <w:szCs w:val="13"/>
                <w:i w:val="1"/>
                <w:iCs w:val="1"/>
                <w:color w:val="auto"/>
              </w:rPr>
              <w:t>100 %</w:t>
            </w:r>
          </w:p>
        </w:tc>
        <w:tc>
          <w:tcPr>
            <w:tcW w:w="100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(29) %</w:t>
            </w: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Australia</w:t>
            </w: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Property rental income</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3,816</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100 %</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3,777</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Property rental income</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1,144</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ind w:right="117"/>
              <w:spacing w:after="0"/>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1,143</w:t>
            </w:r>
          </w:p>
        </w:tc>
        <w:tc>
          <w:tcPr>
            <w:tcW w:w="1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b w:val="1"/>
                <w:bCs w:val="1"/>
                <w:color w:val="auto"/>
              </w:rPr>
              <w:t>Total revenue</w:t>
            </w:r>
          </w:p>
        </w:tc>
        <w:tc>
          <w:tcPr>
            <w:tcW w:w="27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6,030</w:t>
            </w:r>
          </w:p>
        </w:tc>
        <w:tc>
          <w:tcPr>
            <w:tcW w:w="2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6,437</w:t>
            </w:r>
          </w:p>
        </w:tc>
        <w:tc>
          <w:tcPr>
            <w:tcW w:w="1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100 %</w:t>
            </w:r>
          </w:p>
        </w:tc>
        <w:tc>
          <w:tcPr>
            <w:tcW w:w="1000" w:type="dxa"/>
            <w:vAlign w:val="bottom"/>
            <w:tcBorders>
              <w:bottom w:val="single" w:sz="8" w:color="CCEEFF"/>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136"/>
        </w:trPr>
        <w:tc>
          <w:tcPr>
            <w:tcW w:w="398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rPr>
              <w:t>OPERATING EXPENSE</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Live theater cost</w:t>
            </w:r>
          </w:p>
        </w:tc>
        <w:tc>
          <w:tcPr>
            <w:tcW w:w="48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(271)</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(271)</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(18)%</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Property cost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(128)</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(12)%</w:t>
            </w:r>
          </w:p>
        </w:tc>
        <w:tc>
          <w:tcPr>
            <w:tcW w:w="16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105</w:t>
            </w:r>
          </w:p>
        </w:tc>
        <w:tc>
          <w:tcPr>
            <w:tcW w:w="180" w:type="dxa"/>
            <w:vAlign w:val="bottom"/>
          </w:tcPr>
          <w:p>
            <w:pPr>
              <w:spacing w:after="0"/>
              <w:rPr>
                <w:sz w:val="14"/>
                <w:szCs w:val="14"/>
                <w:color w:val="auto"/>
              </w:rPr>
            </w:pPr>
          </w:p>
        </w:tc>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7 %</w:t>
            </w:r>
          </w:p>
        </w:tc>
        <w:tc>
          <w:tcPr>
            <w:tcW w:w="800" w:type="dxa"/>
            <w:vAlign w:val="bottom"/>
            <w:gridSpan w:val="2"/>
          </w:tcPr>
          <w:p>
            <w:pPr>
              <w:jc w:val="right"/>
              <w:ind w:right="217"/>
              <w:spacing w:after="0"/>
              <w:rPr>
                <w:sz w:val="20"/>
                <w:szCs w:val="20"/>
                <w:color w:val="auto"/>
              </w:rPr>
            </w:pPr>
            <w:r>
              <w:rPr>
                <w:rFonts w:ascii="Arial" w:cs="Arial" w:eastAsia="Arial" w:hAnsi="Arial"/>
                <w:sz w:val="13"/>
                <w:szCs w:val="13"/>
                <w:color w:val="auto"/>
              </w:rPr>
              <w:t>(&gt;100)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spacing w:after="0"/>
              <w:rPr>
                <w:sz w:val="14"/>
                <w:szCs w:val="14"/>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Occupancy expense</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(170)</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(16)%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(173)</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jc w:val="right"/>
              <w:ind w:right="157"/>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(569)</w:t>
            </w:r>
          </w:p>
        </w:tc>
        <w:tc>
          <w:tcPr>
            <w:tcW w:w="200" w:type="dxa"/>
            <w:vAlign w:val="bottom"/>
          </w:tcPr>
          <w:p>
            <w:pPr>
              <w:spacing w:after="0"/>
              <w:rPr>
                <w:sz w:val="12"/>
                <w:szCs w:val="12"/>
                <w:color w:val="auto"/>
              </w:rPr>
            </w:pPr>
          </w:p>
        </w:tc>
        <w:tc>
          <w:tcPr>
            <w:tcW w:w="880" w:type="dxa"/>
            <w:vAlign w:val="bottom"/>
          </w:tcPr>
          <w:p>
            <w:pPr>
              <w:jc w:val="right"/>
              <w:ind w:right="117"/>
              <w:spacing w:after="0" w:line="143" w:lineRule="exact"/>
              <w:rPr>
                <w:sz w:val="20"/>
                <w:szCs w:val="20"/>
                <w:color w:val="auto"/>
              </w:rPr>
            </w:pPr>
            <w:r>
              <w:rPr>
                <w:rFonts w:ascii="Arial" w:cs="Arial" w:eastAsia="Arial" w:hAnsi="Arial"/>
                <w:sz w:val="13"/>
                <w:szCs w:val="13"/>
                <w:i w:val="1"/>
                <w:iCs w:val="1"/>
                <w:color w:val="auto"/>
              </w:rPr>
              <w:t>(53)%</w:t>
            </w: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(339)</w:t>
            </w:r>
          </w:p>
        </w:tc>
        <w:tc>
          <w:tcPr>
            <w:tcW w:w="180" w:type="dxa"/>
            <w:vAlign w:val="bottom"/>
          </w:tcPr>
          <w:p>
            <w:pPr>
              <w:spacing w:after="0"/>
              <w:rPr>
                <w:sz w:val="12"/>
                <w:szCs w:val="12"/>
                <w:color w:val="auto"/>
              </w:rPr>
            </w:pPr>
          </w:p>
        </w:tc>
        <w:tc>
          <w:tcPr>
            <w:tcW w:w="1200" w:type="dxa"/>
            <w:vAlign w:val="bottom"/>
          </w:tcPr>
          <w:p>
            <w:pPr>
              <w:jc w:val="right"/>
              <w:ind w:right="77"/>
              <w:spacing w:after="0" w:line="143" w:lineRule="exact"/>
              <w:rPr>
                <w:sz w:val="20"/>
                <w:szCs w:val="20"/>
                <w:color w:val="auto"/>
              </w:rPr>
            </w:pPr>
            <w:r>
              <w:rPr>
                <w:rFonts w:ascii="Arial" w:cs="Arial" w:eastAsia="Arial" w:hAnsi="Arial"/>
                <w:sz w:val="13"/>
                <w:szCs w:val="13"/>
                <w:i w:val="1"/>
                <w:iCs w:val="1"/>
                <w:color w:val="auto"/>
              </w:rPr>
              <w:t>(22)%</w:t>
            </w:r>
          </w:p>
        </w:tc>
        <w:tc>
          <w:tcPr>
            <w:tcW w:w="100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Australia</w:t>
            </w: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Property cost</w:t>
            </w:r>
          </w:p>
        </w:tc>
        <w:tc>
          <w:tcPr>
            <w:tcW w:w="48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(838)</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(870)</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Occupancy expense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(660)</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(17)%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(642)</w:t>
            </w:r>
          </w:p>
        </w:tc>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(17)%</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7"/>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(1,498)</w:t>
            </w: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jc w:val="right"/>
              <w:ind w:right="117"/>
              <w:spacing w:after="0" w:line="143" w:lineRule="exact"/>
              <w:rPr>
                <w:sz w:val="20"/>
                <w:szCs w:val="20"/>
                <w:color w:val="auto"/>
              </w:rPr>
            </w:pPr>
            <w:r>
              <w:rPr>
                <w:rFonts w:ascii="Arial" w:cs="Arial" w:eastAsia="Arial" w:hAnsi="Arial"/>
                <w:sz w:val="13"/>
                <w:szCs w:val="13"/>
                <w:i w:val="1"/>
                <w:iCs w:val="1"/>
                <w:color w:val="auto"/>
              </w:rPr>
              <w:t>(39)%</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7"/>
              <w:spacing w:after="0" w:line="143" w:lineRule="exact"/>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(1,512)</w:t>
            </w:r>
          </w:p>
        </w:tc>
        <w:tc>
          <w:tcPr>
            <w:tcW w:w="1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jc w:val="right"/>
              <w:ind w:right="77"/>
              <w:spacing w:after="0" w:line="143" w:lineRule="exact"/>
              <w:rPr>
                <w:sz w:val="20"/>
                <w:szCs w:val="20"/>
                <w:color w:val="auto"/>
              </w:rPr>
            </w:pPr>
            <w:r>
              <w:rPr>
                <w:rFonts w:ascii="Arial" w:cs="Arial" w:eastAsia="Arial" w:hAnsi="Arial"/>
                <w:sz w:val="13"/>
                <w:szCs w:val="13"/>
                <w:i w:val="1"/>
                <w:iCs w:val="1"/>
                <w:color w:val="auto"/>
              </w:rPr>
              <w:t>(40)%</w:t>
            </w:r>
          </w:p>
        </w:tc>
        <w:tc>
          <w:tcPr>
            <w:tcW w:w="1000" w:type="dxa"/>
            <w:vAlign w:val="bottom"/>
            <w:tcBorders>
              <w:top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2"/>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tcPr>
          <w:p>
            <w:pPr>
              <w:ind w:left="80"/>
              <w:spacing w:after="0"/>
              <w:rPr>
                <w:sz w:val="20"/>
                <w:szCs w:val="20"/>
                <w:color w:val="auto"/>
              </w:rPr>
            </w:pPr>
            <w:r>
              <w:rPr>
                <w:rFonts w:ascii="Arial" w:cs="Arial" w:eastAsia="Arial" w:hAnsi="Arial"/>
                <w:sz w:val="13"/>
                <w:szCs w:val="13"/>
                <w:color w:val="auto"/>
              </w:rPr>
              <w:t>Property cost</w:t>
            </w:r>
          </w:p>
        </w:tc>
        <w:tc>
          <w:tcPr>
            <w:tcW w:w="4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(279)</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(24)%</w:t>
            </w:r>
          </w:p>
        </w:tc>
        <w:tc>
          <w:tcPr>
            <w:tcW w:w="16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(184)</w:t>
            </w:r>
          </w:p>
        </w:tc>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(16)%</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spacing w:after="0"/>
              <w:rPr>
                <w:sz w:val="14"/>
                <w:szCs w:val="14"/>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Occupancy expense</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(149)</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(13)%</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(143)</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36"/>
        </w:trPr>
        <w:tc>
          <w:tcPr>
            <w:tcW w:w="1200" w:type="dxa"/>
            <w:vAlign w:val="bottom"/>
            <w:tcBorders>
              <w:bottom w:val="single" w:sz="8" w:color="CCEEFF"/>
            </w:tcBorders>
          </w:tcPr>
          <w:p>
            <w:pPr>
              <w:spacing w:after="0"/>
              <w:rPr>
                <w:sz w:val="11"/>
                <w:szCs w:val="11"/>
                <w:color w:val="auto"/>
              </w:rPr>
            </w:pPr>
          </w:p>
        </w:tc>
        <w:tc>
          <w:tcPr>
            <w:tcW w:w="27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(428)</w:t>
            </w:r>
          </w:p>
        </w:tc>
        <w:tc>
          <w:tcPr>
            <w:tcW w:w="20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jc w:val="right"/>
              <w:ind w:right="117"/>
              <w:spacing w:after="0" w:line="129" w:lineRule="exact"/>
              <w:rPr>
                <w:sz w:val="20"/>
                <w:szCs w:val="20"/>
                <w:color w:val="auto"/>
              </w:rPr>
            </w:pPr>
            <w:r>
              <w:rPr>
                <w:rFonts w:ascii="Arial" w:cs="Arial" w:eastAsia="Arial" w:hAnsi="Arial"/>
                <w:sz w:val="13"/>
                <w:szCs w:val="13"/>
                <w:i w:val="1"/>
                <w:iCs w:val="1"/>
                <w:color w:val="auto"/>
              </w:rPr>
              <w:t>(37)%</w:t>
            </w:r>
          </w:p>
        </w:tc>
        <w:tc>
          <w:tcPr>
            <w:tcW w:w="1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(327)</w:t>
            </w:r>
          </w:p>
        </w:tc>
        <w:tc>
          <w:tcPr>
            <w:tcW w:w="1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jc w:val="right"/>
              <w:ind w:right="77"/>
              <w:spacing w:after="0" w:line="129" w:lineRule="exact"/>
              <w:rPr>
                <w:sz w:val="20"/>
                <w:szCs w:val="20"/>
                <w:color w:val="auto"/>
              </w:rPr>
            </w:pPr>
            <w:r>
              <w:rPr>
                <w:rFonts w:ascii="Arial" w:cs="Arial" w:eastAsia="Arial" w:hAnsi="Arial"/>
                <w:sz w:val="13"/>
                <w:szCs w:val="13"/>
                <w:i w:val="1"/>
                <w:iCs w:val="1"/>
                <w:color w:val="auto"/>
              </w:rPr>
              <w:t>(29)%</w:t>
            </w:r>
          </w:p>
        </w:tc>
        <w:tc>
          <w:tcPr>
            <w:tcW w:w="1000" w:type="dxa"/>
            <w:vAlign w:val="bottom"/>
            <w:tcBorders>
              <w:bottom w:val="single" w:sz="8" w:color="CCEEFF"/>
            </w:tcBorders>
            <w:gridSpan w:val="3"/>
          </w:tcPr>
          <w:p>
            <w:pPr>
              <w:jc w:val="right"/>
              <w:spacing w:after="0" w:line="129" w:lineRule="exact"/>
              <w:rPr>
                <w:sz w:val="20"/>
                <w:szCs w:val="20"/>
                <w:color w:val="auto"/>
              </w:rPr>
            </w:pPr>
            <w:r>
              <w:rPr>
                <w:rFonts w:ascii="Arial" w:cs="Arial" w:eastAsia="Arial" w:hAnsi="Arial"/>
                <w:sz w:val="13"/>
                <w:szCs w:val="13"/>
                <w:color w:val="auto"/>
              </w:rPr>
              <w:t>(31) %</w:t>
            </w:r>
          </w:p>
        </w:tc>
        <w:tc>
          <w:tcPr>
            <w:tcW w:w="0" w:type="dxa"/>
            <w:vAlign w:val="bottom"/>
          </w:tcPr>
          <w:p>
            <w:pPr>
              <w:spacing w:after="0"/>
              <w:rPr>
                <w:sz w:val="1"/>
                <w:szCs w:val="1"/>
                <w:color w:val="auto"/>
              </w:rPr>
            </w:pPr>
          </w:p>
        </w:tc>
      </w:tr>
      <w:tr>
        <w:trPr>
          <w:trHeight w:val="155"/>
        </w:trPr>
        <w:tc>
          <w:tcPr>
            <w:tcW w:w="3980" w:type="dxa"/>
            <w:vAlign w:val="bottom"/>
            <w:tcBorders>
              <w:bottom w:val="single" w:sz="8" w:color="CCEEFF"/>
            </w:tcBorders>
            <w:gridSpan w:val="2"/>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Total operating expense</w:t>
            </w:r>
          </w:p>
        </w:tc>
        <w:tc>
          <w:tcPr>
            <w:tcW w:w="1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57"/>
              <w:spacing w:after="0" w:line="135"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(2,495)</w:t>
            </w:r>
          </w:p>
        </w:tc>
        <w:tc>
          <w:tcPr>
            <w:tcW w:w="2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(41)%</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(2,178)</w:t>
            </w:r>
          </w:p>
        </w:tc>
        <w:tc>
          <w:tcPr>
            <w:tcW w:w="1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(34)%</w:t>
            </w:r>
          </w:p>
        </w:tc>
        <w:tc>
          <w:tcPr>
            <w:tcW w:w="1000" w:type="dxa"/>
            <w:vAlign w:val="bottom"/>
            <w:tcBorders>
              <w:bottom w:val="single" w:sz="8" w:color="CCEEFF"/>
            </w:tcBorders>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36"/>
        </w:trPr>
        <w:tc>
          <w:tcPr>
            <w:tcW w:w="4160" w:type="dxa"/>
            <w:vAlign w:val="bottom"/>
            <w:gridSpan w:val="3"/>
          </w:tcPr>
          <w:p>
            <w:pPr>
              <w:spacing w:after="0" w:line="136" w:lineRule="exact"/>
              <w:rPr>
                <w:sz w:val="20"/>
                <w:szCs w:val="20"/>
                <w:color w:val="auto"/>
              </w:rPr>
            </w:pPr>
            <w:r>
              <w:rPr>
                <w:rFonts w:ascii="Arial" w:cs="Arial" w:eastAsia="Arial" w:hAnsi="Arial"/>
                <w:sz w:val="13"/>
                <w:szCs w:val="13"/>
                <w:b w:val="1"/>
                <w:bCs w:val="1"/>
                <w:color w:val="auto"/>
                <w:w w:val="98"/>
              </w:rPr>
              <w:t>DEPRECIATION, AMORTIZATION, GENERAL AND ADMINISTRATIVE</w:t>
            </w:r>
          </w:p>
        </w:tc>
        <w:tc>
          <w:tcPr>
            <w:tcW w:w="1300" w:type="dxa"/>
            <w:vAlign w:val="bottom"/>
            <w:gridSpan w:val="2"/>
          </w:tcPr>
          <w:p>
            <w:pPr>
              <w:jc w:val="right"/>
              <w:ind w:right="597"/>
              <w:spacing w:after="0" w:line="136" w:lineRule="exact"/>
              <w:rPr>
                <w:sz w:val="20"/>
                <w:szCs w:val="20"/>
                <w:color w:val="auto"/>
              </w:rPr>
            </w:pPr>
            <w:r>
              <w:rPr>
                <w:rFonts w:ascii="Arial" w:cs="Arial" w:eastAsia="Arial" w:hAnsi="Arial"/>
                <w:sz w:val="13"/>
                <w:szCs w:val="13"/>
                <w:b w:val="1"/>
                <w:bCs w:val="1"/>
                <w:color w:val="auto"/>
              </w:rPr>
              <w:t>EXPENSE</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Depreciation and amortization</w:t>
            </w:r>
          </w:p>
        </w:tc>
        <w:tc>
          <w:tcPr>
            <w:tcW w:w="48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(195)</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(19)%</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(232)</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General and administrative expense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(154)</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(14)%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(98)</w:t>
            </w:r>
          </w:p>
        </w:tc>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(7)%</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7"/>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(349)</w:t>
            </w: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jc w:val="right"/>
              <w:ind w:right="117"/>
              <w:spacing w:after="0" w:line="143" w:lineRule="exact"/>
              <w:rPr>
                <w:sz w:val="20"/>
                <w:szCs w:val="20"/>
                <w:color w:val="auto"/>
              </w:rPr>
            </w:pPr>
            <w:r>
              <w:rPr>
                <w:rFonts w:ascii="Arial" w:cs="Arial" w:eastAsia="Arial" w:hAnsi="Arial"/>
                <w:sz w:val="13"/>
                <w:szCs w:val="13"/>
                <w:i w:val="1"/>
                <w:iCs w:val="1"/>
                <w:color w:val="auto"/>
              </w:rPr>
              <w:t>(33)%</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7"/>
              <w:spacing w:after="0" w:line="143" w:lineRule="exact"/>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(330)</w:t>
            </w:r>
          </w:p>
        </w:tc>
        <w:tc>
          <w:tcPr>
            <w:tcW w:w="1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jc w:val="right"/>
              <w:ind w:right="77"/>
              <w:spacing w:after="0" w:line="143" w:lineRule="exact"/>
              <w:rPr>
                <w:sz w:val="20"/>
                <w:szCs w:val="20"/>
                <w:color w:val="auto"/>
              </w:rPr>
            </w:pPr>
            <w:r>
              <w:rPr>
                <w:rFonts w:ascii="Arial" w:cs="Arial" w:eastAsia="Arial" w:hAnsi="Arial"/>
                <w:sz w:val="13"/>
                <w:szCs w:val="13"/>
                <w:i w:val="1"/>
                <w:iCs w:val="1"/>
                <w:color w:val="auto"/>
              </w:rPr>
              <w:t>(22)%</w:t>
            </w:r>
          </w:p>
        </w:tc>
        <w:tc>
          <w:tcPr>
            <w:tcW w:w="1000" w:type="dxa"/>
            <w:vAlign w:val="bottom"/>
            <w:tcBorders>
              <w:top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162"/>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780" w:type="dxa"/>
            <w:vAlign w:val="bottom"/>
          </w:tcPr>
          <w:p>
            <w:pPr>
              <w:ind w:left="80"/>
              <w:spacing w:after="0"/>
              <w:rPr>
                <w:sz w:val="20"/>
                <w:szCs w:val="20"/>
                <w:color w:val="auto"/>
              </w:rPr>
            </w:pPr>
            <w:r>
              <w:rPr>
                <w:rFonts w:ascii="Arial" w:cs="Arial" w:eastAsia="Arial" w:hAnsi="Arial"/>
                <w:sz w:val="13"/>
                <w:szCs w:val="13"/>
                <w:color w:val="auto"/>
              </w:rPr>
              <w:t>Depreciation and amortization</w:t>
            </w:r>
          </w:p>
        </w:tc>
        <w:tc>
          <w:tcPr>
            <w:tcW w:w="4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(922)</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(24)%</w:t>
            </w:r>
          </w:p>
        </w:tc>
        <w:tc>
          <w:tcPr>
            <w:tcW w:w="16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(757)</w:t>
            </w:r>
          </w:p>
        </w:tc>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(20)%</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spacing w:after="0"/>
              <w:rPr>
                <w:sz w:val="14"/>
                <w:szCs w:val="14"/>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General and administrative expense</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(466)</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(12)%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(372)</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jc w:val="right"/>
              <w:ind w:right="157"/>
              <w:spacing w:after="0" w:line="143"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(1,388)</w:t>
            </w:r>
          </w:p>
        </w:tc>
        <w:tc>
          <w:tcPr>
            <w:tcW w:w="200" w:type="dxa"/>
            <w:vAlign w:val="bottom"/>
          </w:tcPr>
          <w:p>
            <w:pPr>
              <w:spacing w:after="0"/>
              <w:rPr>
                <w:sz w:val="12"/>
                <w:szCs w:val="12"/>
                <w:color w:val="auto"/>
              </w:rPr>
            </w:pPr>
          </w:p>
        </w:tc>
        <w:tc>
          <w:tcPr>
            <w:tcW w:w="880" w:type="dxa"/>
            <w:vAlign w:val="bottom"/>
          </w:tcPr>
          <w:p>
            <w:pPr>
              <w:jc w:val="right"/>
              <w:ind w:right="117"/>
              <w:spacing w:after="0" w:line="143" w:lineRule="exact"/>
              <w:rPr>
                <w:sz w:val="20"/>
                <w:szCs w:val="20"/>
                <w:color w:val="auto"/>
              </w:rPr>
            </w:pPr>
            <w:r>
              <w:rPr>
                <w:rFonts w:ascii="Arial" w:cs="Arial" w:eastAsia="Arial" w:hAnsi="Arial"/>
                <w:sz w:val="13"/>
                <w:szCs w:val="13"/>
                <w:i w:val="1"/>
                <w:iCs w:val="1"/>
                <w:color w:val="auto"/>
              </w:rPr>
              <w:t>(36)%</w:t>
            </w: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(1,129)</w:t>
            </w:r>
          </w:p>
        </w:tc>
        <w:tc>
          <w:tcPr>
            <w:tcW w:w="180" w:type="dxa"/>
            <w:vAlign w:val="bottom"/>
          </w:tcPr>
          <w:p>
            <w:pPr>
              <w:spacing w:after="0"/>
              <w:rPr>
                <w:sz w:val="12"/>
                <w:szCs w:val="12"/>
                <w:color w:val="auto"/>
              </w:rPr>
            </w:pPr>
          </w:p>
        </w:tc>
        <w:tc>
          <w:tcPr>
            <w:tcW w:w="1200" w:type="dxa"/>
            <w:vAlign w:val="bottom"/>
          </w:tcPr>
          <w:p>
            <w:pPr>
              <w:jc w:val="right"/>
              <w:ind w:right="77"/>
              <w:spacing w:after="0" w:line="143" w:lineRule="exact"/>
              <w:rPr>
                <w:sz w:val="20"/>
                <w:szCs w:val="20"/>
                <w:color w:val="auto"/>
              </w:rPr>
            </w:pPr>
            <w:r>
              <w:rPr>
                <w:rFonts w:ascii="Arial" w:cs="Arial" w:eastAsia="Arial" w:hAnsi="Arial"/>
                <w:sz w:val="13"/>
                <w:szCs w:val="13"/>
                <w:i w:val="1"/>
                <w:iCs w:val="1"/>
                <w:color w:val="auto"/>
              </w:rPr>
              <w:t>(30)%</w:t>
            </w:r>
          </w:p>
        </w:tc>
        <w:tc>
          <w:tcPr>
            <w:tcW w:w="100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Depreciation and amortization</w:t>
            </w:r>
          </w:p>
        </w:tc>
        <w:tc>
          <w:tcPr>
            <w:tcW w:w="48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(257)</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(331)</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General and administrative expense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4"/>
                <w:szCs w:val="14"/>
                <w:color w:val="auto"/>
              </w:rPr>
            </w:pPr>
          </w:p>
        </w:tc>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7"/>
              <w:spacing w:after="0" w:line="143"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(257)</w:t>
            </w: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jc w:val="right"/>
              <w:ind w:right="117"/>
              <w:spacing w:after="0" w:line="143" w:lineRule="exact"/>
              <w:rPr>
                <w:sz w:val="20"/>
                <w:szCs w:val="20"/>
                <w:color w:val="auto"/>
              </w:rPr>
            </w:pPr>
            <w:r>
              <w:rPr>
                <w:rFonts w:ascii="Arial" w:cs="Arial" w:eastAsia="Arial" w:hAnsi="Arial"/>
                <w:sz w:val="13"/>
                <w:szCs w:val="13"/>
                <w:i w:val="1"/>
                <w:iCs w:val="1"/>
                <w:color w:val="auto"/>
              </w:rPr>
              <w:t>(22)%</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7"/>
              <w:spacing w:after="0" w:line="143"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(328)</w:t>
            </w:r>
          </w:p>
        </w:tc>
        <w:tc>
          <w:tcPr>
            <w:tcW w:w="1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jc w:val="right"/>
              <w:ind w:right="77"/>
              <w:spacing w:after="0" w:line="143" w:lineRule="exact"/>
              <w:rPr>
                <w:sz w:val="20"/>
                <w:szCs w:val="20"/>
                <w:color w:val="auto"/>
              </w:rPr>
            </w:pPr>
            <w:r>
              <w:rPr>
                <w:rFonts w:ascii="Arial" w:cs="Arial" w:eastAsia="Arial" w:hAnsi="Arial"/>
                <w:sz w:val="13"/>
                <w:szCs w:val="13"/>
                <w:i w:val="1"/>
                <w:iCs w:val="1"/>
                <w:color w:val="auto"/>
              </w:rPr>
              <w:t>(29)%</w:t>
            </w:r>
          </w:p>
        </w:tc>
        <w:tc>
          <w:tcPr>
            <w:tcW w:w="1000" w:type="dxa"/>
            <w:vAlign w:val="bottom"/>
            <w:tcBorders>
              <w:top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56"/>
        </w:trPr>
        <w:tc>
          <w:tcPr>
            <w:tcW w:w="3980" w:type="dxa"/>
            <w:vAlign w:val="bottom"/>
            <w:tcBorders>
              <w:bottom w:val="single" w:sz="8" w:color="CCEEFF"/>
            </w:tcBorders>
            <w:gridSpan w:val="2"/>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980" w:type="dxa"/>
            <w:vAlign w:val="bottom"/>
            <w:gridSpan w:val="2"/>
            <w:shd w:val="clear" w:color="auto" w:fill="CCEEFF"/>
          </w:tcPr>
          <w:p>
            <w:pPr>
              <w:ind w:left="180"/>
              <w:spacing w:after="0" w:line="104" w:lineRule="exact"/>
              <w:rPr>
                <w:sz w:val="20"/>
                <w:szCs w:val="20"/>
                <w:color w:val="auto"/>
              </w:rPr>
            </w:pPr>
            <w:r>
              <w:rPr>
                <w:rFonts w:ascii="Arial" w:cs="Arial" w:eastAsia="Arial" w:hAnsi="Arial"/>
                <w:sz w:val="11"/>
                <w:szCs w:val="11"/>
                <w:b w:val="1"/>
                <w:bCs w:val="1"/>
                <w:color w:val="auto"/>
              </w:rPr>
              <w:t>Total depreciation, amortization, and general and administrative</w:t>
            </w:r>
          </w:p>
        </w:tc>
        <w:tc>
          <w:tcPr>
            <w:tcW w:w="480" w:type="dxa"/>
            <w:vAlign w:val="bottom"/>
            <w:gridSpan w:val="2"/>
            <w:vMerge w:val="restart"/>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(1,994)</w:t>
            </w: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(1,787)</w:t>
            </w:r>
          </w:p>
        </w:tc>
        <w:tc>
          <w:tcPr>
            <w:tcW w:w="1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20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expense</w:t>
            </w:r>
          </w:p>
        </w:tc>
        <w:tc>
          <w:tcPr>
            <w:tcW w:w="27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880" w:type="dxa"/>
            <w:vAlign w:val="bottom"/>
            <w:shd w:val="clear" w:color="auto" w:fill="CCEEFF"/>
          </w:tcPr>
          <w:p>
            <w:pPr>
              <w:jc w:val="right"/>
              <w:ind w:right="117"/>
              <w:spacing w:after="0" w:line="140" w:lineRule="exact"/>
              <w:rPr>
                <w:sz w:val="20"/>
                <w:szCs w:val="20"/>
                <w:color w:val="auto"/>
              </w:rPr>
            </w:pPr>
            <w:r>
              <w:rPr>
                <w:rFonts w:ascii="Arial" w:cs="Arial" w:eastAsia="Arial" w:hAnsi="Arial"/>
                <w:sz w:val="13"/>
                <w:szCs w:val="13"/>
                <w:i w:val="1"/>
                <w:iCs w:val="1"/>
                <w:color w:val="auto"/>
              </w:rPr>
              <w:t>(33)%</w:t>
            </w:r>
          </w:p>
        </w:tc>
        <w:tc>
          <w:tcPr>
            <w:tcW w:w="16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200" w:type="dxa"/>
            <w:vAlign w:val="bottom"/>
            <w:shd w:val="clear" w:color="auto" w:fill="CCEEFF"/>
          </w:tcPr>
          <w:p>
            <w:pPr>
              <w:jc w:val="right"/>
              <w:ind w:right="77"/>
              <w:spacing w:after="0" w:line="140" w:lineRule="exact"/>
              <w:rPr>
                <w:sz w:val="20"/>
                <w:szCs w:val="20"/>
                <w:color w:val="auto"/>
              </w:rPr>
            </w:pPr>
            <w:r>
              <w:rPr>
                <w:rFonts w:ascii="Arial" w:cs="Arial" w:eastAsia="Arial" w:hAnsi="Arial"/>
                <w:sz w:val="13"/>
                <w:szCs w:val="13"/>
                <w:i w:val="1"/>
                <w:iCs w:val="1"/>
                <w:color w:val="auto"/>
              </w:rPr>
              <w:t>(28)%</w:t>
            </w:r>
          </w:p>
        </w:tc>
        <w:tc>
          <w:tcPr>
            <w:tcW w:w="100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bottom w:val="single" w:sz="8" w:color="CCEEFF"/>
            </w:tcBorders>
          </w:tcPr>
          <w:p>
            <w:pPr>
              <w:spacing w:after="0"/>
              <w:rPr>
                <w:sz w:val="12"/>
                <w:szCs w:val="12"/>
                <w:color w:val="auto"/>
              </w:rPr>
            </w:pPr>
          </w:p>
        </w:tc>
        <w:tc>
          <w:tcPr>
            <w:tcW w:w="278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CCEEFF"/>
              <w:bottom w:val="single" w:sz="8" w:color="CCEEFF"/>
            </w:tcBorders>
          </w:tcPr>
          <w:p>
            <w:pPr>
              <w:spacing w:after="0"/>
              <w:rPr>
                <w:sz w:val="12"/>
                <w:szCs w:val="12"/>
                <w:color w:val="auto"/>
              </w:rPr>
            </w:pPr>
          </w:p>
        </w:tc>
        <w:tc>
          <w:tcPr>
            <w:tcW w:w="88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20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64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0" w:type="dxa"/>
            <w:vAlign w:val="bottom"/>
            <w:tcBorders>
              <w:bottom w:val="single" w:sz="8" w:color="CCEEFF"/>
            </w:tcBorders>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Total expenses</w:t>
            </w:r>
          </w:p>
        </w:tc>
        <w:tc>
          <w:tcPr>
            <w:tcW w:w="27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57"/>
              <w:spacing w:after="0" w:line="135"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(4,489)</w:t>
            </w:r>
          </w:p>
        </w:tc>
        <w:tc>
          <w:tcPr>
            <w:tcW w:w="2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(74)%</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(3,965)</w:t>
            </w:r>
          </w:p>
        </w:tc>
        <w:tc>
          <w:tcPr>
            <w:tcW w:w="1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(62)%</w:t>
            </w:r>
          </w:p>
        </w:tc>
        <w:tc>
          <w:tcPr>
            <w:tcW w:w="1000" w:type="dxa"/>
            <w:vAlign w:val="bottom"/>
            <w:tcBorders>
              <w:bottom w:val="single" w:sz="8" w:color="CCEEFF"/>
            </w:tcBorders>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36"/>
        </w:trPr>
        <w:tc>
          <w:tcPr>
            <w:tcW w:w="398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rPr>
              <w:t>OPERATING INCOME</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14 %</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56 %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(82) %</w:t>
            </w:r>
          </w:p>
        </w:tc>
        <w:tc>
          <w:tcPr>
            <w:tcW w:w="0" w:type="dxa"/>
            <w:vAlign w:val="bottom"/>
          </w:tcPr>
          <w:p>
            <w:pPr>
              <w:spacing w:after="0"/>
              <w:rPr>
                <w:sz w:val="1"/>
                <w:szCs w:val="1"/>
                <w:color w:val="auto"/>
              </w:rPr>
            </w:pPr>
          </w:p>
        </w:tc>
      </w:tr>
      <w:tr>
        <w:trPr>
          <w:trHeight w:val="162"/>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930</w:t>
            </w:r>
          </w:p>
        </w:tc>
        <w:tc>
          <w:tcPr>
            <w:tcW w:w="20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24 %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1,136</w:t>
            </w:r>
          </w:p>
        </w:tc>
        <w:tc>
          <w:tcPr>
            <w:tcW w:w="180" w:type="dxa"/>
            <w:vAlign w:val="bottom"/>
          </w:tcPr>
          <w:p>
            <w:pPr>
              <w:spacing w:after="0"/>
              <w:rPr>
                <w:sz w:val="14"/>
                <w:szCs w:val="14"/>
                <w:color w:val="auto"/>
              </w:rPr>
            </w:pPr>
          </w:p>
        </w:tc>
        <w:tc>
          <w:tcPr>
            <w:tcW w:w="1200" w:type="dxa"/>
            <w:vAlign w:val="bottom"/>
          </w:tcPr>
          <w:p>
            <w:pPr>
              <w:jc w:val="right"/>
              <w:ind w:right="77"/>
              <w:spacing w:after="0"/>
              <w:rPr>
                <w:sz w:val="20"/>
                <w:szCs w:val="20"/>
                <w:color w:val="auto"/>
              </w:rPr>
            </w:pPr>
            <w:r>
              <w:rPr>
                <w:rFonts w:ascii="Arial" w:cs="Arial" w:eastAsia="Arial" w:hAnsi="Arial"/>
                <w:sz w:val="13"/>
                <w:szCs w:val="13"/>
                <w:i w:val="1"/>
                <w:iCs w:val="1"/>
                <w:color w:val="auto"/>
              </w:rPr>
              <w:t>30 %</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69"/>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40 %</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43 %</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129"/>
        </w:trPr>
        <w:tc>
          <w:tcPr>
            <w:tcW w:w="3980" w:type="dxa"/>
            <w:vAlign w:val="bottom"/>
            <w:gridSpan w:val="2"/>
          </w:tcPr>
          <w:p>
            <w:pPr>
              <w:ind w:left="180"/>
              <w:spacing w:after="0" w:line="122" w:lineRule="exact"/>
              <w:rPr>
                <w:sz w:val="20"/>
                <w:szCs w:val="20"/>
                <w:color w:val="auto"/>
              </w:rPr>
            </w:pPr>
            <w:r>
              <w:rPr>
                <w:rFonts w:ascii="Arial" w:cs="Arial" w:eastAsia="Arial" w:hAnsi="Arial"/>
                <w:sz w:val="13"/>
                <w:szCs w:val="13"/>
                <w:b w:val="1"/>
                <w:bCs w:val="1"/>
                <w:color w:val="auto"/>
              </w:rPr>
              <w:t>Total operating income</w:t>
            </w:r>
          </w:p>
        </w:tc>
        <w:tc>
          <w:tcPr>
            <w:tcW w:w="180" w:type="dxa"/>
            <w:vAlign w:val="bottom"/>
          </w:tcPr>
          <w:p>
            <w:pPr>
              <w:spacing w:after="0"/>
              <w:rPr>
                <w:sz w:val="11"/>
                <w:szCs w:val="11"/>
                <w:color w:val="auto"/>
              </w:rPr>
            </w:pPr>
          </w:p>
        </w:tc>
        <w:tc>
          <w:tcPr>
            <w:tcW w:w="300" w:type="dxa"/>
            <w:vAlign w:val="bottom"/>
            <w:tcBorders>
              <w:bottom w:val="single" w:sz="8" w:color="auto"/>
            </w:tcBorders>
          </w:tcPr>
          <w:p>
            <w:pPr>
              <w:jc w:val="right"/>
              <w:ind w:right="157"/>
              <w:spacing w:after="0" w:line="122"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1,541</w:t>
            </w:r>
          </w:p>
        </w:tc>
        <w:tc>
          <w:tcPr>
            <w:tcW w:w="200" w:type="dxa"/>
            <w:vAlign w:val="bottom"/>
          </w:tcPr>
          <w:p>
            <w:pPr>
              <w:spacing w:after="0"/>
              <w:rPr>
                <w:sz w:val="11"/>
                <w:szCs w:val="11"/>
                <w:color w:val="auto"/>
              </w:rPr>
            </w:pPr>
          </w:p>
        </w:tc>
        <w:tc>
          <w:tcPr>
            <w:tcW w:w="880" w:type="dxa"/>
            <w:vAlign w:val="bottom"/>
          </w:tcPr>
          <w:p>
            <w:pPr>
              <w:jc w:val="right"/>
              <w:ind w:right="117"/>
              <w:spacing w:after="0" w:line="122" w:lineRule="exact"/>
              <w:rPr>
                <w:sz w:val="20"/>
                <w:szCs w:val="20"/>
                <w:color w:val="auto"/>
              </w:rPr>
            </w:pPr>
            <w:r>
              <w:rPr>
                <w:rFonts w:ascii="Arial" w:cs="Arial" w:eastAsia="Arial" w:hAnsi="Arial"/>
                <w:sz w:val="13"/>
                <w:szCs w:val="13"/>
                <w:i w:val="1"/>
                <w:iCs w:val="1"/>
                <w:color w:val="auto"/>
              </w:rPr>
              <w:t>26 %</w:t>
            </w:r>
          </w:p>
        </w:tc>
        <w:tc>
          <w:tcPr>
            <w:tcW w:w="160" w:type="dxa"/>
            <w:vAlign w:val="bottom"/>
          </w:tcPr>
          <w:p>
            <w:pPr>
              <w:spacing w:after="0"/>
              <w:rPr>
                <w:sz w:val="11"/>
                <w:szCs w:val="11"/>
                <w:color w:val="auto"/>
              </w:rPr>
            </w:pPr>
          </w:p>
        </w:tc>
        <w:tc>
          <w:tcPr>
            <w:tcW w:w="240" w:type="dxa"/>
            <w:vAlign w:val="bottom"/>
            <w:tcBorders>
              <w:bottom w:val="single" w:sz="8" w:color="auto"/>
            </w:tcBorders>
          </w:tcPr>
          <w:p>
            <w:pPr>
              <w:jc w:val="right"/>
              <w:ind w:right="97"/>
              <w:spacing w:after="0" w:line="122" w:lineRule="exact"/>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2,472</w:t>
            </w:r>
          </w:p>
        </w:tc>
        <w:tc>
          <w:tcPr>
            <w:tcW w:w="180" w:type="dxa"/>
            <w:vAlign w:val="bottom"/>
          </w:tcPr>
          <w:p>
            <w:pPr>
              <w:spacing w:after="0"/>
              <w:rPr>
                <w:sz w:val="11"/>
                <w:szCs w:val="11"/>
                <w:color w:val="auto"/>
              </w:rPr>
            </w:pPr>
          </w:p>
        </w:tc>
        <w:tc>
          <w:tcPr>
            <w:tcW w:w="1200" w:type="dxa"/>
            <w:vAlign w:val="bottom"/>
          </w:tcPr>
          <w:p>
            <w:pPr>
              <w:jc w:val="right"/>
              <w:ind w:right="77"/>
              <w:spacing w:after="0" w:line="122" w:lineRule="exact"/>
              <w:rPr>
                <w:sz w:val="20"/>
                <w:szCs w:val="20"/>
                <w:color w:val="auto"/>
              </w:rPr>
            </w:pPr>
            <w:r>
              <w:rPr>
                <w:rFonts w:ascii="Arial" w:cs="Arial" w:eastAsia="Arial" w:hAnsi="Arial"/>
                <w:sz w:val="13"/>
                <w:szCs w:val="13"/>
                <w:i w:val="1"/>
                <w:iCs w:val="1"/>
                <w:color w:val="auto"/>
              </w:rPr>
              <w:t>38 %</w:t>
            </w:r>
          </w:p>
        </w:tc>
        <w:tc>
          <w:tcPr>
            <w:tcW w:w="1000" w:type="dxa"/>
            <w:vAlign w:val="bottom"/>
            <w:gridSpan w:val="3"/>
          </w:tcPr>
          <w:p>
            <w:pPr>
              <w:jc w:val="right"/>
              <w:spacing w:after="0" w:line="122" w:lineRule="exact"/>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 operating income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Real Estate segment operating income decreased by 21%, or $1.7 million, to $6.4 million for the year ended December 31, 2018 compared to 2017, primarily due to the one-time recognition of payments in fees recovered as part of the STOMP arbitration award settlement recognized in 2017, offset by an increase in revenue in 2018 from the Newmarket and Auburn centers. Please refer below for further explanation.</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Real Estate segment operating income for the quarter ended December 31, 2018 decreased by 38%, or $931,000 primarily related to the STOMP arbitration award settlement payments in fees recovered in the Live Theatre business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is the revenue breakdown by country for each 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 of</w:t>
            </w:r>
          </w:p>
        </w:tc>
        <w:tc>
          <w:tcPr>
            <w:tcW w:w="22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7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i w:val="1"/>
                <w:iCs w:val="1"/>
                <w:color w:val="auto"/>
              </w:rPr>
              <w:t>Revenue</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line="216" w:lineRule="exact"/>
              <w:rPr>
                <w:sz w:val="20"/>
                <w:szCs w:val="20"/>
                <w:color w:val="auto"/>
              </w:rPr>
            </w:pPr>
            <w:r>
              <w:rPr>
                <w:rFonts w:ascii="Arial" w:cs="Arial" w:eastAsia="Arial" w:hAnsi="Arial"/>
                <w:sz w:val="13"/>
                <w:szCs w:val="13"/>
                <w:i w:val="1"/>
                <w:iCs w:val="1"/>
                <w:color w:val="auto"/>
              </w:rPr>
              <w:t xml:space="preserve">14 </w:t>
            </w:r>
            <w:r>
              <w:rPr>
                <w:rFonts w:ascii="Arial" w:cs="Arial" w:eastAsia="Arial" w:hAnsi="Arial"/>
                <w:sz w:val="25"/>
                <w:szCs w:val="25"/>
                <w:i w:val="1"/>
                <w:iCs w:val="1"/>
                <w:color w:val="auto"/>
                <w:vertAlign w:val="superscript"/>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line="216" w:lineRule="exact"/>
              <w:rPr>
                <w:sz w:val="20"/>
                <w:szCs w:val="20"/>
                <w:color w:val="auto"/>
              </w:rPr>
            </w:pPr>
            <w:r>
              <w:rPr>
                <w:rFonts w:ascii="Arial" w:cs="Arial" w:eastAsia="Arial" w:hAnsi="Arial"/>
                <w:sz w:val="13"/>
                <w:szCs w:val="13"/>
                <w:i w:val="1"/>
                <w:iCs w:val="1"/>
                <w:color w:val="auto"/>
              </w:rPr>
              <w:t xml:space="preserve">20 </w:t>
            </w:r>
            <w:r>
              <w:rPr>
                <w:rFonts w:ascii="Arial" w:cs="Arial" w:eastAsia="Arial" w:hAnsi="Arial"/>
                <w:sz w:val="25"/>
                <w:szCs w:val="25"/>
                <w:i w:val="1"/>
                <w:iCs w:val="1"/>
                <w:color w:val="auto"/>
                <w:vertAlign w:val="superscript"/>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1"/>
              <w:spacing w:after="0" w:line="216" w:lineRule="exact"/>
              <w:rPr>
                <w:sz w:val="20"/>
                <w:szCs w:val="20"/>
                <w:color w:val="auto"/>
              </w:rPr>
            </w:pPr>
            <w:r>
              <w:rPr>
                <w:rFonts w:ascii="Arial" w:cs="Arial" w:eastAsia="Arial" w:hAnsi="Arial"/>
                <w:sz w:val="13"/>
                <w:szCs w:val="13"/>
                <w:color w:val="auto"/>
              </w:rPr>
              <w:t>(27)</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4"/>
                <w:szCs w:val="14"/>
                <w:color w:val="auto"/>
              </w:rPr>
              <w:t>Australia</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16,122</w:t>
            </w:r>
          </w:p>
        </w:tc>
        <w:tc>
          <w:tcPr>
            <w:tcW w:w="920" w:type="dxa"/>
            <w:vAlign w:val="bottom"/>
            <w:gridSpan w:val="2"/>
          </w:tcPr>
          <w:p>
            <w:pPr>
              <w:jc w:val="right"/>
              <w:ind w:right="30"/>
              <w:spacing w:after="0" w:line="230" w:lineRule="exact"/>
              <w:rPr>
                <w:sz w:val="20"/>
                <w:szCs w:val="20"/>
                <w:color w:val="auto"/>
              </w:rPr>
            </w:pPr>
            <w:r>
              <w:rPr>
                <w:rFonts w:ascii="Arial" w:cs="Arial" w:eastAsia="Arial" w:hAnsi="Arial"/>
                <w:sz w:val="14"/>
                <w:szCs w:val="14"/>
                <w:i w:val="1"/>
                <w:iCs w:val="1"/>
                <w:color w:val="auto"/>
              </w:rPr>
              <w:t xml:space="preserve">67 </w:t>
            </w:r>
            <w:r>
              <w:rPr>
                <w:rFonts w:ascii="Arial" w:cs="Arial" w:eastAsia="Arial" w:hAnsi="Arial"/>
                <w:sz w:val="26"/>
                <w:szCs w:val="26"/>
                <w:i w:val="1"/>
                <w:iCs w:val="1"/>
                <w:color w:val="auto"/>
                <w:vertAlign w:val="superscript"/>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15,089</w:t>
            </w:r>
          </w:p>
        </w:tc>
        <w:tc>
          <w:tcPr>
            <w:tcW w:w="920" w:type="dxa"/>
            <w:vAlign w:val="bottom"/>
            <w:gridSpan w:val="2"/>
          </w:tcPr>
          <w:p>
            <w:pPr>
              <w:jc w:val="right"/>
              <w:ind w:right="30"/>
              <w:spacing w:after="0" w:line="230" w:lineRule="exact"/>
              <w:rPr>
                <w:sz w:val="20"/>
                <w:szCs w:val="20"/>
                <w:color w:val="auto"/>
              </w:rPr>
            </w:pPr>
            <w:r>
              <w:rPr>
                <w:rFonts w:ascii="Arial" w:cs="Arial" w:eastAsia="Arial" w:hAnsi="Arial"/>
                <w:sz w:val="14"/>
                <w:szCs w:val="14"/>
                <w:i w:val="1"/>
                <w:iCs w:val="1"/>
                <w:color w:val="auto"/>
              </w:rPr>
              <w:t xml:space="preserve">63 </w:t>
            </w:r>
            <w:r>
              <w:rPr>
                <w:rFonts w:ascii="Arial" w:cs="Arial" w:eastAsia="Arial" w:hAnsi="Arial"/>
                <w:sz w:val="26"/>
                <w:szCs w:val="26"/>
                <w:i w:val="1"/>
                <w:iCs w:val="1"/>
                <w:color w:val="auto"/>
                <w:vertAlign w:val="superscript"/>
              </w:rPr>
              <w:t>%</w:t>
            </w:r>
          </w:p>
        </w:tc>
        <w:tc>
          <w:tcPr>
            <w:tcW w:w="100" w:type="dxa"/>
            <w:vAlign w:val="bottom"/>
          </w:tcPr>
          <w:p>
            <w:pPr>
              <w:spacing w:after="0"/>
              <w:rPr>
                <w:sz w:val="19"/>
                <w:szCs w:val="19"/>
                <w:color w:val="auto"/>
              </w:rPr>
            </w:pPr>
          </w:p>
        </w:tc>
        <w:tc>
          <w:tcPr>
            <w:tcW w:w="1160" w:type="dxa"/>
            <w:vAlign w:val="bottom"/>
          </w:tcPr>
          <w:p>
            <w:pPr>
              <w:jc w:val="right"/>
              <w:ind w:right="71"/>
              <w:spacing w:after="0" w:line="230" w:lineRule="exact"/>
              <w:rPr>
                <w:sz w:val="20"/>
                <w:szCs w:val="20"/>
                <w:color w:val="auto"/>
              </w:rPr>
            </w:pPr>
            <w:r>
              <w:rPr>
                <w:rFonts w:ascii="Arial" w:cs="Arial" w:eastAsia="Arial" w:hAnsi="Arial"/>
                <w:sz w:val="26"/>
                <w:szCs w:val="26"/>
                <w:color w:val="auto"/>
                <w:vertAlign w:val="subscript"/>
              </w:rPr>
              <w:t>7</w:t>
            </w:r>
            <w:r>
              <w:rPr>
                <w:rFonts w:ascii="Arial" w:cs="Arial" w:eastAsia="Arial" w:hAnsi="Arial"/>
                <w:sz w:val="14"/>
                <w:szCs w:val="14"/>
                <w:i w:val="1"/>
                <w:iCs w:val="1"/>
                <w:color w:val="auto"/>
              </w:rPr>
              <w:t xml:space="preserve"> %</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Zealand</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920" w:type="dxa"/>
            <w:vAlign w:val="bottom"/>
            <w:gridSpan w:val="2"/>
            <w:shd w:val="clear" w:color="auto" w:fill="CCEEFF"/>
          </w:tcPr>
          <w:p>
            <w:pPr>
              <w:jc w:val="right"/>
              <w:ind w:right="30"/>
              <w:spacing w:after="0" w:line="230" w:lineRule="exact"/>
              <w:rPr>
                <w:sz w:val="20"/>
                <w:szCs w:val="20"/>
                <w:color w:val="auto"/>
              </w:rPr>
            </w:pPr>
            <w:r>
              <w:rPr>
                <w:rFonts w:ascii="Arial" w:cs="Arial" w:eastAsia="Arial" w:hAnsi="Arial"/>
                <w:sz w:val="14"/>
                <w:szCs w:val="14"/>
                <w:i w:val="1"/>
                <w:iCs w:val="1"/>
                <w:color w:val="auto"/>
              </w:rPr>
              <w:t xml:space="preserve">19 </w:t>
            </w:r>
            <w:r>
              <w:rPr>
                <w:rFonts w:ascii="Arial" w:cs="Arial" w:eastAsia="Arial" w:hAnsi="Arial"/>
                <w:sz w:val="26"/>
                <w:szCs w:val="26"/>
                <w:i w:val="1"/>
                <w:iCs w:val="1"/>
                <w:color w:val="auto"/>
                <w:vertAlign w:val="superscript"/>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920" w:type="dxa"/>
            <w:vAlign w:val="bottom"/>
            <w:gridSpan w:val="2"/>
            <w:shd w:val="clear" w:color="auto" w:fill="CCEEFF"/>
          </w:tcPr>
          <w:p>
            <w:pPr>
              <w:jc w:val="right"/>
              <w:ind w:right="30"/>
              <w:spacing w:after="0" w:line="230" w:lineRule="exact"/>
              <w:rPr>
                <w:sz w:val="20"/>
                <w:szCs w:val="20"/>
                <w:color w:val="auto"/>
              </w:rPr>
            </w:pPr>
            <w:r>
              <w:rPr>
                <w:rFonts w:ascii="Arial" w:cs="Arial" w:eastAsia="Arial" w:hAnsi="Arial"/>
                <w:sz w:val="14"/>
                <w:szCs w:val="14"/>
                <w:i w:val="1"/>
                <w:iCs w:val="1"/>
                <w:color w:val="auto"/>
              </w:rPr>
              <w:t xml:space="preserve">17 </w:t>
            </w:r>
            <w:r>
              <w:rPr>
                <w:rFonts w:ascii="Arial" w:cs="Arial" w:eastAsia="Arial" w:hAnsi="Arial"/>
                <w:sz w:val="26"/>
                <w:szCs w:val="26"/>
                <w:i w:val="1"/>
                <w:iCs w:val="1"/>
                <w:color w:val="auto"/>
                <w:vertAlign w:val="superscript"/>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line="230" w:lineRule="exact"/>
              <w:rPr>
                <w:sz w:val="20"/>
                <w:szCs w:val="20"/>
                <w:color w:val="auto"/>
              </w:rPr>
            </w:pPr>
            <w:r>
              <w:rPr>
                <w:rFonts w:ascii="Arial" w:cs="Arial" w:eastAsia="Arial" w:hAnsi="Arial"/>
                <w:sz w:val="14"/>
                <w:szCs w:val="14"/>
                <w:color w:val="auto"/>
              </w:rPr>
              <w:t xml:space="preserve">11 </w:t>
            </w:r>
            <w:r>
              <w:rPr>
                <w:rFonts w:ascii="Arial" w:cs="Arial" w:eastAsia="Arial" w:hAnsi="Arial"/>
                <w:sz w:val="26"/>
                <w:szCs w:val="26"/>
                <w:i w:val="1"/>
                <w:iCs w:val="1"/>
                <w:color w:val="auto"/>
                <w:vertAlign w:val="superscript"/>
              </w:rPr>
              <w:t>%</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Total Segment Revenues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24,235</w:t>
            </w:r>
          </w:p>
        </w:tc>
        <w:tc>
          <w:tcPr>
            <w:tcW w:w="920" w:type="dxa"/>
            <w:vAlign w:val="bottom"/>
            <w:gridSpan w:val="2"/>
          </w:tcPr>
          <w:p>
            <w:pPr>
              <w:jc w:val="right"/>
              <w:ind w:right="30"/>
              <w:spacing w:after="0" w:line="197"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2"/>
                <w:szCs w:val="22"/>
                <w:i w:val="1"/>
                <w:iCs w:val="1"/>
                <w:color w:val="auto"/>
                <w:vertAlign w:val="superscript"/>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23,988</w:t>
            </w:r>
          </w:p>
        </w:tc>
        <w:tc>
          <w:tcPr>
            <w:tcW w:w="920" w:type="dxa"/>
            <w:vAlign w:val="bottom"/>
            <w:gridSpan w:val="2"/>
          </w:tcPr>
          <w:p>
            <w:pPr>
              <w:jc w:val="right"/>
              <w:ind w:right="30"/>
              <w:spacing w:after="0" w:line="197"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2"/>
                <w:szCs w:val="22"/>
                <w:i w:val="1"/>
                <w:iCs w:val="1"/>
                <w:color w:val="auto"/>
                <w:vertAlign w:val="superscript"/>
              </w:rPr>
              <w:t>%</w:t>
            </w:r>
          </w:p>
        </w:tc>
        <w:tc>
          <w:tcPr>
            <w:tcW w:w="100" w:type="dxa"/>
            <w:vAlign w:val="bottom"/>
          </w:tcPr>
          <w:p>
            <w:pPr>
              <w:spacing w:after="0"/>
              <w:rPr>
                <w:sz w:val="17"/>
                <w:szCs w:val="17"/>
                <w:color w:val="auto"/>
              </w:rPr>
            </w:pPr>
          </w:p>
        </w:tc>
        <w:tc>
          <w:tcPr>
            <w:tcW w:w="1160" w:type="dxa"/>
            <w:vAlign w:val="bottom"/>
          </w:tcPr>
          <w:p>
            <w:pPr>
              <w:jc w:val="right"/>
              <w:ind w:right="71"/>
              <w:spacing w:after="0" w:line="197" w:lineRule="exact"/>
              <w:rPr>
                <w:sz w:val="20"/>
                <w:szCs w:val="20"/>
                <w:color w:val="auto"/>
              </w:rPr>
            </w:pPr>
            <w:r>
              <w:rPr>
                <w:rFonts w:ascii="Arial" w:cs="Arial" w:eastAsia="Arial" w:hAnsi="Arial"/>
                <w:sz w:val="12"/>
                <w:szCs w:val="12"/>
                <w:color w:val="auto"/>
              </w:rPr>
              <w:t xml:space="preserve">1 </w:t>
            </w:r>
            <w:r>
              <w:rPr>
                <w:rFonts w:ascii="Arial" w:cs="Arial" w:eastAsia="Arial" w:hAnsi="Arial"/>
                <w:sz w:val="22"/>
                <w:szCs w:val="22"/>
                <w:i w:val="1"/>
                <w:iCs w:val="1"/>
                <w:color w:val="auto"/>
                <w:vertAlign w:val="superscript"/>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Real estate revenue for the year ended December 31, 2018 increased slightly by 1% or $247,000 mainly driven by increased rental income as part of the expansion of our Newmarket Village site in Brisbane, Australia.</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quarter ended December 31, 2018, Real Estate revenue decreased by 6%, or $407,000, to $6.0 million primarily related to the Live Theatre circuit.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Cost of services and products (excluding depreciation and amortization)</w:t>
      </w:r>
    </w:p>
    <w:p>
      <w:pPr>
        <w:spacing w:after="0" w:line="23"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Operating expense for the Real Estate segment for 2018 increased by 5%, or $468,000, to $9.9 million mainly driven by the full year of operations at our Newmarket ETC and increased operations at our Auburn ETC, which include additional expansion tenancies.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general and administrative expense</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Depreciation, amortization, general and administrative expenses for 2018 increased by 23%, or $1.5 million, to $7.9 million, compared to the same period in 2017, primarily driven by capital improvements at the Newmarket ETC and Auburn ETC locations.</w:t>
      </w:r>
    </w:p>
    <w:p>
      <w:pPr>
        <w:spacing w:after="0" w:line="162"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For the quarter ended December 31, 2018 depreciation, amortization, and general and administrative expenses increased by 12%, or $207,000 primarily related to a full quarter of depreciation expense for Newmarket in 2018 compared to 15 days of depreciation for Newmarket during the same quarter 2017.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NON-SEGMENT RESULTS – 2018 vs.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xml:space="preserve">Net gain on sale of assets for 2018 decreased by $9.4 million, primarily due to the gain on sale realized in 2017 on the settlement of </w:t>
      </w:r>
      <w:r>
        <w:rPr>
          <w:rFonts w:ascii="Arial" w:cs="Arial" w:eastAsia="Arial" w:hAnsi="Arial"/>
          <w:sz w:val="18"/>
          <w:szCs w:val="18"/>
          <w:color w:val="auto"/>
          <w:strike w:val="1"/>
        </w:rPr>
        <w:t>t</w:t>
      </w:r>
      <w:r>
        <w:rPr>
          <w:rFonts w:ascii="Arial" w:cs="Arial" w:eastAsia="Arial" w:hAnsi="Arial"/>
          <w:sz w:val="18"/>
          <w:szCs w:val="18"/>
          <w:color w:val="auto"/>
        </w:rPr>
        <w:t>he Burwood land of $9.3 million (AU$12.4 million) not being repeated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Non-segment general and administrative expense for 2018 increased by $1.3 million or 7%, to $21.3 million. This primarily relates to higher payroll and bonus related expenses (attributable to reversal in 2017 for prior year incentive compensation accruals not deemed necessary), offset by a reduction in professional services and legal fees of $209,000.</w:t>
      </w:r>
    </w:p>
    <w:p>
      <w:pPr>
        <w:spacing w:after="0" w:line="19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For more information about the legal expense, please refer to </w:t>
      </w:r>
      <w:r>
        <w:rPr>
          <w:rFonts w:ascii="Arial" w:cs="Arial" w:eastAsia="Arial" w:hAnsi="Arial"/>
          <w:sz w:val="17"/>
          <w:szCs w:val="17"/>
          <w:i w:val="1"/>
          <w:iCs w:val="1"/>
          <w:color w:val="auto"/>
        </w:rPr>
        <w:t>Note 12 – Commitments and Contingencies</w:t>
      </w:r>
      <w:r>
        <w:rPr>
          <w:rFonts w:ascii="Arial" w:cs="Arial" w:eastAsia="Arial" w:hAnsi="Arial"/>
          <w:sz w:val="17"/>
          <w:szCs w:val="17"/>
          <w:color w:val="auto"/>
        </w:rPr>
        <w:t xml:space="preserve"> to the Consolidated Financial Statements included herein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on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On December 22, 2017, the U.S. Tax Cuts and Jobs Act of 2017 (the “Tax Act”) was signed into law. The Tax Act significantly changed the U.S. corporate income tax law by lowering the statutory corporate tax rate from 35% to 21%, imposed a one-time mandatory repatriation tax on deferred earnings of foreign subsidiaries, and changed how foreign earnings are subject to U.S. tax.</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the result of the Tax Act and under the guidance of the U.S. Securities and Exchange Commission Staff Accounting Bulletin No. 118, we recorded a provisional tax expense of approximately $13.0 million for the impact of the Tax Act in the fourth quarter of 2017. During the fourth quarter of 2018, upon finalizing the analysis of the impact from the Tax Act, we recorded a tax benefit of $2.3 million as an adjustment to the provisional estimate, for a net tax impact of $10.7 million. The $2.3 million is comprised of an adjustment of $1.2 million to the impact of the one-time mandatory repatriation tax on previously undistributed earnings of our foreign subsidiaries and $1.1 million from the re-measurement of federal net deferred tax liabilities resulting from the reduction in the U.S. statutory corporate tax rate.</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tax expense decreased by $40,000, or 1%, compared to 2017, mainly due to benefits recognized in 2017 as the result of the dissolution of a non-operating overseas subsidiary, partially offset by the provisional unfavorable effect of the Tax Act. Please refer to Note 9 of the Notes to Consolidated Financial Statements in Part II of this Annual Report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Interest expense (net of interest income) increased by $643,000, or 10%, mainly due to an increase in the average balance outstanding to fund our capital projects.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BUSINESS SEGMENT RESULTS – 2017 vs. 2016</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Presented below is the comparison of the segment operating income for our two business segments for the years ended December 31, 2017 and 2016: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Cinema</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Real Estate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Cinema</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Cinema</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Real Estate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Segments Revenues</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263,464</w:t>
            </w:r>
          </w:p>
        </w:tc>
        <w:tc>
          <w:tcPr>
            <w:tcW w:w="20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b w:val="1"/>
                <w:bCs w:val="1"/>
                <w:color w:val="auto"/>
              </w:rPr>
              <w:t>Segment Operating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1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Cost of services and products (excluding depreciation and</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(215,020)</w:t>
            </w:r>
          </w:p>
        </w:tc>
        <w:tc>
          <w:tcPr>
            <w:tcW w:w="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(9,436)</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(205,889)</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(9,044)</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(4,256)</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(11,772)</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(3,522)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(1,422)</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13 %</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4"/>
                <w:szCs w:val="14"/>
                <w:color w:val="auto"/>
              </w:rPr>
              <w:t>Total segment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(230,494)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(15,832)</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(221,424)</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(13,988)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Segment operating income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32,970</w:t>
            </w:r>
          </w:p>
        </w:tc>
        <w:tc>
          <w:tcPr>
            <w:tcW w:w="20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7,322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tcPr>
          <w:p>
            <w:pPr>
              <w:ind w:left="320"/>
              <w:spacing w:after="0"/>
              <w:rPr>
                <w:sz w:val="20"/>
                <w:szCs w:val="20"/>
                <w:color w:val="auto"/>
              </w:rPr>
            </w:pPr>
            <w:r>
              <w:rPr>
                <w:rFonts w:ascii="Arial" w:cs="Arial" w:eastAsia="Arial" w:hAnsi="Arial"/>
                <w:sz w:val="14"/>
                <w:szCs w:val="14"/>
                <w:b w:val="1"/>
                <w:bCs w:val="1"/>
                <w:i w:val="1"/>
                <w:iCs w:val="1"/>
                <w:color w:val="auto"/>
              </w:rPr>
              <w:t>Breakdown by country:</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United States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7,207</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540"/>
              <w:spacing w:after="0"/>
              <w:rPr>
                <w:sz w:val="20"/>
                <w:szCs w:val="20"/>
                <w:color w:val="auto"/>
              </w:rPr>
            </w:pPr>
            <w:r>
              <w:rPr>
                <w:rFonts w:ascii="Arial" w:cs="Arial" w:eastAsia="Arial" w:hAnsi="Arial"/>
                <w:sz w:val="14"/>
                <w:szCs w:val="14"/>
                <w:color w:val="auto"/>
              </w:rPr>
              <w:t>Australia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5,646</w:t>
            </w:r>
          </w:p>
        </w:tc>
        <w:tc>
          <w:tcPr>
            <w:tcW w:w="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New Zealand</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4,405</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32,970</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8,156</w:t>
            </w:r>
          </w:p>
        </w:tc>
        <w:tc>
          <w:tcPr>
            <w:tcW w:w="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35,498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7,322</w:t>
            </w:r>
          </w:p>
        </w:tc>
        <w:tc>
          <w:tcPr>
            <w:tcW w:w="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7"/>
        </w:trPr>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- 62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The discussion for each segment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Cinema Exhibition – 2017 vs. 2016</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3"/>
              </w:rPr>
              <w:t>(Dollars in thousands)</w:t>
            </w:r>
          </w:p>
        </w:tc>
        <w:tc>
          <w:tcPr>
            <w:tcW w:w="2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3"/>
                <w:szCs w:val="13"/>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i w:val="1"/>
                <w:iCs w:val="1"/>
                <w:color w:val="auto"/>
                <w:w w:val="93"/>
              </w:rPr>
              <w:t>% of Revenue</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Admission revenue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87,646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63 %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41,911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30 %</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Advertising and other revenue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7 %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139,078</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Admission revenue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60,736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63 %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28,746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30 %</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Advertising and other revenue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7,124</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7 %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96,606</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Admission revenue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17,495</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63 %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7,689</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28 %</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Advertising and other revenue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9 %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27,780</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263,464</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227"/>
        </w:trPr>
        <w:tc>
          <w:tcPr>
            <w:tcW w:w="4160" w:type="dxa"/>
            <w:vAlign w:val="bottom"/>
            <w:gridSpan w:val="3"/>
          </w:tcPr>
          <w:p>
            <w:pPr>
              <w:spacing w:after="0"/>
              <w:rPr>
                <w:sz w:val="20"/>
                <w:szCs w:val="20"/>
                <w:color w:val="auto"/>
              </w:rPr>
            </w:pPr>
            <w:r>
              <w:rPr>
                <w:rFonts w:ascii="Arial" w:cs="Arial" w:eastAsia="Arial" w:hAnsi="Arial"/>
                <w:sz w:val="13"/>
                <w:szCs w:val="13"/>
                <w:b w:val="1"/>
                <w:bCs w:val="1"/>
                <w:color w:val="auto"/>
              </w:rPr>
              <w:t>OPERATING EXPENSE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Film rent and advertising cost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(46,520)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(33)%</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(8,325)</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Occupancy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(28,903)</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(21)%</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Other operating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(39,920)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(29)%</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(123,668)</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(89)%</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Film rent and advertising cost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(28,286)</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(5,964)</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Occupancy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(14,921)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(16)%</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Other operating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(20,620)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(21)%</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(69,791)</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(72)%</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Film rent and advertising cost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(8,203)</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Food &amp; beverage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(1,771)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Occupancy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(5,128)</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(19)%</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Other operating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(6,459)</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(23)%</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(21,561)</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(78)%</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39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6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expenses</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(215,020)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(82)%</w:t>
            </w:r>
          </w:p>
        </w:tc>
        <w:tc>
          <w:tcPr>
            <w:tcW w:w="0" w:type="dxa"/>
            <w:vAlign w:val="bottom"/>
          </w:tcPr>
          <w:p>
            <w:pPr>
              <w:spacing w:after="0"/>
              <w:rPr>
                <w:sz w:val="1"/>
                <w:szCs w:val="1"/>
                <w:color w:val="auto"/>
              </w:rPr>
            </w:pPr>
          </w:p>
        </w:tc>
      </w:tr>
      <w:tr>
        <w:trPr>
          <w:trHeight w:val="103"/>
        </w:trPr>
        <w:tc>
          <w:tcPr>
            <w:tcW w:w="4160" w:type="dxa"/>
            <w:vAlign w:val="bottom"/>
            <w:gridSpan w:val="3"/>
          </w:tcPr>
          <w:p>
            <w:pPr>
              <w:spacing w:after="0" w:line="104" w:lineRule="exact"/>
              <w:rPr>
                <w:sz w:val="20"/>
                <w:szCs w:val="20"/>
                <w:color w:val="auto"/>
              </w:rPr>
            </w:pPr>
            <w:r>
              <w:rPr>
                <w:rFonts w:ascii="Arial" w:cs="Arial" w:eastAsia="Arial" w:hAnsi="Arial"/>
                <w:sz w:val="11"/>
                <w:szCs w:val="11"/>
                <w:b w:val="1"/>
                <w:bCs w:val="1"/>
                <w:color w:val="auto"/>
              </w:rPr>
              <w:t>DEPRECIATION, AMORTIZATION, GENERAL AND</w:t>
            </w: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160" w:type="dxa"/>
            <w:vAlign w:val="bottom"/>
            <w:gridSpan w:val="3"/>
          </w:tcPr>
          <w:p>
            <w:pPr>
              <w:spacing w:after="0"/>
              <w:rPr>
                <w:sz w:val="20"/>
                <w:szCs w:val="20"/>
                <w:color w:val="auto"/>
              </w:rPr>
            </w:pPr>
            <w:r>
              <w:rPr>
                <w:rFonts w:ascii="Arial" w:cs="Arial" w:eastAsia="Arial" w:hAnsi="Arial"/>
                <w:sz w:val="13"/>
                <w:szCs w:val="13"/>
                <w:b w:val="1"/>
                <w:bCs w:val="1"/>
                <w:color w:val="auto"/>
              </w:rPr>
              <w:t>ADMINISTRATIVE EXPENSE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(6,092)</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(4)%</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General and administrative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(2,111)</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(2)%</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(8,203)</w:t>
            </w:r>
          </w:p>
        </w:tc>
        <w:tc>
          <w:tcPr>
            <w:tcW w:w="1080" w:type="dxa"/>
            <w:vAlign w:val="bottom"/>
            <w:gridSpan w:val="2"/>
            <w:vMerge w:val="restart"/>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(4,357)</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(5)%</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General and administrative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(1)%</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(5,457)</w:t>
            </w:r>
          </w:p>
        </w:tc>
        <w:tc>
          <w:tcPr>
            <w:tcW w:w="1080" w:type="dxa"/>
            <w:vAlign w:val="bottom"/>
            <w:gridSpan w:val="2"/>
            <w:vMerge w:val="restart"/>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(1,763)</w:t>
            </w:r>
          </w:p>
        </w:tc>
        <w:tc>
          <w:tcPr>
            <w:tcW w:w="1080" w:type="dxa"/>
            <w:vAlign w:val="bottom"/>
            <w:gridSpan w:val="2"/>
          </w:tcPr>
          <w:p>
            <w:pPr>
              <w:jc w:val="right"/>
              <w:ind w:right="11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960" w:type="dxa"/>
            <w:vAlign w:val="bottom"/>
            <w:gridSpan w:val="2"/>
          </w:tcPr>
          <w:p>
            <w:pPr>
              <w:ind w:left="80"/>
              <w:spacing w:after="0"/>
              <w:rPr>
                <w:sz w:val="20"/>
                <w:szCs w:val="20"/>
                <w:color w:val="auto"/>
              </w:rPr>
            </w:pPr>
            <w:r>
              <w:rPr>
                <w:rFonts w:ascii="Arial" w:cs="Arial" w:eastAsia="Arial" w:hAnsi="Arial"/>
                <w:sz w:val="13"/>
                <w:szCs w:val="13"/>
                <w:color w:val="auto"/>
              </w:rPr>
              <w:t>General and administrative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spacing w:after="0"/>
              <w:rPr>
                <w:sz w:val="17"/>
                <w:szCs w:val="17"/>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(1,814)</w:t>
            </w:r>
          </w:p>
        </w:tc>
        <w:tc>
          <w:tcPr>
            <w:tcW w:w="1080" w:type="dxa"/>
            <w:vAlign w:val="bottom"/>
            <w:gridSpan w:val="2"/>
          </w:tcPr>
          <w:p>
            <w:pPr>
              <w:jc w:val="right"/>
              <w:ind w:right="117"/>
              <w:spacing w:after="0" w:line="133" w:lineRule="exact"/>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-5958205</wp:posOffset>
            </wp:positionV>
            <wp:extent cx="642302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-5674995</wp:posOffset>
            </wp:positionV>
            <wp:extent cx="642302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-5400675</wp:posOffset>
            </wp:positionV>
            <wp:extent cx="642302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-5126355</wp:posOffset>
            </wp:positionV>
            <wp:extent cx="642302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-4851400</wp:posOffset>
            </wp:positionV>
            <wp:extent cx="642302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-4577080</wp:posOffset>
            </wp:positionV>
            <wp:extent cx="642302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-4302760</wp:posOffset>
            </wp:positionV>
            <wp:extent cx="642302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-4028440</wp:posOffset>
            </wp:positionV>
            <wp:extent cx="642302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-3745230</wp:posOffset>
            </wp:positionV>
            <wp:extent cx="642302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-3470910</wp:posOffset>
            </wp:positionV>
            <wp:extent cx="642302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-3196590</wp:posOffset>
            </wp:positionV>
            <wp:extent cx="6423025"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-2922270</wp:posOffset>
            </wp:positionV>
            <wp:extent cx="642302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-2647950</wp:posOffset>
            </wp:positionV>
            <wp:extent cx="642302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-2372995</wp:posOffset>
            </wp:positionV>
            <wp:extent cx="642302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-2098675</wp:posOffset>
            </wp:positionV>
            <wp:extent cx="642302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-1824355</wp:posOffset>
            </wp:positionV>
            <wp:extent cx="642302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-1550035</wp:posOffset>
            </wp:positionV>
            <wp:extent cx="642302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-1241425</wp:posOffset>
            </wp:positionV>
            <wp:extent cx="642302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-967105</wp:posOffset>
            </wp:positionV>
            <wp:extent cx="642302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42302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42302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42302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2017 vs. 2016</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Favorable /</w:t>
            </w:r>
          </w:p>
        </w:tc>
        <w:tc>
          <w:tcPr>
            <w:tcW w:w="0" w:type="dxa"/>
            <w:vAlign w:val="bottom"/>
          </w:tcPr>
          <w:p>
            <w:pPr>
              <w:spacing w:after="0"/>
              <w:rPr>
                <w:sz w:val="1"/>
                <w:szCs w:val="1"/>
                <w:color w:val="auto"/>
              </w:rPr>
            </w:pPr>
          </w:p>
        </w:tc>
      </w:tr>
      <w:tr>
        <w:trPr>
          <w:trHeight w:val="160"/>
        </w:trPr>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i w:val="1"/>
                <w:iCs w:val="1"/>
                <w:color w:val="auto"/>
              </w:rPr>
              <w:t>% of Revenue</w:t>
            </w:r>
          </w:p>
        </w:tc>
        <w:tc>
          <w:tcPr>
            <w:tcW w:w="16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443"/>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89,053</w:t>
            </w:r>
          </w:p>
        </w:tc>
        <w:tc>
          <w:tcPr>
            <w:tcW w:w="20" w:type="dxa"/>
            <w:vAlign w:val="bottom"/>
          </w:tcPr>
          <w:p>
            <w:pPr>
              <w:spacing w:after="0"/>
              <w:rPr>
                <w:sz w:val="24"/>
                <w:szCs w:val="24"/>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64 %</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41,642</w:t>
            </w:r>
          </w:p>
        </w:tc>
        <w:tc>
          <w:tcPr>
            <w:tcW w:w="20" w:type="dxa"/>
            <w:vAlign w:val="bottom"/>
          </w:tcPr>
          <w:p>
            <w:pPr>
              <w:spacing w:after="0"/>
              <w:rPr>
                <w:sz w:val="18"/>
                <w:szCs w:val="18"/>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30 %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9,125</w:t>
            </w:r>
          </w:p>
        </w:tc>
        <w:tc>
          <w:tcPr>
            <w:tcW w:w="20" w:type="dxa"/>
            <w:vAlign w:val="bottom"/>
          </w:tcPr>
          <w:p>
            <w:pPr>
              <w:spacing w:after="0"/>
              <w:rPr>
                <w:sz w:val="17"/>
                <w:szCs w:val="17"/>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6 %</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139,820</w:t>
            </w:r>
          </w:p>
        </w:tc>
        <w:tc>
          <w:tcPr>
            <w:tcW w:w="20" w:type="dxa"/>
            <w:vAlign w:val="bottom"/>
          </w:tcPr>
          <w:p>
            <w:pPr>
              <w:spacing w:after="0"/>
              <w:rPr>
                <w:sz w:val="14"/>
                <w:szCs w:val="14"/>
                <w:color w:val="auto"/>
              </w:rPr>
            </w:pPr>
          </w:p>
        </w:tc>
        <w:tc>
          <w:tcPr>
            <w:tcW w:w="136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56,804</w:t>
            </w:r>
          </w:p>
        </w:tc>
        <w:tc>
          <w:tcPr>
            <w:tcW w:w="20" w:type="dxa"/>
            <w:vAlign w:val="bottom"/>
          </w:tcPr>
          <w:p>
            <w:pPr>
              <w:spacing w:after="0"/>
              <w:rPr>
                <w:sz w:val="18"/>
                <w:szCs w:val="18"/>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64 %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25,916</w:t>
            </w:r>
          </w:p>
        </w:tc>
        <w:tc>
          <w:tcPr>
            <w:tcW w:w="20" w:type="dxa"/>
            <w:vAlign w:val="bottom"/>
          </w:tcPr>
          <w:p>
            <w:pPr>
              <w:spacing w:after="0"/>
              <w:rPr>
                <w:sz w:val="18"/>
                <w:szCs w:val="18"/>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29 %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6,333</w:t>
            </w:r>
          </w:p>
        </w:tc>
        <w:tc>
          <w:tcPr>
            <w:tcW w:w="20" w:type="dxa"/>
            <w:vAlign w:val="bottom"/>
          </w:tcPr>
          <w:p>
            <w:pPr>
              <w:spacing w:after="0"/>
              <w:rPr>
                <w:sz w:val="17"/>
                <w:szCs w:val="17"/>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89,053</w:t>
            </w:r>
          </w:p>
        </w:tc>
        <w:tc>
          <w:tcPr>
            <w:tcW w:w="20" w:type="dxa"/>
            <w:vAlign w:val="bottom"/>
          </w:tcPr>
          <w:p>
            <w:pPr>
              <w:spacing w:after="0"/>
              <w:rPr>
                <w:sz w:val="14"/>
                <w:szCs w:val="14"/>
                <w:color w:val="auto"/>
              </w:rPr>
            </w:pPr>
          </w:p>
        </w:tc>
        <w:tc>
          <w:tcPr>
            <w:tcW w:w="136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18,870</w:t>
            </w:r>
          </w:p>
        </w:tc>
        <w:tc>
          <w:tcPr>
            <w:tcW w:w="20" w:type="dxa"/>
            <w:vAlign w:val="bottom"/>
          </w:tcPr>
          <w:p>
            <w:pPr>
              <w:spacing w:after="0"/>
              <w:rPr>
                <w:sz w:val="18"/>
                <w:szCs w:val="18"/>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67 %</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7,671</w:t>
            </w:r>
          </w:p>
        </w:tc>
        <w:tc>
          <w:tcPr>
            <w:tcW w:w="20" w:type="dxa"/>
            <w:vAlign w:val="bottom"/>
          </w:tcPr>
          <w:p>
            <w:pPr>
              <w:spacing w:after="0"/>
              <w:rPr>
                <w:sz w:val="18"/>
                <w:szCs w:val="18"/>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28 %</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1,508</w:t>
            </w:r>
          </w:p>
        </w:tc>
        <w:tc>
          <w:tcPr>
            <w:tcW w:w="20" w:type="dxa"/>
            <w:vAlign w:val="bottom"/>
          </w:tcPr>
          <w:p>
            <w:pPr>
              <w:spacing w:after="0"/>
              <w:rPr>
                <w:sz w:val="17"/>
                <w:szCs w:val="17"/>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5 %</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28,049</w:t>
            </w:r>
          </w:p>
        </w:tc>
        <w:tc>
          <w:tcPr>
            <w:tcW w:w="20" w:type="dxa"/>
            <w:vAlign w:val="bottom"/>
          </w:tcPr>
          <w:p>
            <w:pPr>
              <w:spacing w:after="0"/>
              <w:rPr>
                <w:sz w:val="14"/>
                <w:szCs w:val="14"/>
                <w:color w:val="auto"/>
              </w:rPr>
            </w:pPr>
          </w:p>
        </w:tc>
        <w:tc>
          <w:tcPr>
            <w:tcW w:w="136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256,922</w:t>
            </w:r>
          </w:p>
        </w:tc>
        <w:tc>
          <w:tcPr>
            <w:tcW w:w="20" w:type="dxa"/>
            <w:vAlign w:val="bottom"/>
          </w:tcPr>
          <w:p>
            <w:pPr>
              <w:spacing w:after="0"/>
              <w:rPr>
                <w:sz w:val="16"/>
                <w:szCs w:val="16"/>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443"/>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(47,507)</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(34)%</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(7,467)</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(26,260)</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(19)%</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(37,649)</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(27)%</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(118,883)</w:t>
            </w:r>
          </w:p>
        </w:tc>
        <w:tc>
          <w:tcPr>
            <w:tcW w:w="136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(85)%</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(26,658)</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(30)%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(5,444)</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(13,905)</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(19,689)</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(22)%</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(65,696)</w:t>
            </w:r>
          </w:p>
        </w:tc>
        <w:tc>
          <w:tcPr>
            <w:tcW w:w="136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(74)%</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(8,708)</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(31)%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(1,823)</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(4,749)</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(17)%</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(6,029)</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(22)%</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(21,309)</w:t>
            </w:r>
          </w:p>
        </w:tc>
        <w:tc>
          <w:tcPr>
            <w:tcW w:w="136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(76)%</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(205,888)</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(80)%</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484"/>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(5,820)</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(4)%</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(2,766)</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(2)%</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9"/>
        </w:trPr>
        <w:tc>
          <w:tcPr>
            <w:tcW w:w="240" w:type="dxa"/>
            <w:vAlign w:val="bottom"/>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(8,586)</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23"/>
                <w:szCs w:val="23"/>
                <w:color w:val="auto"/>
              </w:rPr>
            </w:pPr>
          </w:p>
        </w:tc>
        <w:tc>
          <w:tcPr>
            <w:tcW w:w="840" w:type="dxa"/>
            <w:vAlign w:val="bottom"/>
            <w:gridSpan w:val="2"/>
          </w:tcPr>
          <w:p>
            <w:pPr>
              <w:jc w:val="right"/>
              <w:spacing w:after="0" w:line="269" w:lineRule="exact"/>
              <w:rPr>
                <w:sz w:val="20"/>
                <w:szCs w:val="20"/>
                <w:color w:val="auto"/>
              </w:rPr>
            </w:pPr>
            <w:r>
              <w:rPr>
                <w:rFonts w:ascii="Arial" w:cs="Arial" w:eastAsia="Arial" w:hAnsi="Arial"/>
                <w:sz w:val="13"/>
                <w:szCs w:val="13"/>
                <w:color w:val="auto"/>
              </w:rPr>
              <w:t xml:space="preserve">4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60"/>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(4,238)</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(1,018)</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(1)%</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269"/>
        </w:trPr>
        <w:tc>
          <w:tcPr>
            <w:tcW w:w="240" w:type="dxa"/>
            <w:vAlign w:val="bottom"/>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(5,256)</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23"/>
                <w:szCs w:val="23"/>
                <w:color w:val="auto"/>
              </w:rPr>
            </w:pPr>
          </w:p>
        </w:tc>
        <w:tc>
          <w:tcPr>
            <w:tcW w:w="840" w:type="dxa"/>
            <w:vAlign w:val="bottom"/>
            <w:gridSpan w:val="2"/>
          </w:tcPr>
          <w:p>
            <w:pPr>
              <w:jc w:val="right"/>
              <w:spacing w:after="0" w:line="269" w:lineRule="exact"/>
              <w:rPr>
                <w:sz w:val="20"/>
                <w:szCs w:val="20"/>
                <w:color w:val="auto"/>
              </w:rPr>
            </w:pPr>
            <w:r>
              <w:rPr>
                <w:rFonts w:ascii="Arial" w:cs="Arial" w:eastAsia="Arial" w:hAnsi="Arial"/>
                <w:sz w:val="13"/>
                <w:szCs w:val="13"/>
                <w:color w:val="auto"/>
              </w:rPr>
              <w:t xml:space="preserve">(4)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60"/>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(1,714)</w:t>
            </w: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7"/>
                <w:szCs w:val="17"/>
                <w:color w:val="auto"/>
              </w:rPr>
            </w:pPr>
          </w:p>
        </w:tc>
        <w:tc>
          <w:tcPr>
            <w:tcW w:w="1360" w:type="dxa"/>
            <w:vAlign w:val="bottom"/>
            <w:gridSpan w:val="2"/>
          </w:tcPr>
          <w:p>
            <w:pPr>
              <w:jc w:val="right"/>
              <w:ind w:right="77"/>
              <w:spacing w:after="0"/>
              <w:rPr>
                <w:sz w:val="20"/>
                <w:szCs w:val="20"/>
                <w:color w:val="auto"/>
              </w:rPr>
            </w:pPr>
            <w:r>
              <w:rPr>
                <w:rFonts w:ascii="Arial" w:cs="Arial" w:eastAsia="Arial" w:hAnsi="Arial"/>
                <w:sz w:val="13"/>
                <w:szCs w:val="13"/>
                <w:i w:val="1"/>
                <w:iCs w:val="1"/>
                <w:color w:val="auto"/>
              </w:rPr>
              <w:t>0 %</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(1,694)</w:t>
            </w:r>
          </w:p>
        </w:tc>
        <w:tc>
          <w:tcPr>
            <w:tcW w:w="20" w:type="dxa"/>
            <w:vAlign w:val="bottom"/>
          </w:tcPr>
          <w:p>
            <w:pPr>
              <w:spacing w:after="0"/>
              <w:rPr>
                <w:sz w:val="14"/>
                <w:szCs w:val="14"/>
                <w:color w:val="auto"/>
              </w:rPr>
            </w:pPr>
          </w:p>
        </w:tc>
        <w:tc>
          <w:tcPr>
            <w:tcW w:w="1360" w:type="dxa"/>
            <w:vAlign w:val="bottom"/>
            <w:gridSpan w:val="2"/>
          </w:tcPr>
          <w:p>
            <w:pPr>
              <w:jc w:val="right"/>
              <w:ind w:right="77"/>
              <w:spacing w:after="0" w:line="133" w:lineRule="exact"/>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4"/>
                <w:szCs w:val="14"/>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49"/>
        </w:trPr>
        <w:tc>
          <w:tcPr>
            <w:tcW w:w="2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ectPr>
          <w:pgSz w:w="11900" w:h="16838" w:orient="portrait"/>
          <w:cols w:equalWidth="0" w:num="2">
            <w:col w:w="6540" w:space="160"/>
            <w:col w:w="3420"/>
          </w:cols>
          <w:pgMar w:left="900" w:top="125" w:right="879" w:bottom="1440" w:gutter="0" w:footer="0" w:header="0"/>
        </w:sectPr>
      </w:pPr>
    </w:p>
    <w:tbl>
      <w:tblPr>
        <w:tblLayout w:type="fixed"/>
        <w:tblInd w:w="0" w:type="dxa"/>
        <w:tblCellMar>
          <w:top w:w="0" w:type="dxa"/>
          <w:left w:w="0" w:type="dxa"/>
          <w:bottom w:w="0" w:type="dxa"/>
          <w:right w:w="0" w:type="dxa"/>
        </w:tblCellMar>
      </w:tblPr>
      <w:tr>
        <w:trPr>
          <w:trHeight w:val="48"/>
        </w:trPr>
        <w:tc>
          <w:tcPr>
            <w:tcW w:w="3920" w:type="dxa"/>
            <w:vAlign w:val="bottom"/>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w w:val="94"/>
              </w:rPr>
              <w:t>Total depreciation, amortization, and general and administrative</w:t>
            </w:r>
          </w:p>
        </w:tc>
        <w:tc>
          <w:tcPr>
            <w:tcW w:w="240" w:type="dxa"/>
            <w:vAlign w:val="bottom"/>
            <w:shd w:val="clear" w:color="auto" w:fill="CCEEFF"/>
          </w:tcPr>
          <w:p>
            <w:pPr>
              <w:spacing w:after="0"/>
              <w:rPr>
                <w:sz w:val="4"/>
                <w:szCs w:val="4"/>
                <w:color w:val="auto"/>
              </w:rPr>
            </w:pPr>
          </w:p>
        </w:tc>
        <w:tc>
          <w:tcPr>
            <w:tcW w:w="440" w:type="dxa"/>
            <w:vAlign w:val="bottom"/>
            <w:shd w:val="clear" w:color="auto" w:fill="000000"/>
          </w:tcPr>
          <w:p>
            <w:pPr>
              <w:spacing w:after="0"/>
              <w:rPr>
                <w:sz w:val="4"/>
                <w:szCs w:val="4"/>
                <w:color w:val="auto"/>
              </w:rPr>
            </w:pPr>
          </w:p>
        </w:tc>
        <w:tc>
          <w:tcPr>
            <w:tcW w:w="860" w:type="dxa"/>
            <w:vAlign w:val="bottom"/>
            <w:shd w:val="clear" w:color="auto" w:fill="000000"/>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720" w:type="dxa"/>
            <w:vAlign w:val="bottom"/>
            <w:shd w:val="clear" w:color="auto" w:fill="000000"/>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3920" w:type="dxa"/>
            <w:vAlign w:val="bottom"/>
            <w:vMerge w:val="continue"/>
            <w:shd w:val="clear" w:color="auto" w:fill="CCEEFF"/>
          </w:tcPr>
          <w:p>
            <w:pPr>
              <w:spacing w:after="0"/>
              <w:rPr>
                <w:sz w:val="8"/>
                <w:szCs w:val="8"/>
                <w:color w:val="auto"/>
              </w:rPr>
            </w:pPr>
          </w:p>
        </w:tc>
        <w:tc>
          <w:tcPr>
            <w:tcW w:w="240" w:type="dxa"/>
            <w:vAlign w:val="bottom"/>
            <w:vMerge w:val="restart"/>
            <w:shd w:val="clear" w:color="auto" w:fill="CCEEFF"/>
          </w:tcPr>
          <w:p>
            <w:pPr>
              <w:spacing w:after="0"/>
              <w:rPr>
                <w:sz w:val="8"/>
                <w:szCs w:val="8"/>
                <w:color w:val="auto"/>
              </w:rPr>
            </w:pPr>
          </w:p>
        </w:tc>
        <w:tc>
          <w:tcPr>
            <w:tcW w:w="440" w:type="dxa"/>
            <w:vAlign w:val="bottom"/>
            <w:vMerge w:val="restart"/>
            <w:shd w:val="clear" w:color="auto" w:fill="CCEEFF"/>
          </w:tcPr>
          <w:p>
            <w:pPr>
              <w:jc w:val="right"/>
              <w:ind w:right="297"/>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(15,474)</w:t>
            </w:r>
          </w:p>
        </w:tc>
        <w:tc>
          <w:tcPr>
            <w:tcW w:w="94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(15,536)</w:t>
            </w:r>
          </w:p>
        </w:tc>
        <w:tc>
          <w:tcPr>
            <w:tcW w:w="1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92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expense</w:t>
            </w:r>
          </w:p>
        </w:tc>
        <w:tc>
          <w:tcPr>
            <w:tcW w:w="24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940" w:type="dxa"/>
            <w:vAlign w:val="bottom"/>
            <w:shd w:val="clear" w:color="auto" w:fill="CCEEFF"/>
          </w:tcPr>
          <w:p>
            <w:pPr>
              <w:jc w:val="right"/>
              <w:ind w:right="277"/>
              <w:spacing w:after="0" w:line="140" w:lineRule="exact"/>
              <w:rPr>
                <w:sz w:val="20"/>
                <w:szCs w:val="20"/>
                <w:color w:val="auto"/>
              </w:rPr>
            </w:pPr>
            <w:r>
              <w:rPr>
                <w:rFonts w:ascii="Arial" w:cs="Arial" w:eastAsia="Arial" w:hAnsi="Arial"/>
                <w:sz w:val="13"/>
                <w:szCs w:val="13"/>
                <w:i w:val="1"/>
                <w:iCs w:val="1"/>
                <w:color w:val="auto"/>
              </w:rPr>
              <w:t>(6)%</w:t>
            </w:r>
          </w:p>
        </w:tc>
        <w:tc>
          <w:tcPr>
            <w:tcW w:w="320" w:type="dxa"/>
            <w:vAlign w:val="bottom"/>
            <w:vMerge w:val="continue"/>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140" w:type="dxa"/>
            <w:vAlign w:val="bottom"/>
            <w:shd w:val="clear" w:color="auto" w:fill="CCEEFF"/>
          </w:tcPr>
          <w:p>
            <w:pPr>
              <w:jc w:val="right"/>
              <w:ind w:right="317"/>
              <w:spacing w:after="0" w:line="140" w:lineRule="exact"/>
              <w:rPr>
                <w:sz w:val="20"/>
                <w:szCs w:val="20"/>
                <w:color w:val="auto"/>
              </w:rPr>
            </w:pPr>
            <w:r>
              <w:rPr>
                <w:rFonts w:ascii="Arial" w:cs="Arial" w:eastAsia="Arial" w:hAnsi="Arial"/>
                <w:sz w:val="13"/>
                <w:szCs w:val="13"/>
                <w:i w:val="1"/>
                <w:iCs w:val="1"/>
                <w:color w:val="auto"/>
              </w:rPr>
              <w:t>(6)%</w:t>
            </w: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CCEEFF"/>
              <w:bottom w:val="single" w:sz="8" w:color="CCEEFF"/>
            </w:tcBorders>
          </w:tcPr>
          <w:p>
            <w:pPr>
              <w:spacing w:after="0"/>
              <w:rPr>
                <w:sz w:val="19"/>
                <w:szCs w:val="19"/>
                <w:color w:val="auto"/>
              </w:rPr>
            </w:pPr>
          </w:p>
        </w:tc>
        <w:tc>
          <w:tcPr>
            <w:tcW w:w="940" w:type="dxa"/>
            <w:vAlign w:val="bottom"/>
            <w:tcBorders>
              <w:top w:val="single" w:sz="8" w:color="CCEEFF"/>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CCEEFF"/>
              <w:bottom w:val="single" w:sz="8" w:color="CCEEFF"/>
            </w:tcBorders>
          </w:tcPr>
          <w:p>
            <w:pPr>
              <w:spacing w:after="0"/>
              <w:rPr>
                <w:sz w:val="19"/>
                <w:szCs w:val="19"/>
                <w:color w:val="auto"/>
              </w:rPr>
            </w:pPr>
          </w:p>
        </w:tc>
        <w:tc>
          <w:tcPr>
            <w:tcW w:w="1140" w:type="dxa"/>
            <w:vAlign w:val="bottom"/>
            <w:tcBorders>
              <w:top w:val="single" w:sz="8" w:color="CCEEFF"/>
              <w:bottom w:val="single" w:sz="8" w:color="CCEEFF"/>
            </w:tcBorders>
          </w:tcPr>
          <w:p>
            <w:pPr>
              <w:spacing w:after="0"/>
              <w:rPr>
                <w:sz w:val="19"/>
                <w:szCs w:val="19"/>
                <w:color w:val="auto"/>
              </w:rPr>
            </w:pPr>
          </w:p>
        </w:tc>
        <w:tc>
          <w:tcPr>
            <w:tcW w:w="76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expenses</w:t>
            </w:r>
          </w:p>
        </w:tc>
        <w:tc>
          <w:tcPr>
            <w:tcW w:w="680" w:type="dxa"/>
            <w:vAlign w:val="bottom"/>
            <w:gridSpan w:val="2"/>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(230,494)</w:t>
            </w:r>
          </w:p>
        </w:tc>
        <w:tc>
          <w:tcPr>
            <w:tcW w:w="940" w:type="dxa"/>
            <w:vAlign w:val="bottom"/>
            <w:shd w:val="clear" w:color="auto" w:fill="CCEEFF"/>
          </w:tcPr>
          <w:p>
            <w:pPr>
              <w:jc w:val="right"/>
              <w:ind w:right="277"/>
              <w:spacing w:after="0"/>
              <w:rPr>
                <w:sz w:val="20"/>
                <w:szCs w:val="20"/>
                <w:color w:val="auto"/>
              </w:rPr>
            </w:pPr>
            <w:r>
              <w:rPr>
                <w:rFonts w:ascii="Arial" w:cs="Arial" w:eastAsia="Arial" w:hAnsi="Arial"/>
                <w:sz w:val="13"/>
                <w:szCs w:val="13"/>
                <w:i w:val="1"/>
                <w:iCs w:val="1"/>
                <w:color w:val="auto"/>
              </w:rPr>
              <w:t>(87)%</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(221,424)</w:t>
            </w:r>
          </w:p>
        </w:tc>
        <w:tc>
          <w:tcPr>
            <w:tcW w:w="1140" w:type="dxa"/>
            <w:vAlign w:val="bottom"/>
            <w:shd w:val="clear" w:color="auto" w:fill="CCEEFF"/>
          </w:tcPr>
          <w:p>
            <w:pPr>
              <w:jc w:val="right"/>
              <w:ind w:right="317"/>
              <w:spacing w:after="0"/>
              <w:rPr>
                <w:sz w:val="20"/>
                <w:szCs w:val="20"/>
                <w:color w:val="auto"/>
              </w:rPr>
            </w:pPr>
            <w:r>
              <w:rPr>
                <w:rFonts w:ascii="Arial" w:cs="Arial" w:eastAsia="Arial" w:hAnsi="Arial"/>
                <w:sz w:val="13"/>
                <w:szCs w:val="13"/>
                <w:i w:val="1"/>
                <w:iCs w:val="1"/>
                <w:color w:val="auto"/>
              </w:rPr>
              <w:t>(86)%</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OPERATING INCOME</w:t>
            </w:r>
          </w:p>
        </w:tc>
        <w:tc>
          <w:tcPr>
            <w:tcW w:w="2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United States</w:t>
            </w:r>
          </w:p>
        </w:tc>
        <w:tc>
          <w:tcPr>
            <w:tcW w:w="680" w:type="dxa"/>
            <w:vAlign w:val="bottom"/>
            <w:gridSpan w:val="2"/>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5 </w:t>
            </w:r>
            <w:r>
              <w:rPr>
                <w:rFonts w:ascii="Arial" w:cs="Arial" w:eastAsia="Arial" w:hAnsi="Arial"/>
                <w:sz w:val="25"/>
                <w:szCs w:val="25"/>
                <w:i w:val="1"/>
                <w:iCs w:val="1"/>
                <w:color w:val="auto"/>
                <w:vertAlign w:val="superscript"/>
              </w:rPr>
              <w:t>%</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12,351</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7"/>
              <w:spacing w:after="0" w:line="216" w:lineRule="exact"/>
              <w:rPr>
                <w:sz w:val="20"/>
                <w:szCs w:val="20"/>
                <w:color w:val="auto"/>
              </w:rPr>
            </w:pPr>
            <w:r>
              <w:rPr>
                <w:rFonts w:ascii="Arial" w:cs="Arial" w:eastAsia="Arial" w:hAnsi="Arial"/>
                <w:sz w:val="13"/>
                <w:szCs w:val="13"/>
                <w:i w:val="1"/>
                <w:iCs w:val="1"/>
                <w:color w:val="auto"/>
              </w:rPr>
              <w:t xml:space="preserve">9 </w:t>
            </w:r>
            <w:r>
              <w:rPr>
                <w:rFonts w:ascii="Arial" w:cs="Arial" w:eastAsia="Arial" w:hAnsi="Arial"/>
                <w:sz w:val="25"/>
                <w:szCs w:val="25"/>
                <w:i w:val="1"/>
                <w:iCs w:val="1"/>
                <w:color w:val="auto"/>
                <w:vertAlign w:val="superscript"/>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21,358</w:t>
            </w:r>
          </w:p>
        </w:tc>
        <w:tc>
          <w:tcPr>
            <w:tcW w:w="300" w:type="dxa"/>
            <w:vAlign w:val="bottom"/>
          </w:tcPr>
          <w:p>
            <w:pPr>
              <w:spacing w:after="0"/>
              <w:rPr>
                <w:sz w:val="18"/>
                <w:szCs w:val="18"/>
                <w:color w:val="auto"/>
              </w:rPr>
            </w:pPr>
          </w:p>
        </w:tc>
        <w:tc>
          <w:tcPr>
            <w:tcW w:w="940" w:type="dxa"/>
            <w:vAlign w:val="bottom"/>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22 </w:t>
            </w:r>
            <w:r>
              <w:rPr>
                <w:rFonts w:ascii="Arial" w:cs="Arial" w:eastAsia="Arial" w:hAnsi="Arial"/>
                <w:sz w:val="25"/>
                <w:szCs w:val="25"/>
                <w:i w:val="1"/>
                <w:iCs w:val="1"/>
                <w:color w:val="auto"/>
                <w:vertAlign w:val="superscript"/>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18,101</w:t>
            </w:r>
          </w:p>
        </w:tc>
        <w:tc>
          <w:tcPr>
            <w:tcW w:w="480" w:type="dxa"/>
            <w:vAlign w:val="bottom"/>
          </w:tcPr>
          <w:p>
            <w:pPr>
              <w:spacing w:after="0"/>
              <w:rPr>
                <w:sz w:val="18"/>
                <w:szCs w:val="18"/>
                <w:color w:val="auto"/>
              </w:rPr>
            </w:pPr>
          </w:p>
        </w:tc>
        <w:tc>
          <w:tcPr>
            <w:tcW w:w="1140" w:type="dxa"/>
            <w:vAlign w:val="bottom"/>
          </w:tcPr>
          <w:p>
            <w:pPr>
              <w:jc w:val="right"/>
              <w:ind w:right="317"/>
              <w:spacing w:after="0" w:line="216" w:lineRule="exact"/>
              <w:rPr>
                <w:sz w:val="20"/>
                <w:szCs w:val="20"/>
                <w:color w:val="auto"/>
              </w:rPr>
            </w:pPr>
            <w:r>
              <w:rPr>
                <w:rFonts w:ascii="Arial" w:cs="Arial" w:eastAsia="Arial" w:hAnsi="Arial"/>
                <w:sz w:val="13"/>
                <w:szCs w:val="13"/>
                <w:i w:val="1"/>
                <w:iCs w:val="1"/>
                <w:color w:val="auto"/>
              </w:rPr>
              <w:t xml:space="preserve">20 </w:t>
            </w:r>
            <w:r>
              <w:rPr>
                <w:rFonts w:ascii="Arial" w:cs="Arial" w:eastAsia="Arial" w:hAnsi="Arial"/>
                <w:sz w:val="25"/>
                <w:szCs w:val="25"/>
                <w:i w:val="1"/>
                <w:iCs w:val="1"/>
                <w:color w:val="auto"/>
                <w:vertAlign w:val="superscript"/>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New Zealand</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4,405</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7"/>
              <w:spacing w:after="0" w:line="216" w:lineRule="exact"/>
              <w:rPr>
                <w:sz w:val="20"/>
                <w:szCs w:val="20"/>
                <w:color w:val="auto"/>
              </w:rPr>
            </w:pPr>
            <w:r>
              <w:rPr>
                <w:rFonts w:ascii="Arial" w:cs="Arial" w:eastAsia="Arial" w:hAnsi="Arial"/>
                <w:sz w:val="13"/>
                <w:szCs w:val="13"/>
                <w:i w:val="1"/>
                <w:iCs w:val="1"/>
                <w:color w:val="auto"/>
              </w:rPr>
              <w:t xml:space="preserve">16 </w:t>
            </w:r>
            <w:r>
              <w:rPr>
                <w:rFonts w:ascii="Arial" w:cs="Arial" w:eastAsia="Arial" w:hAnsi="Arial"/>
                <w:sz w:val="25"/>
                <w:szCs w:val="25"/>
                <w:i w:val="1"/>
                <w:iCs w:val="1"/>
                <w:color w:val="auto"/>
                <w:vertAlign w:val="superscript"/>
              </w:rPr>
              <w:t>%</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5,046</w:t>
            </w:r>
          </w:p>
        </w:tc>
        <w:tc>
          <w:tcPr>
            <w:tcW w:w="4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17"/>
              <w:spacing w:after="0" w:line="216" w:lineRule="exact"/>
              <w:rPr>
                <w:sz w:val="20"/>
                <w:szCs w:val="20"/>
                <w:color w:val="auto"/>
              </w:rPr>
            </w:pPr>
            <w:r>
              <w:rPr>
                <w:rFonts w:ascii="Arial" w:cs="Arial" w:eastAsia="Arial" w:hAnsi="Arial"/>
                <w:sz w:val="13"/>
                <w:szCs w:val="13"/>
                <w:i w:val="1"/>
                <w:iCs w:val="1"/>
                <w:color w:val="auto"/>
              </w:rPr>
              <w:t xml:space="preserve">18 </w:t>
            </w:r>
            <w:r>
              <w:rPr>
                <w:rFonts w:ascii="Arial" w:cs="Arial" w:eastAsia="Arial" w:hAnsi="Arial"/>
                <w:sz w:val="25"/>
                <w:szCs w:val="25"/>
                <w:i w:val="1"/>
                <w:iCs w:val="1"/>
                <w:color w:val="auto"/>
                <w:vertAlign w:val="superscript"/>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96"/>
        </w:trPr>
        <w:tc>
          <w:tcPr>
            <w:tcW w:w="3920" w:type="dxa"/>
            <w:vAlign w:val="bottom"/>
          </w:tcPr>
          <w:p>
            <w:pPr>
              <w:ind w:left="180"/>
              <w:spacing w:after="0"/>
              <w:rPr>
                <w:sz w:val="20"/>
                <w:szCs w:val="20"/>
                <w:color w:val="auto"/>
              </w:rPr>
            </w:pPr>
            <w:r>
              <w:rPr>
                <w:rFonts w:ascii="Arial" w:cs="Arial" w:eastAsia="Arial" w:hAnsi="Arial"/>
                <w:sz w:val="13"/>
                <w:szCs w:val="13"/>
                <w:b w:val="1"/>
                <w:bCs w:val="1"/>
                <w:color w:val="auto"/>
              </w:rPr>
              <w:t>Total operating income</w:t>
            </w:r>
          </w:p>
        </w:tc>
        <w:tc>
          <w:tcPr>
            <w:tcW w:w="240" w:type="dxa"/>
            <w:vAlign w:val="bottom"/>
          </w:tcPr>
          <w:p>
            <w:pPr>
              <w:spacing w:after="0"/>
              <w:rPr>
                <w:sz w:val="17"/>
                <w:szCs w:val="17"/>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32,970</w:t>
            </w:r>
          </w:p>
        </w:tc>
        <w:tc>
          <w:tcPr>
            <w:tcW w:w="300" w:type="dxa"/>
            <w:vAlign w:val="bottom"/>
          </w:tcPr>
          <w:p>
            <w:pPr>
              <w:spacing w:after="0"/>
              <w:rPr>
                <w:sz w:val="17"/>
                <w:szCs w:val="17"/>
                <w:color w:val="auto"/>
              </w:rPr>
            </w:pPr>
          </w:p>
        </w:tc>
        <w:tc>
          <w:tcPr>
            <w:tcW w:w="940" w:type="dxa"/>
            <w:vAlign w:val="bottom"/>
          </w:tcPr>
          <w:p>
            <w:pPr>
              <w:jc w:val="right"/>
              <w:ind w:right="277"/>
              <w:spacing w:after="0"/>
              <w:rPr>
                <w:sz w:val="20"/>
                <w:szCs w:val="20"/>
                <w:color w:val="auto"/>
              </w:rPr>
            </w:pPr>
            <w:r>
              <w:rPr>
                <w:rFonts w:ascii="Arial" w:cs="Arial" w:eastAsia="Arial" w:hAnsi="Arial"/>
                <w:sz w:val="13"/>
                <w:szCs w:val="13"/>
                <w:i w:val="1"/>
                <w:iCs w:val="1"/>
                <w:color w:val="auto"/>
              </w:rPr>
              <w:t>13 %</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35,498</w:t>
            </w:r>
          </w:p>
        </w:tc>
        <w:tc>
          <w:tcPr>
            <w:tcW w:w="48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Arial" w:cs="Arial" w:eastAsia="Arial" w:hAnsi="Arial"/>
                <w:sz w:val="13"/>
                <w:szCs w:val="13"/>
                <w:i w:val="1"/>
                <w:iCs w:val="1"/>
                <w:color w:val="auto"/>
              </w:rPr>
              <w:t>14 %</w:t>
            </w:r>
          </w:p>
        </w:tc>
        <w:tc>
          <w:tcPr>
            <w:tcW w:w="760" w:type="dxa"/>
            <w:vAlign w:val="bottom"/>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type w:val="continuous"/>
        </w:sectPr>
      </w:pPr>
    </w:p>
    <w:bookmarkStart w:id="64" w:name="page65"/>
    <w:bookmarkEnd w:id="64"/>
    <w:p>
      <w:pPr>
        <w:ind w:right="300"/>
        <w:spacing w:after="0" w:line="266" w:lineRule="auto"/>
        <w:rPr>
          <w:sz w:val="20"/>
          <w:szCs w:val="20"/>
          <w:color w:val="auto"/>
        </w:rPr>
      </w:pPr>
      <w:r>
        <w:rPr>
          <w:rFonts w:ascii="Arial" w:cs="Arial" w:eastAsia="Arial" w:hAnsi="Arial"/>
          <w:sz w:val="18"/>
          <w:szCs w:val="18"/>
          <w:b w:val="1"/>
          <w:bCs w:val="1"/>
          <w:u w:val="single" w:color="auto"/>
          <w:color w:val="auto"/>
        </w:rPr>
        <w:t>Cinema Exhibition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The following table details our cinema segment operating results for the quarter ended December 31, 2017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December 31, 2016, respectively.</w:t>
      </w:r>
    </w:p>
    <w:tbl>
      <w:tblPr>
        <w:tblLayout w:type="fixed"/>
        <w:tblInd w:w="0" w:type="dxa"/>
        <w:tblCellMar>
          <w:top w:w="0" w:type="dxa"/>
          <w:left w:w="0" w:type="dxa"/>
          <w:bottom w:w="0" w:type="dxa"/>
          <w:right w:w="0" w:type="dxa"/>
        </w:tblCellMar>
      </w:tblPr>
      <w:tr>
        <w:trPr>
          <w:trHeight w:val="136"/>
        </w:trPr>
        <w:tc>
          <w:tcPr>
            <w:tcW w:w="12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86"/>
              </w:rPr>
              <w:t>2017 vs. 2016</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Favorable /</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20"/>
                <w:szCs w:val="20"/>
                <w:color w:val="auto"/>
              </w:rPr>
            </w:pPr>
            <w:r>
              <w:rPr>
                <w:rFonts w:ascii="Arial" w:cs="Arial" w:eastAsia="Arial" w:hAnsi="Arial"/>
                <w:sz w:val="13"/>
                <w:szCs w:val="13"/>
                <w:color w:val="auto"/>
                <w:w w:val="93"/>
              </w:rPr>
              <w:t>(Dollars in thousands)</w:t>
            </w:r>
          </w:p>
        </w:tc>
        <w:tc>
          <w:tcPr>
            <w:tcW w:w="27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i w:val="1"/>
                <w:iCs w:val="1"/>
                <w:color w:val="auto"/>
              </w:rPr>
              <w:t>% of Revenue</w:t>
            </w:r>
          </w:p>
        </w:tc>
        <w:tc>
          <w:tcPr>
            <w:tcW w:w="240" w:type="dxa"/>
            <w:vAlign w:val="bottom"/>
          </w:tcPr>
          <w:p>
            <w:pPr>
              <w:spacing w:after="0"/>
              <w:rPr>
                <w:sz w:val="13"/>
                <w:szCs w:val="13"/>
                <w:color w:val="auto"/>
              </w:rPr>
            </w:pPr>
          </w:p>
        </w:tc>
        <w:tc>
          <w:tcPr>
            <w:tcW w:w="800" w:type="dxa"/>
            <w:vAlign w:val="bottom"/>
          </w:tcPr>
          <w:p>
            <w:pPr>
              <w:jc w:val="right"/>
              <w:ind w:right="317"/>
              <w:spacing w:after="0"/>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3"/>
                <w:szCs w:val="13"/>
                <w:color w:val="auto"/>
              </w:rPr>
            </w:pPr>
          </w:p>
        </w:tc>
        <w:tc>
          <w:tcPr>
            <w:tcW w:w="1200" w:type="dxa"/>
            <w:vAlign w:val="bottom"/>
          </w:tcPr>
          <w:p>
            <w:pPr>
              <w:jc w:val="right"/>
              <w:ind w:right="198"/>
              <w:spacing w:after="0"/>
              <w:rPr>
                <w:sz w:val="20"/>
                <w:szCs w:val="20"/>
                <w:color w:val="auto"/>
              </w:rPr>
            </w:pPr>
            <w:r>
              <w:rPr>
                <w:rFonts w:ascii="Arial" w:cs="Arial" w:eastAsia="Arial" w:hAnsi="Arial"/>
                <w:sz w:val="13"/>
                <w:szCs w:val="13"/>
                <w:i w:val="1"/>
                <w:iCs w:val="1"/>
                <w:color w:val="auto"/>
              </w:rPr>
              <w:t>% of Revenue</w:t>
            </w:r>
          </w:p>
        </w:tc>
        <w:tc>
          <w:tcPr>
            <w:tcW w:w="1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216"/>
        </w:trPr>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2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tcPr>
          <w:p>
            <w:pPr>
              <w:ind w:left="80"/>
              <w:spacing w:after="0"/>
              <w:rPr>
                <w:sz w:val="20"/>
                <w:szCs w:val="20"/>
                <w:color w:val="auto"/>
              </w:rPr>
            </w:pPr>
            <w:r>
              <w:rPr>
                <w:rFonts w:ascii="Arial" w:cs="Arial" w:eastAsia="Arial" w:hAnsi="Arial"/>
                <w:sz w:val="13"/>
                <w:szCs w:val="13"/>
                <w:color w:val="auto"/>
              </w:rPr>
              <w:t>Admission revenue</w:t>
            </w:r>
          </w:p>
        </w:tc>
        <w:tc>
          <w:tcPr>
            <w:tcW w:w="1000" w:type="dxa"/>
            <w:vAlign w:val="bottom"/>
            <w:gridSpan w:val="2"/>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23,916</w:t>
            </w:r>
          </w:p>
        </w:tc>
        <w:tc>
          <w:tcPr>
            <w:tcW w:w="200" w:type="dxa"/>
            <w:vAlign w:val="bottom"/>
          </w:tcPr>
          <w:p>
            <w:pPr>
              <w:spacing w:after="0"/>
              <w:rPr>
                <w:sz w:val="18"/>
                <w:szCs w:val="18"/>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64 %</w:t>
            </w:r>
          </w:p>
        </w:tc>
        <w:tc>
          <w:tcPr>
            <w:tcW w:w="16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24,349</w:t>
            </w:r>
          </w:p>
        </w:tc>
        <w:tc>
          <w:tcPr>
            <w:tcW w:w="180" w:type="dxa"/>
            <w:vAlign w:val="bottom"/>
          </w:tcPr>
          <w:p>
            <w:pPr>
              <w:spacing w:after="0"/>
              <w:rPr>
                <w:sz w:val="18"/>
                <w:szCs w:val="18"/>
                <w:color w:val="auto"/>
              </w:rPr>
            </w:pP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63 %</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&amp; beverage 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29 %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29 %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216"/>
        </w:trPr>
        <w:tc>
          <w:tcPr>
            <w:tcW w:w="120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Advertising and other revenue</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2,452</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117"/>
              <w:spacing w:after="0"/>
              <w:rPr>
                <w:sz w:val="20"/>
                <w:szCs w:val="20"/>
                <w:color w:val="auto"/>
              </w:rPr>
            </w:pPr>
            <w:r>
              <w:rPr>
                <w:rFonts w:ascii="Arial" w:cs="Arial" w:eastAsia="Arial" w:hAnsi="Arial"/>
                <w:sz w:val="13"/>
                <w:szCs w:val="13"/>
                <w:i w:val="1"/>
                <w:iCs w:val="1"/>
                <w:color w:val="auto"/>
              </w:rPr>
              <w:t>7 %</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2,995</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ind w:right="78"/>
              <w:spacing w:after="0"/>
              <w:rPr>
                <w:sz w:val="20"/>
                <w:szCs w:val="20"/>
                <w:color w:val="auto"/>
              </w:rPr>
            </w:pPr>
            <w:r>
              <w:rPr>
                <w:rFonts w:ascii="Arial" w:cs="Arial" w:eastAsia="Arial" w:hAnsi="Arial"/>
                <w:sz w:val="13"/>
                <w:szCs w:val="13"/>
                <w:i w:val="1"/>
                <w:iCs w:val="1"/>
                <w:color w:val="auto"/>
              </w:rPr>
              <w:t>8 %</w:t>
            </w:r>
          </w:p>
        </w:tc>
        <w:tc>
          <w:tcPr>
            <w:tcW w:w="100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37,220</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7"/>
              <w:spacing w:after="0" w:line="141" w:lineRule="exact"/>
              <w:rPr>
                <w:sz w:val="20"/>
                <w:szCs w:val="20"/>
                <w:color w:val="auto"/>
              </w:rPr>
            </w:pPr>
            <w:r>
              <w:rPr>
                <w:rFonts w:ascii="Arial" w:cs="Arial" w:eastAsia="Arial" w:hAnsi="Arial"/>
                <w:sz w:val="13"/>
                <w:szCs w:val="13"/>
                <w:i w:val="1"/>
                <w:iCs w:val="1"/>
                <w:color w:val="auto"/>
              </w:rPr>
              <w:t>100 %</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38,545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8"/>
              <w:spacing w:after="0" w:line="197"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2"/>
                <w:szCs w:val="22"/>
                <w:i w:val="1"/>
                <w:iCs w:val="1"/>
                <w:color w:val="auto"/>
                <w:vertAlign w:val="superscript"/>
              </w:rPr>
              <w:t>%</w:t>
            </w:r>
          </w:p>
        </w:tc>
        <w:tc>
          <w:tcPr>
            <w:tcW w:w="100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780" w:type="dxa"/>
            <w:vAlign w:val="bottom"/>
          </w:tcPr>
          <w:p>
            <w:pPr>
              <w:ind w:left="80"/>
              <w:spacing w:after="0"/>
              <w:rPr>
                <w:sz w:val="20"/>
                <w:szCs w:val="20"/>
                <w:color w:val="auto"/>
              </w:rPr>
            </w:pPr>
            <w:r>
              <w:rPr>
                <w:rFonts w:ascii="Arial" w:cs="Arial" w:eastAsia="Arial" w:hAnsi="Arial"/>
                <w:sz w:val="13"/>
                <w:szCs w:val="13"/>
                <w:color w:val="auto"/>
              </w:rPr>
              <w:t>Admission revenue</w:t>
            </w:r>
          </w:p>
        </w:tc>
        <w:tc>
          <w:tcPr>
            <w:tcW w:w="1000" w:type="dxa"/>
            <w:vAlign w:val="bottom"/>
            <w:gridSpan w:val="2"/>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14,475</w:t>
            </w:r>
          </w:p>
        </w:tc>
        <w:tc>
          <w:tcPr>
            <w:tcW w:w="200" w:type="dxa"/>
            <w:vAlign w:val="bottom"/>
          </w:tcPr>
          <w:p>
            <w:pPr>
              <w:spacing w:after="0"/>
              <w:rPr>
                <w:sz w:val="18"/>
                <w:szCs w:val="18"/>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62 %</w:t>
            </w:r>
          </w:p>
        </w:tc>
        <w:tc>
          <w:tcPr>
            <w:tcW w:w="16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12,701</w:t>
            </w:r>
          </w:p>
        </w:tc>
        <w:tc>
          <w:tcPr>
            <w:tcW w:w="180" w:type="dxa"/>
            <w:vAlign w:val="bottom"/>
          </w:tcPr>
          <w:p>
            <w:pPr>
              <w:spacing w:after="0"/>
              <w:rPr>
                <w:sz w:val="18"/>
                <w:szCs w:val="18"/>
                <w:color w:val="auto"/>
              </w:rPr>
            </w:pP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63 %</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&amp; beverage 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30 %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29 %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20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Advertising and other revenue</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117"/>
              <w:spacing w:after="0"/>
              <w:rPr>
                <w:sz w:val="20"/>
                <w:szCs w:val="20"/>
                <w:color w:val="auto"/>
              </w:rPr>
            </w:pPr>
            <w:r>
              <w:rPr>
                <w:rFonts w:ascii="Arial" w:cs="Arial" w:eastAsia="Arial" w:hAnsi="Arial"/>
                <w:sz w:val="13"/>
                <w:szCs w:val="13"/>
                <w:i w:val="1"/>
                <w:iCs w:val="1"/>
                <w:color w:val="auto"/>
              </w:rPr>
              <w:t>8 %</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1,486</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ind w:right="78"/>
              <w:spacing w:after="0"/>
              <w:rPr>
                <w:sz w:val="20"/>
                <w:szCs w:val="20"/>
                <w:color w:val="auto"/>
              </w:rPr>
            </w:pPr>
            <w:r>
              <w:rPr>
                <w:rFonts w:ascii="Arial" w:cs="Arial" w:eastAsia="Arial" w:hAnsi="Arial"/>
                <w:sz w:val="13"/>
                <w:szCs w:val="13"/>
                <w:i w:val="1"/>
                <w:iCs w:val="1"/>
                <w:color w:val="auto"/>
              </w:rPr>
              <w:t>8 %</w:t>
            </w: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27</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23,322</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7"/>
              <w:spacing w:after="0" w:line="141" w:lineRule="exact"/>
              <w:rPr>
                <w:sz w:val="20"/>
                <w:szCs w:val="20"/>
                <w:color w:val="auto"/>
              </w:rPr>
            </w:pPr>
            <w:r>
              <w:rPr>
                <w:rFonts w:ascii="Arial" w:cs="Arial" w:eastAsia="Arial" w:hAnsi="Arial"/>
                <w:sz w:val="13"/>
                <w:szCs w:val="13"/>
                <w:i w:val="1"/>
                <w:iCs w:val="1"/>
                <w:color w:val="auto"/>
              </w:rPr>
              <w:t>100 %</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20,085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8"/>
              <w:spacing w:after="0" w:line="197"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2"/>
                <w:szCs w:val="22"/>
                <w:i w:val="1"/>
                <w:iCs w:val="1"/>
                <w:color w:val="auto"/>
                <w:vertAlign w:val="superscript"/>
              </w:rPr>
              <w:t>%</w:t>
            </w:r>
          </w:p>
        </w:tc>
        <w:tc>
          <w:tcPr>
            <w:tcW w:w="8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tcPr>
          <w:p>
            <w:pPr>
              <w:ind w:left="80"/>
              <w:spacing w:after="0"/>
              <w:rPr>
                <w:sz w:val="20"/>
                <w:szCs w:val="20"/>
                <w:color w:val="auto"/>
              </w:rPr>
            </w:pPr>
            <w:r>
              <w:rPr>
                <w:rFonts w:ascii="Arial" w:cs="Arial" w:eastAsia="Arial" w:hAnsi="Arial"/>
                <w:sz w:val="13"/>
                <w:szCs w:val="13"/>
                <w:color w:val="auto"/>
              </w:rPr>
              <w:t>Admission revenue</w:t>
            </w:r>
          </w:p>
        </w:tc>
        <w:tc>
          <w:tcPr>
            <w:tcW w:w="1000" w:type="dxa"/>
            <w:vAlign w:val="bottom"/>
            <w:gridSpan w:val="2"/>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4,331</w:t>
            </w:r>
          </w:p>
        </w:tc>
        <w:tc>
          <w:tcPr>
            <w:tcW w:w="200" w:type="dxa"/>
            <w:vAlign w:val="bottom"/>
          </w:tcPr>
          <w:p>
            <w:pPr>
              <w:spacing w:after="0"/>
              <w:rPr>
                <w:sz w:val="18"/>
                <w:szCs w:val="18"/>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63 %</w:t>
            </w:r>
          </w:p>
        </w:tc>
        <w:tc>
          <w:tcPr>
            <w:tcW w:w="16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3,805</w:t>
            </w:r>
          </w:p>
        </w:tc>
        <w:tc>
          <w:tcPr>
            <w:tcW w:w="180" w:type="dxa"/>
            <w:vAlign w:val="bottom"/>
          </w:tcPr>
          <w:p>
            <w:pPr>
              <w:spacing w:after="0"/>
              <w:rPr>
                <w:sz w:val="18"/>
                <w:szCs w:val="18"/>
                <w:color w:val="auto"/>
              </w:rPr>
            </w:pP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66 %</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&amp; beverage 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29 %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28 %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20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Advertising and other revenue</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117"/>
              <w:spacing w:after="0"/>
              <w:rPr>
                <w:sz w:val="20"/>
                <w:szCs w:val="20"/>
                <w:color w:val="auto"/>
              </w:rPr>
            </w:pPr>
            <w:r>
              <w:rPr>
                <w:rFonts w:ascii="Arial" w:cs="Arial" w:eastAsia="Arial" w:hAnsi="Arial"/>
                <w:sz w:val="13"/>
                <w:szCs w:val="13"/>
                <w:i w:val="1"/>
                <w:iCs w:val="1"/>
                <w:color w:val="auto"/>
              </w:rPr>
              <w:t>8 %</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ind w:right="78"/>
              <w:spacing w:after="0"/>
              <w:rPr>
                <w:sz w:val="20"/>
                <w:szCs w:val="20"/>
                <w:color w:val="auto"/>
              </w:rPr>
            </w:pPr>
            <w:r>
              <w:rPr>
                <w:rFonts w:ascii="Arial" w:cs="Arial" w:eastAsia="Arial" w:hAnsi="Arial"/>
                <w:sz w:val="13"/>
                <w:szCs w:val="13"/>
                <w:i w:val="1"/>
                <w:iCs w:val="1"/>
                <w:color w:val="auto"/>
              </w:rPr>
              <w:t>6 %</w:t>
            </w: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54</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6,859</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7"/>
              <w:spacing w:after="0" w:line="141" w:lineRule="exact"/>
              <w:rPr>
                <w:sz w:val="20"/>
                <w:szCs w:val="20"/>
                <w:color w:val="auto"/>
              </w:rPr>
            </w:pPr>
            <w:r>
              <w:rPr>
                <w:rFonts w:ascii="Arial" w:cs="Arial" w:eastAsia="Arial" w:hAnsi="Arial"/>
                <w:sz w:val="13"/>
                <w:szCs w:val="13"/>
                <w:i w:val="1"/>
                <w:iCs w:val="1"/>
                <w:color w:val="auto"/>
              </w:rPr>
              <w:t>100 %</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5,713</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8"/>
              <w:spacing w:after="0" w:line="197"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2"/>
                <w:szCs w:val="22"/>
                <w:i w:val="1"/>
                <w:iCs w:val="1"/>
                <w:color w:val="auto"/>
                <w:vertAlign w:val="superscript"/>
              </w:rPr>
              <w:t>%</w:t>
            </w:r>
          </w:p>
        </w:tc>
        <w:tc>
          <w:tcPr>
            <w:tcW w:w="8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20</w:t>
            </w:r>
          </w:p>
        </w:tc>
        <w:tc>
          <w:tcPr>
            <w:tcW w:w="2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20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revenue</w:t>
            </w:r>
          </w:p>
        </w:tc>
        <w:tc>
          <w:tcPr>
            <w:tcW w:w="27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67,401</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100 %</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64,343</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100 %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rPr>
              <w:t>OPERATING EXPENSE</w:t>
            </w: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Film rent and advertising cost</w:t>
            </w: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4"/>
              </w:rPr>
              <w:t>(12,882)</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(12,870)</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(33)%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Food &amp; beverage cost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(2,181)</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(2,095)</w:t>
            </w: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(6)%</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Occupancy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(8,150)</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(6,491)</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(17)%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Other operating expense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(9,322)</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(9,746)</w:t>
            </w: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(25)%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(32,535)</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jc w:val="right"/>
              <w:ind w:right="117"/>
              <w:spacing w:after="0" w:line="141" w:lineRule="exact"/>
              <w:rPr>
                <w:sz w:val="20"/>
                <w:szCs w:val="20"/>
                <w:color w:val="auto"/>
              </w:rPr>
            </w:pPr>
            <w:r>
              <w:rPr>
                <w:rFonts w:ascii="Arial" w:cs="Arial" w:eastAsia="Arial" w:hAnsi="Arial"/>
                <w:sz w:val="13"/>
                <w:szCs w:val="13"/>
                <w:i w:val="1"/>
                <w:iCs w:val="1"/>
                <w:color w:val="auto"/>
              </w:rPr>
              <w:t>(87)%</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(31,202)</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jc w:val="right"/>
              <w:ind w:right="78"/>
              <w:spacing w:after="0" w:line="197" w:lineRule="exact"/>
              <w:rPr>
                <w:sz w:val="20"/>
                <w:szCs w:val="20"/>
                <w:color w:val="auto"/>
              </w:rPr>
            </w:pPr>
            <w:r>
              <w:rPr>
                <w:rFonts w:ascii="Arial" w:cs="Arial" w:eastAsia="Arial" w:hAnsi="Arial"/>
                <w:sz w:val="12"/>
                <w:szCs w:val="12"/>
                <w:i w:val="1"/>
                <w:iCs w:val="1"/>
                <w:color w:val="auto"/>
              </w:rPr>
              <w:t>(81)</w:t>
            </w:r>
            <w:r>
              <w:rPr>
                <w:rFonts w:ascii="Arial" w:cs="Arial" w:eastAsia="Arial" w:hAnsi="Arial"/>
                <w:sz w:val="22"/>
                <w:szCs w:val="22"/>
                <w:i w:val="1"/>
                <w:iCs w:val="1"/>
                <w:color w:val="auto"/>
                <w:vertAlign w:val="superscript"/>
              </w:rPr>
              <w:t>%</w:t>
            </w:r>
          </w:p>
        </w:tc>
        <w:tc>
          <w:tcPr>
            <w:tcW w:w="1000" w:type="dxa"/>
            <w:vAlign w:val="bottom"/>
            <w:tcBorders>
              <w:top w:val="single" w:sz="8" w:color="CCEEFF"/>
            </w:tcBorders>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780" w:type="dxa"/>
            <w:vAlign w:val="bottom"/>
          </w:tcPr>
          <w:p>
            <w:pPr>
              <w:ind w:left="80"/>
              <w:spacing w:after="0"/>
              <w:rPr>
                <w:sz w:val="20"/>
                <w:szCs w:val="20"/>
                <w:color w:val="auto"/>
              </w:rPr>
            </w:pPr>
            <w:r>
              <w:rPr>
                <w:rFonts w:ascii="Arial" w:cs="Arial" w:eastAsia="Arial" w:hAnsi="Arial"/>
                <w:sz w:val="13"/>
                <w:szCs w:val="13"/>
                <w:color w:val="auto"/>
              </w:rPr>
              <w:t>Film rent and advertising cost</w:t>
            </w:r>
          </w:p>
        </w:tc>
        <w:tc>
          <w:tcPr>
            <w:tcW w:w="1000" w:type="dxa"/>
            <w:vAlign w:val="bottom"/>
            <w:gridSpan w:val="2"/>
          </w:tcPr>
          <w:p>
            <w:pPr>
              <w:jc w:val="right"/>
              <w:ind w:right="67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(7,010)</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(30)%</w:t>
            </w:r>
          </w:p>
        </w:tc>
        <w:tc>
          <w:tcPr>
            <w:tcW w:w="16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(5,835)</w:t>
            </w: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(29)%</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&amp; beverage cost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(1,345)</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(1,272)</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Occupancy expense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(3,773)</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(3,493)</w:t>
            </w: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(18)%</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operating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(5,307)</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(4,867)</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(24)%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jc w:val="right"/>
              <w:ind w:right="677"/>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(17,435)</w:t>
            </w:r>
          </w:p>
        </w:tc>
        <w:tc>
          <w:tcPr>
            <w:tcW w:w="200" w:type="dxa"/>
            <w:vAlign w:val="bottom"/>
          </w:tcPr>
          <w:p>
            <w:pPr>
              <w:spacing w:after="0"/>
              <w:rPr>
                <w:sz w:val="17"/>
                <w:szCs w:val="17"/>
                <w:color w:val="auto"/>
              </w:rPr>
            </w:pPr>
          </w:p>
        </w:tc>
        <w:tc>
          <w:tcPr>
            <w:tcW w:w="880" w:type="dxa"/>
            <w:vAlign w:val="bottom"/>
          </w:tcPr>
          <w:p>
            <w:pPr>
              <w:jc w:val="right"/>
              <w:ind w:right="117"/>
              <w:spacing w:after="0" w:line="141" w:lineRule="exact"/>
              <w:rPr>
                <w:sz w:val="20"/>
                <w:szCs w:val="20"/>
                <w:color w:val="auto"/>
              </w:rPr>
            </w:pPr>
            <w:r>
              <w:rPr>
                <w:rFonts w:ascii="Arial" w:cs="Arial" w:eastAsia="Arial" w:hAnsi="Arial"/>
                <w:sz w:val="13"/>
                <w:szCs w:val="13"/>
                <w:i w:val="1"/>
                <w:iCs w:val="1"/>
                <w:color w:val="auto"/>
              </w:rPr>
              <w:t>(75)%</w:t>
            </w:r>
          </w:p>
        </w:tc>
        <w:tc>
          <w:tcPr>
            <w:tcW w:w="160" w:type="dxa"/>
            <w:vAlign w:val="bottom"/>
          </w:tcPr>
          <w:p>
            <w:pPr>
              <w:spacing w:after="0"/>
              <w:rPr>
                <w:sz w:val="17"/>
                <w:szCs w:val="17"/>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(15,467)</w:t>
            </w:r>
          </w:p>
        </w:tc>
        <w:tc>
          <w:tcPr>
            <w:tcW w:w="180" w:type="dxa"/>
            <w:vAlign w:val="bottom"/>
          </w:tcPr>
          <w:p>
            <w:pPr>
              <w:spacing w:after="0"/>
              <w:rPr>
                <w:sz w:val="17"/>
                <w:szCs w:val="17"/>
                <w:color w:val="auto"/>
              </w:rPr>
            </w:pPr>
          </w:p>
        </w:tc>
        <w:tc>
          <w:tcPr>
            <w:tcW w:w="1200" w:type="dxa"/>
            <w:vAlign w:val="bottom"/>
          </w:tcPr>
          <w:p>
            <w:pPr>
              <w:jc w:val="right"/>
              <w:ind w:right="78"/>
              <w:spacing w:after="0" w:line="197" w:lineRule="exact"/>
              <w:rPr>
                <w:sz w:val="20"/>
                <w:szCs w:val="20"/>
                <w:color w:val="auto"/>
              </w:rPr>
            </w:pPr>
            <w:r>
              <w:rPr>
                <w:rFonts w:ascii="Arial" w:cs="Arial" w:eastAsia="Arial" w:hAnsi="Arial"/>
                <w:sz w:val="12"/>
                <w:szCs w:val="12"/>
                <w:i w:val="1"/>
                <w:iCs w:val="1"/>
                <w:color w:val="auto"/>
              </w:rPr>
              <w:t>(77)</w:t>
            </w:r>
            <w:r>
              <w:rPr>
                <w:rFonts w:ascii="Arial" w:cs="Arial" w:eastAsia="Arial" w:hAnsi="Arial"/>
                <w:sz w:val="22"/>
                <w:szCs w:val="22"/>
                <w:i w:val="1"/>
                <w:iCs w:val="1"/>
                <w:color w:val="auto"/>
                <w:vertAlign w:val="superscript"/>
              </w:rPr>
              <w:t>%</w:t>
            </w:r>
          </w:p>
        </w:tc>
        <w:tc>
          <w:tcPr>
            <w:tcW w:w="100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Film rent and advertising cost</w:t>
            </w: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(2,082)</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(1,779)</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(31)%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Food &amp; beverage cost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(442)</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(370)</w:t>
            </w: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(6)%</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Occupancy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(1,781)</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(1,174)</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(21)%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Other operating expense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(1,658)</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(1,513)</w:t>
            </w: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(27)%</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(5,963)</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jc w:val="right"/>
              <w:ind w:right="117"/>
              <w:spacing w:after="0" w:line="141" w:lineRule="exact"/>
              <w:rPr>
                <w:sz w:val="20"/>
                <w:szCs w:val="20"/>
                <w:color w:val="auto"/>
              </w:rPr>
            </w:pPr>
            <w:r>
              <w:rPr>
                <w:rFonts w:ascii="Arial" w:cs="Arial" w:eastAsia="Arial" w:hAnsi="Arial"/>
                <w:sz w:val="13"/>
                <w:szCs w:val="13"/>
                <w:i w:val="1"/>
                <w:iCs w:val="1"/>
                <w:color w:val="auto"/>
              </w:rPr>
              <w:t>(87)%</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(4,836)</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jc w:val="right"/>
              <w:ind w:right="78"/>
              <w:spacing w:after="0" w:line="197" w:lineRule="exact"/>
              <w:rPr>
                <w:sz w:val="20"/>
                <w:szCs w:val="20"/>
                <w:color w:val="auto"/>
              </w:rPr>
            </w:pPr>
            <w:r>
              <w:rPr>
                <w:rFonts w:ascii="Arial" w:cs="Arial" w:eastAsia="Arial" w:hAnsi="Arial"/>
                <w:sz w:val="12"/>
                <w:szCs w:val="12"/>
                <w:i w:val="1"/>
                <w:iCs w:val="1"/>
                <w:color w:val="auto"/>
              </w:rPr>
              <w:t>(85)</w:t>
            </w:r>
            <w:r>
              <w:rPr>
                <w:rFonts w:ascii="Arial" w:cs="Arial" w:eastAsia="Arial" w:hAnsi="Arial"/>
                <w:sz w:val="22"/>
                <w:szCs w:val="22"/>
                <w:i w:val="1"/>
                <w:iCs w:val="1"/>
                <w:color w:val="auto"/>
                <w:vertAlign w:val="superscript"/>
              </w:rPr>
              <w:t>%</w:t>
            </w:r>
          </w:p>
        </w:tc>
        <w:tc>
          <w:tcPr>
            <w:tcW w:w="1000" w:type="dxa"/>
            <w:vAlign w:val="bottom"/>
            <w:tcBorders>
              <w:top w:val="single" w:sz="8" w:color="CCEEFF"/>
            </w:tcBorders>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Total operating expense</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7"/>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w w:val="94"/>
              </w:rPr>
              <w:t>(55,933)</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(83)%</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(51,505)</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(80)%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27"/>
        </w:trPr>
        <w:tc>
          <w:tcPr>
            <w:tcW w:w="4160" w:type="dxa"/>
            <w:vAlign w:val="bottom"/>
            <w:gridSpan w:val="3"/>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gridSpan w:val="4"/>
          </w:tcPr>
          <w:p>
            <w:pPr>
              <w:spacing w:after="0"/>
              <w:rPr>
                <w:sz w:val="20"/>
                <w:szCs w:val="20"/>
                <w:color w:val="auto"/>
              </w:rPr>
            </w:pPr>
            <w:r>
              <w:rPr>
                <w:rFonts w:ascii="Arial" w:cs="Arial" w:eastAsia="Arial" w:hAnsi="Arial"/>
                <w:sz w:val="13"/>
                <w:szCs w:val="13"/>
                <w:b w:val="1"/>
                <w:bCs w:val="1"/>
                <w:color w:val="auto"/>
              </w:rPr>
              <w:t>DEPRECIATION, AMORTIZATION, GENERAL AND ADMINISTRATIVE EXPENSE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Depreciation and amortization</w:t>
            </w: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(1,831)</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(1,348)</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General and administrative expense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(437)</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(707)</w:t>
            </w: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(2,268)</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(6)%</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(2,055)</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(5)%</w:t>
            </w:r>
          </w:p>
        </w:tc>
        <w:tc>
          <w:tcPr>
            <w:tcW w:w="1000" w:type="dxa"/>
            <w:vAlign w:val="bottom"/>
            <w:tcBorders>
              <w:top w:val="single" w:sz="8" w:color="CCEEFF"/>
            </w:tcBorders>
            <w:gridSpan w:val="3"/>
            <w:shd w:val="clear" w:color="auto" w:fill="CCEEFF"/>
          </w:tcPr>
          <w:p>
            <w:pPr>
              <w:jc w:val="right"/>
              <w:spacing w:after="0" w:line="197" w:lineRule="exact"/>
              <w:rPr>
                <w:sz w:val="20"/>
                <w:szCs w:val="20"/>
                <w:color w:val="auto"/>
              </w:rPr>
            </w:pPr>
            <w:r>
              <w:rPr>
                <w:rFonts w:ascii="Arial" w:cs="Arial" w:eastAsia="Arial" w:hAnsi="Arial"/>
                <w:sz w:val="12"/>
                <w:szCs w:val="12"/>
                <w:color w:val="auto"/>
              </w:rPr>
              <w:t xml:space="preserve">(10) </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780" w:type="dxa"/>
            <w:vAlign w:val="bottom"/>
          </w:tcPr>
          <w:p>
            <w:pPr>
              <w:ind w:left="80"/>
              <w:spacing w:after="0"/>
              <w:rPr>
                <w:sz w:val="20"/>
                <w:szCs w:val="20"/>
                <w:color w:val="auto"/>
              </w:rPr>
            </w:pPr>
            <w:r>
              <w:rPr>
                <w:rFonts w:ascii="Arial" w:cs="Arial" w:eastAsia="Arial" w:hAnsi="Arial"/>
                <w:sz w:val="13"/>
                <w:szCs w:val="13"/>
                <w:color w:val="auto"/>
              </w:rPr>
              <w:t>Depreciation and amortization</w:t>
            </w:r>
          </w:p>
        </w:tc>
        <w:tc>
          <w:tcPr>
            <w:tcW w:w="1000" w:type="dxa"/>
            <w:vAlign w:val="bottom"/>
            <w:gridSpan w:val="2"/>
          </w:tcPr>
          <w:p>
            <w:pPr>
              <w:jc w:val="right"/>
              <w:ind w:right="67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(1,073)</w:t>
            </w: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(1,085)</w:t>
            </w: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General and administrative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(268)</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(270)</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jc w:val="right"/>
              <w:ind w:right="677"/>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(1,341)</w:t>
            </w:r>
          </w:p>
        </w:tc>
        <w:tc>
          <w:tcPr>
            <w:tcW w:w="200" w:type="dxa"/>
            <w:vAlign w:val="bottom"/>
          </w:tcPr>
          <w:p>
            <w:pPr>
              <w:spacing w:after="0"/>
              <w:rPr>
                <w:sz w:val="17"/>
                <w:szCs w:val="17"/>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7"/>
                <w:szCs w:val="17"/>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(1,355)</w:t>
            </w:r>
          </w:p>
        </w:tc>
        <w:tc>
          <w:tcPr>
            <w:tcW w:w="180" w:type="dxa"/>
            <w:vAlign w:val="bottom"/>
          </w:tcPr>
          <w:p>
            <w:pPr>
              <w:spacing w:after="0"/>
              <w:rPr>
                <w:sz w:val="17"/>
                <w:szCs w:val="17"/>
                <w:color w:val="auto"/>
              </w:rPr>
            </w:pP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(7)%</w:t>
            </w:r>
          </w:p>
        </w:tc>
        <w:tc>
          <w:tcPr>
            <w:tcW w:w="1000" w:type="dxa"/>
            <w:vAlign w:val="bottom"/>
            <w:gridSpan w:val="3"/>
          </w:tcPr>
          <w:p>
            <w:pPr>
              <w:jc w:val="right"/>
              <w:spacing w:after="0" w:line="197" w:lineRule="exact"/>
              <w:rPr>
                <w:sz w:val="20"/>
                <w:szCs w:val="20"/>
                <w:color w:val="auto"/>
              </w:rPr>
            </w:pPr>
            <w:r>
              <w:rPr>
                <w:rFonts w:ascii="Arial" w:cs="Arial" w:eastAsia="Arial" w:hAnsi="Arial"/>
                <w:sz w:val="22"/>
                <w:szCs w:val="22"/>
                <w:color w:val="auto"/>
                <w:vertAlign w:val="subscript"/>
              </w:rPr>
              <w:t>1</w:t>
            </w: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Depreciation and amortization</w:t>
            </w: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(441)</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(465)</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3"/>
                <w:szCs w:val="13"/>
                <w:color w:val="auto"/>
              </w:rPr>
              <w:t>General and administrative expense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(29)</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w:t>
            </w: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w:t>
            </w:r>
          </w:p>
        </w:tc>
        <w:tc>
          <w:tcPr>
            <w:tcW w:w="800" w:type="dxa"/>
            <w:vAlign w:val="bottom"/>
            <w:gridSpan w:val="2"/>
          </w:tcPr>
          <w:p>
            <w:pPr>
              <w:jc w:val="right"/>
              <w:ind w:right="217"/>
              <w:spacing w:after="0"/>
              <w:rPr>
                <w:sz w:val="20"/>
                <w:szCs w:val="20"/>
                <w:color w:val="auto"/>
              </w:rPr>
            </w:pPr>
            <w:r>
              <w:rPr>
                <w:rFonts w:ascii="Arial" w:cs="Arial" w:eastAsia="Arial" w:hAnsi="Arial"/>
                <w:sz w:val="13"/>
                <w:szCs w:val="13"/>
                <w:color w:val="auto"/>
              </w:rPr>
              <w:t>(&gt;100)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(470)</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jc w:val="right"/>
              <w:ind w:right="117"/>
              <w:spacing w:after="0" w:line="141" w:lineRule="exact"/>
              <w:rPr>
                <w:sz w:val="20"/>
                <w:szCs w:val="20"/>
                <w:color w:val="auto"/>
              </w:rPr>
            </w:pPr>
            <w:r>
              <w:rPr>
                <w:rFonts w:ascii="Arial" w:cs="Arial" w:eastAsia="Arial" w:hAnsi="Arial"/>
                <w:sz w:val="13"/>
                <w:szCs w:val="13"/>
                <w:i w:val="1"/>
                <w:iCs w:val="1"/>
                <w:color w:val="auto"/>
              </w:rPr>
              <w:t>(7)%</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(466)</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jc w:val="right"/>
              <w:ind w:right="78"/>
              <w:spacing w:after="0" w:line="197" w:lineRule="exact"/>
              <w:rPr>
                <w:sz w:val="20"/>
                <w:szCs w:val="20"/>
                <w:color w:val="auto"/>
              </w:rPr>
            </w:pPr>
            <w:r>
              <w:rPr>
                <w:rFonts w:ascii="Arial" w:cs="Arial" w:eastAsia="Arial" w:hAnsi="Arial"/>
                <w:sz w:val="12"/>
                <w:szCs w:val="12"/>
                <w:i w:val="1"/>
                <w:iCs w:val="1"/>
                <w:color w:val="auto"/>
              </w:rPr>
              <w:t>(8)</w:t>
            </w:r>
            <w:r>
              <w:rPr>
                <w:rFonts w:ascii="Arial" w:cs="Arial" w:eastAsia="Arial" w:hAnsi="Arial"/>
                <w:sz w:val="22"/>
                <w:szCs w:val="22"/>
                <w:i w:val="1"/>
                <w:iCs w:val="1"/>
                <w:color w:val="auto"/>
                <w:vertAlign w:val="superscript"/>
              </w:rPr>
              <w:t>%</w:t>
            </w:r>
          </w:p>
        </w:tc>
        <w:tc>
          <w:tcPr>
            <w:tcW w:w="1000" w:type="dxa"/>
            <w:vAlign w:val="bottom"/>
            <w:tcBorders>
              <w:top w:val="single" w:sz="8" w:color="CCEEFF"/>
            </w:tcBorders>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980" w:type="dxa"/>
            <w:vAlign w:val="bottom"/>
            <w:gridSpan w:val="2"/>
            <w:shd w:val="clear" w:color="auto" w:fill="CCEEFF"/>
          </w:tcPr>
          <w:p>
            <w:pPr>
              <w:ind w:left="180"/>
              <w:spacing w:after="0" w:line="97" w:lineRule="exact"/>
              <w:rPr>
                <w:sz w:val="20"/>
                <w:szCs w:val="20"/>
                <w:color w:val="auto"/>
              </w:rPr>
            </w:pPr>
            <w:r>
              <w:rPr>
                <w:rFonts w:ascii="Arial" w:cs="Arial" w:eastAsia="Arial" w:hAnsi="Arial"/>
                <w:sz w:val="11"/>
                <w:szCs w:val="11"/>
                <w:b w:val="1"/>
                <w:bCs w:val="1"/>
                <w:color w:val="auto"/>
              </w:rPr>
              <w:t>Total depreciation, amortization, and general and administrative</w:t>
            </w:r>
          </w:p>
        </w:tc>
        <w:tc>
          <w:tcPr>
            <w:tcW w:w="1000" w:type="dxa"/>
            <w:vAlign w:val="bottom"/>
            <w:gridSpan w:val="2"/>
            <w:vMerge w:val="restart"/>
            <w:shd w:val="clear" w:color="auto" w:fill="CCEEFF"/>
          </w:tcPr>
          <w:p>
            <w:pPr>
              <w:jc w:val="right"/>
              <w:ind w:right="677"/>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(4,079)</w:t>
            </w: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(3,876)</w:t>
            </w:r>
          </w:p>
        </w:tc>
        <w:tc>
          <w:tcPr>
            <w:tcW w:w="1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20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expense</w:t>
            </w:r>
          </w:p>
        </w:tc>
        <w:tc>
          <w:tcPr>
            <w:tcW w:w="278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880" w:type="dxa"/>
            <w:vAlign w:val="bottom"/>
            <w:shd w:val="clear" w:color="auto" w:fill="CCEEFF"/>
          </w:tcPr>
          <w:p>
            <w:pPr>
              <w:jc w:val="right"/>
              <w:ind w:right="117"/>
              <w:spacing w:after="0" w:line="140" w:lineRule="exact"/>
              <w:rPr>
                <w:sz w:val="20"/>
                <w:szCs w:val="20"/>
                <w:color w:val="auto"/>
              </w:rPr>
            </w:pPr>
            <w:r>
              <w:rPr>
                <w:rFonts w:ascii="Arial" w:cs="Arial" w:eastAsia="Arial" w:hAnsi="Arial"/>
                <w:sz w:val="13"/>
                <w:szCs w:val="13"/>
                <w:i w:val="1"/>
                <w:iCs w:val="1"/>
                <w:color w:val="auto"/>
              </w:rPr>
              <w:t>(6)%</w:t>
            </w:r>
          </w:p>
        </w:tc>
        <w:tc>
          <w:tcPr>
            <w:tcW w:w="16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200" w:type="dxa"/>
            <w:vAlign w:val="bottom"/>
            <w:shd w:val="clear" w:color="auto" w:fill="CCEEFF"/>
          </w:tcPr>
          <w:p>
            <w:pPr>
              <w:jc w:val="right"/>
              <w:ind w:right="78"/>
              <w:spacing w:after="0" w:line="140" w:lineRule="exact"/>
              <w:rPr>
                <w:sz w:val="20"/>
                <w:szCs w:val="20"/>
                <w:color w:val="auto"/>
              </w:rPr>
            </w:pPr>
            <w:r>
              <w:rPr>
                <w:rFonts w:ascii="Arial" w:cs="Arial" w:eastAsia="Arial" w:hAnsi="Arial"/>
                <w:sz w:val="13"/>
                <w:szCs w:val="13"/>
                <w:i w:val="1"/>
                <w:iCs w:val="1"/>
                <w:color w:val="auto"/>
              </w:rPr>
              <w:t>(6)%</w:t>
            </w:r>
          </w:p>
        </w:tc>
        <w:tc>
          <w:tcPr>
            <w:tcW w:w="100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223"/>
        </w:trPr>
        <w:tc>
          <w:tcPr>
            <w:tcW w:w="1200" w:type="dxa"/>
            <w:vAlign w:val="bottom"/>
            <w:tcBorders>
              <w:top w:val="single" w:sz="8" w:color="CCEEFF"/>
              <w:bottom w:val="single" w:sz="8" w:color="CCEEFF"/>
            </w:tcBorders>
          </w:tcPr>
          <w:p>
            <w:pPr>
              <w:spacing w:after="0"/>
              <w:rPr>
                <w:sz w:val="19"/>
                <w:szCs w:val="19"/>
                <w:color w:val="auto"/>
              </w:rPr>
            </w:pPr>
          </w:p>
        </w:tc>
        <w:tc>
          <w:tcPr>
            <w:tcW w:w="27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88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bottom w:val="single" w:sz="8" w:color="CCEEFF"/>
            </w:tcBorders>
          </w:tcPr>
          <w:p>
            <w:pPr>
              <w:spacing w:after="0"/>
              <w:rPr>
                <w:sz w:val="19"/>
                <w:szCs w:val="19"/>
                <w:color w:val="auto"/>
              </w:rPr>
            </w:pPr>
          </w:p>
        </w:tc>
        <w:tc>
          <w:tcPr>
            <w:tcW w:w="120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64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expenses</w:t>
            </w:r>
          </w:p>
        </w:tc>
        <w:tc>
          <w:tcPr>
            <w:tcW w:w="2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w w:val="94"/>
              </w:rPr>
              <w:t>(60,012)</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(55,381)</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i w:val="1"/>
                <w:iCs w:val="1"/>
                <w:color w:val="auto"/>
              </w:rPr>
              <w:t>(86)%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rPr>
              <w:t>OPERATING INCOME</w:t>
            </w: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7"/>
              <w:spacing w:after="0" w:line="216" w:lineRule="exact"/>
              <w:rPr>
                <w:sz w:val="20"/>
                <w:szCs w:val="20"/>
                <w:color w:val="auto"/>
              </w:rPr>
            </w:pPr>
            <w:r>
              <w:rPr>
                <w:rFonts w:ascii="Arial" w:cs="Arial" w:eastAsia="Arial" w:hAnsi="Arial"/>
                <w:sz w:val="13"/>
                <w:szCs w:val="13"/>
                <w:i w:val="1"/>
                <w:iCs w:val="1"/>
                <w:color w:val="auto"/>
              </w:rPr>
              <w:t xml:space="preserve">6 </w:t>
            </w:r>
            <w:r>
              <w:rPr>
                <w:rFonts w:ascii="Arial" w:cs="Arial" w:eastAsia="Arial" w:hAnsi="Arial"/>
                <w:sz w:val="25"/>
                <w:szCs w:val="25"/>
                <w:i w:val="1"/>
                <w:iCs w:val="1"/>
                <w:color w:val="auto"/>
                <w:vertAlign w:val="superscript"/>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8"/>
              <w:spacing w:after="0" w:line="216" w:lineRule="exact"/>
              <w:rPr>
                <w:sz w:val="20"/>
                <w:szCs w:val="20"/>
                <w:color w:val="auto"/>
              </w:rPr>
            </w:pPr>
            <w:r>
              <w:rPr>
                <w:rFonts w:ascii="Arial" w:cs="Arial" w:eastAsia="Arial" w:hAnsi="Arial"/>
                <w:sz w:val="13"/>
                <w:szCs w:val="13"/>
                <w:i w:val="1"/>
                <w:iCs w:val="1"/>
                <w:color w:val="auto"/>
              </w:rPr>
              <w:t xml:space="preserve">14 </w:t>
            </w:r>
            <w:r>
              <w:rPr>
                <w:rFonts w:ascii="Arial" w:cs="Arial" w:eastAsia="Arial" w:hAnsi="Arial"/>
                <w:sz w:val="25"/>
                <w:szCs w:val="25"/>
                <w:i w:val="1"/>
                <w:iCs w:val="1"/>
                <w:color w:val="auto"/>
                <w:vertAlign w:val="superscript"/>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4,546</w:t>
            </w:r>
          </w:p>
        </w:tc>
        <w:tc>
          <w:tcPr>
            <w:tcW w:w="200" w:type="dxa"/>
            <w:vAlign w:val="bottom"/>
          </w:tcPr>
          <w:p>
            <w:pPr>
              <w:spacing w:after="0"/>
              <w:rPr>
                <w:sz w:val="18"/>
                <w:szCs w:val="18"/>
                <w:color w:val="auto"/>
              </w:rPr>
            </w:pPr>
          </w:p>
        </w:tc>
        <w:tc>
          <w:tcPr>
            <w:tcW w:w="880" w:type="dxa"/>
            <w:vAlign w:val="bottom"/>
          </w:tcPr>
          <w:p>
            <w:pPr>
              <w:jc w:val="right"/>
              <w:ind w:right="117"/>
              <w:spacing w:after="0" w:line="216" w:lineRule="exact"/>
              <w:rPr>
                <w:sz w:val="20"/>
                <w:szCs w:val="20"/>
                <w:color w:val="auto"/>
              </w:rPr>
            </w:pPr>
            <w:r>
              <w:rPr>
                <w:rFonts w:ascii="Arial" w:cs="Arial" w:eastAsia="Arial" w:hAnsi="Arial"/>
                <w:sz w:val="13"/>
                <w:szCs w:val="13"/>
                <w:i w:val="1"/>
                <w:iCs w:val="1"/>
                <w:color w:val="auto"/>
              </w:rPr>
              <w:t xml:space="preserve">19 </w:t>
            </w:r>
            <w:r>
              <w:rPr>
                <w:rFonts w:ascii="Arial" w:cs="Arial" w:eastAsia="Arial" w:hAnsi="Arial"/>
                <w:sz w:val="25"/>
                <w:szCs w:val="25"/>
                <w:i w:val="1"/>
                <w:iCs w:val="1"/>
                <w:color w:val="auto"/>
                <w:vertAlign w:val="superscript"/>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3,263</w:t>
            </w:r>
          </w:p>
        </w:tc>
        <w:tc>
          <w:tcPr>
            <w:tcW w:w="180" w:type="dxa"/>
            <w:vAlign w:val="bottom"/>
          </w:tcPr>
          <w:p>
            <w:pPr>
              <w:spacing w:after="0"/>
              <w:rPr>
                <w:sz w:val="18"/>
                <w:szCs w:val="18"/>
                <w:color w:val="auto"/>
              </w:rPr>
            </w:pPr>
          </w:p>
        </w:tc>
        <w:tc>
          <w:tcPr>
            <w:tcW w:w="1200" w:type="dxa"/>
            <w:vAlign w:val="bottom"/>
          </w:tcPr>
          <w:p>
            <w:pPr>
              <w:jc w:val="right"/>
              <w:ind w:right="78"/>
              <w:spacing w:after="0" w:line="216" w:lineRule="exact"/>
              <w:rPr>
                <w:sz w:val="20"/>
                <w:szCs w:val="20"/>
                <w:color w:val="auto"/>
              </w:rPr>
            </w:pPr>
            <w:r>
              <w:rPr>
                <w:rFonts w:ascii="Arial" w:cs="Arial" w:eastAsia="Arial" w:hAnsi="Arial"/>
                <w:sz w:val="13"/>
                <w:szCs w:val="13"/>
                <w:i w:val="1"/>
                <w:iCs w:val="1"/>
                <w:color w:val="auto"/>
              </w:rPr>
              <w:t xml:space="preserve">16 </w:t>
            </w:r>
            <w:r>
              <w:rPr>
                <w:rFonts w:ascii="Arial" w:cs="Arial" w:eastAsia="Arial" w:hAnsi="Arial"/>
                <w:sz w:val="25"/>
                <w:szCs w:val="25"/>
                <w:i w:val="1"/>
                <w:iCs w:val="1"/>
                <w:color w:val="auto"/>
                <w:vertAlign w:val="superscript"/>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17"/>
              <w:spacing w:after="0" w:line="216" w:lineRule="exact"/>
              <w:rPr>
                <w:sz w:val="20"/>
                <w:szCs w:val="20"/>
                <w:color w:val="auto"/>
              </w:rPr>
            </w:pPr>
            <w:r>
              <w:rPr>
                <w:rFonts w:ascii="Arial" w:cs="Arial" w:eastAsia="Arial" w:hAnsi="Arial"/>
                <w:sz w:val="13"/>
                <w:szCs w:val="13"/>
                <w:i w:val="1"/>
                <w:iCs w:val="1"/>
                <w:color w:val="auto"/>
              </w:rPr>
              <w:t xml:space="preserve">6 </w:t>
            </w:r>
            <w:r>
              <w:rPr>
                <w:rFonts w:ascii="Arial" w:cs="Arial" w:eastAsia="Arial" w:hAnsi="Arial"/>
                <w:sz w:val="25"/>
                <w:szCs w:val="25"/>
                <w:i w:val="1"/>
                <w:iCs w:val="1"/>
                <w:color w:val="auto"/>
                <w:vertAlign w:val="superscript"/>
              </w:rPr>
              <w:t>%</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78"/>
              <w:spacing w:after="0" w:line="216" w:lineRule="exact"/>
              <w:rPr>
                <w:sz w:val="20"/>
                <w:szCs w:val="20"/>
                <w:color w:val="auto"/>
              </w:rPr>
            </w:pPr>
            <w:r>
              <w:rPr>
                <w:rFonts w:ascii="Arial" w:cs="Arial" w:eastAsia="Arial" w:hAnsi="Arial"/>
                <w:sz w:val="13"/>
                <w:szCs w:val="13"/>
                <w:i w:val="1"/>
                <w:iCs w:val="1"/>
                <w:color w:val="auto"/>
              </w:rPr>
              <w:t xml:space="preserve">7 </w:t>
            </w:r>
            <w:r>
              <w:rPr>
                <w:rFonts w:ascii="Arial" w:cs="Arial" w:eastAsia="Arial" w:hAnsi="Arial"/>
                <w:sz w:val="25"/>
                <w:szCs w:val="25"/>
                <w:i w:val="1"/>
                <w:iCs w:val="1"/>
                <w:color w:val="auto"/>
                <w:vertAlign w:val="superscript"/>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98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operating income</w:t>
            </w:r>
          </w:p>
        </w:tc>
        <w:tc>
          <w:tcPr>
            <w:tcW w:w="180" w:type="dxa"/>
            <w:vAlign w:val="bottom"/>
          </w:tcPr>
          <w:p>
            <w:pPr>
              <w:spacing w:after="0"/>
              <w:rPr>
                <w:sz w:val="17"/>
                <w:szCs w:val="17"/>
                <w:color w:val="auto"/>
              </w:rPr>
            </w:pPr>
          </w:p>
        </w:tc>
        <w:tc>
          <w:tcPr>
            <w:tcW w:w="82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7,389</w:t>
            </w:r>
          </w:p>
        </w:tc>
        <w:tc>
          <w:tcPr>
            <w:tcW w:w="200" w:type="dxa"/>
            <w:vAlign w:val="bottom"/>
          </w:tcPr>
          <w:p>
            <w:pPr>
              <w:spacing w:after="0"/>
              <w:rPr>
                <w:sz w:val="17"/>
                <w:szCs w:val="17"/>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i w:val="1"/>
                <w:iCs w:val="1"/>
                <w:color w:val="auto"/>
              </w:rPr>
              <w:t>11 %</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8,962</w:t>
            </w:r>
          </w:p>
        </w:tc>
        <w:tc>
          <w:tcPr>
            <w:tcW w:w="180" w:type="dxa"/>
            <w:vAlign w:val="bottom"/>
          </w:tcPr>
          <w:p>
            <w:pPr>
              <w:spacing w:after="0"/>
              <w:rPr>
                <w:sz w:val="17"/>
                <w:szCs w:val="17"/>
                <w:color w:val="auto"/>
              </w:rPr>
            </w:pPr>
          </w:p>
        </w:tc>
        <w:tc>
          <w:tcPr>
            <w:tcW w:w="1200" w:type="dxa"/>
            <w:vAlign w:val="bottom"/>
          </w:tcPr>
          <w:p>
            <w:pPr>
              <w:jc w:val="right"/>
              <w:ind w:right="78"/>
              <w:spacing w:after="0"/>
              <w:rPr>
                <w:sz w:val="20"/>
                <w:szCs w:val="20"/>
                <w:color w:val="auto"/>
              </w:rPr>
            </w:pPr>
            <w:r>
              <w:rPr>
                <w:rFonts w:ascii="Arial" w:cs="Arial" w:eastAsia="Arial" w:hAnsi="Arial"/>
                <w:sz w:val="13"/>
                <w:szCs w:val="13"/>
                <w:i w:val="1"/>
                <w:iCs w:val="1"/>
                <w:color w:val="auto"/>
              </w:rPr>
              <w:t>14 %</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Exhibition segment operating income</w:t>
      </w:r>
    </w:p>
    <w:p>
      <w:pPr>
        <w:spacing w:after="0" w:line="22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Cinema Exhibition segment operating income decreased by 7%, or $2.5 million, to $33.0 million for the year ended December 31, 2017 compared to December 31, 2016, primarily driven by lower admissions for our US and New Zealand operations partially offset by improved F&amp;B revenues. The higher revenues of our Australia cinemas and favorable foreign currency movements of our foreign operations helped to offset lower revenues in the U.S. Refer below for further explanations.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the quarter ended December 31, 2017 compared to December 31, 2016, Cinema Exhibition operating income decreased by 18%, or $1.6 million primarily resulting from four of our stronger cinemas either being closed, or partially closed, for significant renovations, which included the installation of recliner seats and conversion to TITAN LUXE during the fourth quarter.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208"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Cinema revenue increased by 3%, or $6.5 million, to $263.5 million for the year ended December 31, 2017 compared to year ended 2016. This was primarily driven by higher admissions in our Australian circuit resulting in higher box office and F&amp;B revenue. F&amp;B revenues were also up in both the United States and New Zealand driven by increased spend per patron due to our expanded F&amp;B offering. These increases were further enhanced as a result of the appreciation of the AU and NZ dollars compared to the US dollar. These items were partially offset by lower admits in the U.S. due in part to industry-wide box office softening in 2017 and the cinema closure resulting from our cinema renovation program. Comparing the current and prior year, the Australian dollar and New Zealand dollar increased against the U.S. dollar by 3.1% and 2.0% (on average rates), respectively. Shown below is the revenue breakdown by country: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 of</w:t>
            </w:r>
          </w:p>
        </w:tc>
        <w:tc>
          <w:tcPr>
            <w:tcW w:w="22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7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i w:val="1"/>
                <w:iCs w:val="1"/>
                <w:color w:val="auto"/>
              </w:rPr>
              <w:t>Revenue</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139,078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3"/>
                <w:szCs w:val="13"/>
                <w:i w:val="1"/>
                <w:iCs w:val="1"/>
                <w:color w:val="auto"/>
              </w:rPr>
              <w:t xml:space="preserve">53 </w:t>
            </w:r>
            <w:r>
              <w:rPr>
                <w:rFonts w:ascii="Arial" w:cs="Arial" w:eastAsia="Arial" w:hAnsi="Arial"/>
                <w:sz w:val="23"/>
                <w:szCs w:val="23"/>
                <w:i w:val="1"/>
                <w:iCs w:val="1"/>
                <w:color w:val="auto"/>
                <w:vertAlign w:val="superscript"/>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139,820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3"/>
                <w:szCs w:val="13"/>
                <w:i w:val="1"/>
                <w:iCs w:val="1"/>
                <w:color w:val="auto"/>
              </w:rPr>
              <w:t xml:space="preserve">54 </w:t>
            </w:r>
            <w:r>
              <w:rPr>
                <w:rFonts w:ascii="Arial" w:cs="Arial" w:eastAsia="Arial" w:hAnsi="Arial"/>
                <w:sz w:val="23"/>
                <w:szCs w:val="23"/>
                <w:i w:val="1"/>
                <w:iCs w:val="1"/>
                <w:color w:val="auto"/>
                <w:vertAlign w:val="superscript"/>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line="202" w:lineRule="exact"/>
              <w:rPr>
                <w:sz w:val="20"/>
                <w:szCs w:val="20"/>
                <w:color w:val="auto"/>
              </w:rPr>
            </w:pPr>
            <w:r>
              <w:rPr>
                <w:rFonts w:ascii="Arial" w:cs="Arial" w:eastAsia="Arial" w:hAnsi="Arial"/>
                <w:sz w:val="13"/>
                <w:szCs w:val="13"/>
                <w:color w:val="auto"/>
              </w:rPr>
              <w:t>(1)</w:t>
            </w:r>
            <w:r>
              <w:rPr>
                <w:rFonts w:ascii="Arial" w:cs="Arial" w:eastAsia="Arial" w:hAnsi="Arial"/>
                <w:sz w:val="23"/>
                <w:szCs w:val="23"/>
                <w:i w:val="1"/>
                <w:iCs w:val="1"/>
                <w:color w:val="auto"/>
                <w:vertAlign w:val="superscript"/>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4"/>
                <w:szCs w:val="14"/>
                <w:color w:val="auto"/>
              </w:rPr>
              <w:t>Australia</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96,606</w:t>
            </w:r>
          </w:p>
        </w:tc>
        <w:tc>
          <w:tcPr>
            <w:tcW w:w="920" w:type="dxa"/>
            <w:vAlign w:val="bottom"/>
            <w:gridSpan w:val="2"/>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37 </w:t>
            </w:r>
            <w:r>
              <w:rPr>
                <w:rFonts w:ascii="Arial" w:cs="Arial" w:eastAsia="Arial" w:hAnsi="Arial"/>
                <w:sz w:val="25"/>
                <w:szCs w:val="25"/>
                <w:i w:val="1"/>
                <w:iCs w:val="1"/>
                <w:color w:val="auto"/>
                <w:vertAlign w:val="superscript"/>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89,053</w:t>
            </w:r>
          </w:p>
        </w:tc>
        <w:tc>
          <w:tcPr>
            <w:tcW w:w="920" w:type="dxa"/>
            <w:vAlign w:val="bottom"/>
            <w:gridSpan w:val="2"/>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35 </w:t>
            </w:r>
            <w:r>
              <w:rPr>
                <w:rFonts w:ascii="Arial" w:cs="Arial" w:eastAsia="Arial" w:hAnsi="Arial"/>
                <w:sz w:val="25"/>
                <w:szCs w:val="25"/>
                <w:i w:val="1"/>
                <w:iCs w:val="1"/>
                <w:color w:val="auto"/>
                <w:vertAlign w:val="superscript"/>
              </w:rPr>
              <w:t>%</w:t>
            </w:r>
          </w:p>
        </w:tc>
        <w:tc>
          <w:tcPr>
            <w:tcW w:w="100" w:type="dxa"/>
            <w:vAlign w:val="bottom"/>
          </w:tcPr>
          <w:p>
            <w:pPr>
              <w:spacing w:after="0"/>
              <w:rPr>
                <w:sz w:val="18"/>
                <w:szCs w:val="18"/>
                <w:color w:val="auto"/>
              </w:rPr>
            </w:pPr>
          </w:p>
        </w:tc>
        <w:tc>
          <w:tcPr>
            <w:tcW w:w="1160" w:type="dxa"/>
            <w:vAlign w:val="bottom"/>
          </w:tcPr>
          <w:p>
            <w:pPr>
              <w:jc w:val="right"/>
              <w:ind w:right="73"/>
              <w:spacing w:after="0" w:line="216" w:lineRule="exact"/>
              <w:rPr>
                <w:sz w:val="20"/>
                <w:szCs w:val="20"/>
                <w:color w:val="auto"/>
              </w:rPr>
            </w:pPr>
            <w:r>
              <w:rPr>
                <w:rFonts w:ascii="Arial" w:cs="Arial" w:eastAsia="Arial" w:hAnsi="Arial"/>
                <w:sz w:val="13"/>
                <w:szCs w:val="13"/>
                <w:color w:val="auto"/>
              </w:rPr>
              <w:t xml:space="preserve">8 </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Zealand</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27,780</w:t>
            </w:r>
          </w:p>
        </w:tc>
        <w:tc>
          <w:tcPr>
            <w:tcW w:w="920" w:type="dxa"/>
            <w:vAlign w:val="bottom"/>
            <w:gridSpan w:val="2"/>
            <w:shd w:val="clear" w:color="auto" w:fill="CCEEFF"/>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10 </w:t>
            </w:r>
            <w:r>
              <w:rPr>
                <w:rFonts w:ascii="Arial" w:cs="Arial" w:eastAsia="Arial" w:hAnsi="Arial"/>
                <w:sz w:val="25"/>
                <w:szCs w:val="25"/>
                <w:i w:val="1"/>
                <w:iCs w:val="1"/>
                <w:color w:val="auto"/>
                <w:vertAlign w:val="superscript"/>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28,049</w:t>
            </w:r>
          </w:p>
        </w:tc>
        <w:tc>
          <w:tcPr>
            <w:tcW w:w="920" w:type="dxa"/>
            <w:vAlign w:val="bottom"/>
            <w:gridSpan w:val="2"/>
            <w:shd w:val="clear" w:color="auto" w:fill="CCEEFF"/>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11 </w:t>
            </w:r>
            <w:r>
              <w:rPr>
                <w:rFonts w:ascii="Arial" w:cs="Arial" w:eastAsia="Arial" w:hAnsi="Arial"/>
                <w:sz w:val="25"/>
                <w:szCs w:val="25"/>
                <w:i w:val="1"/>
                <w:iCs w:val="1"/>
                <w:color w:val="auto"/>
                <w:vertAlign w:val="superscript"/>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3"/>
              <w:spacing w:after="0" w:line="216" w:lineRule="exact"/>
              <w:rPr>
                <w:sz w:val="20"/>
                <w:szCs w:val="20"/>
                <w:color w:val="auto"/>
              </w:rPr>
            </w:pPr>
            <w:r>
              <w:rPr>
                <w:rFonts w:ascii="Arial" w:cs="Arial" w:eastAsia="Arial" w:hAnsi="Arial"/>
                <w:sz w:val="13"/>
                <w:szCs w:val="13"/>
                <w:color w:val="auto"/>
              </w:rPr>
              <w:t>(1)</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90"/>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Total Segment Revenues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263,464</w:t>
            </w:r>
          </w:p>
        </w:tc>
        <w:tc>
          <w:tcPr>
            <w:tcW w:w="920" w:type="dxa"/>
            <w:vAlign w:val="bottom"/>
            <w:gridSpan w:val="2"/>
          </w:tcPr>
          <w:p>
            <w:pPr>
              <w:jc w:val="right"/>
              <w:ind w:right="31"/>
              <w:spacing w:after="0" w:line="183"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1"/>
                <w:szCs w:val="21"/>
                <w:i w:val="1"/>
                <w:iCs w:val="1"/>
                <w:color w:val="auto"/>
                <w:vertAlign w:val="superscript"/>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256,922</w:t>
            </w:r>
          </w:p>
        </w:tc>
        <w:tc>
          <w:tcPr>
            <w:tcW w:w="920" w:type="dxa"/>
            <w:vAlign w:val="bottom"/>
            <w:gridSpan w:val="2"/>
          </w:tcPr>
          <w:p>
            <w:pPr>
              <w:jc w:val="right"/>
              <w:ind w:right="31"/>
              <w:spacing w:after="0" w:line="183"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1"/>
                <w:szCs w:val="21"/>
                <w:i w:val="1"/>
                <w:iCs w:val="1"/>
                <w:color w:val="auto"/>
                <w:vertAlign w:val="superscript"/>
              </w:rPr>
              <w:t>%</w:t>
            </w:r>
          </w:p>
        </w:tc>
        <w:tc>
          <w:tcPr>
            <w:tcW w:w="100" w:type="dxa"/>
            <w:vAlign w:val="bottom"/>
          </w:tcPr>
          <w:p>
            <w:pPr>
              <w:spacing w:after="0"/>
              <w:rPr>
                <w:sz w:val="16"/>
                <w:szCs w:val="16"/>
                <w:color w:val="auto"/>
              </w:rPr>
            </w:pPr>
          </w:p>
        </w:tc>
        <w:tc>
          <w:tcPr>
            <w:tcW w:w="1160" w:type="dxa"/>
            <w:vAlign w:val="bottom"/>
          </w:tcPr>
          <w:p>
            <w:pPr>
              <w:jc w:val="right"/>
              <w:ind w:right="73"/>
              <w:spacing w:after="0" w:line="183" w:lineRule="exact"/>
              <w:rPr>
                <w:sz w:val="20"/>
                <w:szCs w:val="20"/>
                <w:color w:val="auto"/>
              </w:rPr>
            </w:pPr>
            <w:r>
              <w:rPr>
                <w:rFonts w:ascii="Arial" w:cs="Arial" w:eastAsia="Arial" w:hAnsi="Arial"/>
                <w:sz w:val="12"/>
                <w:szCs w:val="12"/>
                <w:color w:val="auto"/>
              </w:rPr>
              <w:t xml:space="preserve">3 </w:t>
            </w:r>
            <w:r>
              <w:rPr>
                <w:rFonts w:ascii="Arial" w:cs="Arial" w:eastAsia="Arial" w:hAnsi="Arial"/>
                <w:sz w:val="21"/>
                <w:szCs w:val="21"/>
                <w:i w:val="1"/>
                <w:iCs w:val="1"/>
                <w:color w:val="auto"/>
                <w:vertAlign w:val="superscript"/>
              </w:rPr>
              <w:t>%</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40" w:right="200" w:hanging="320"/>
        <w:spacing w:after="0" w:line="223" w:lineRule="auto"/>
        <w:tabs>
          <w:tab w:leader="none" w:pos="640" w:val="left"/>
        </w:tabs>
        <w:numPr>
          <w:ilvl w:val="0"/>
          <w:numId w:val="58"/>
        </w:numPr>
        <w:rPr>
          <w:rFonts w:ascii="Arial" w:cs="Arial" w:eastAsia="Arial" w:hAnsi="Arial"/>
          <w:sz w:val="28"/>
          <w:szCs w:val="28"/>
          <w:color w:val="auto"/>
          <w:vertAlign w:val="superscript"/>
        </w:rPr>
      </w:pPr>
      <w:r>
        <w:rPr>
          <w:rFonts w:ascii="Arial" w:cs="Arial" w:eastAsia="Arial" w:hAnsi="Arial"/>
          <w:sz w:val="17"/>
          <w:szCs w:val="17"/>
          <w:color w:val="auto"/>
        </w:rPr>
        <w:t>In the United States, 2017 revenues decreased by 1%, or $742,000, primarily driven by lower attendance partially due to the temporary closure of certain sites for renovations along with lower industry-wide box office attendance. This was partially offset by, improved average ticket prices, improved F&amp;B revenues and increased web sale revenues.</w:t>
      </w:r>
    </w:p>
    <w:p>
      <w:pPr>
        <w:spacing w:after="0" w:line="80" w:lineRule="exact"/>
        <w:rPr>
          <w:rFonts w:ascii="Arial" w:cs="Arial" w:eastAsia="Arial" w:hAnsi="Arial"/>
          <w:sz w:val="28"/>
          <w:szCs w:val="28"/>
          <w:color w:val="auto"/>
          <w:vertAlign w:val="superscript"/>
        </w:rPr>
      </w:pPr>
    </w:p>
    <w:p>
      <w:pPr>
        <w:ind w:left="640" w:right="360" w:hanging="320"/>
        <w:spacing w:after="0" w:line="198" w:lineRule="auto"/>
        <w:tabs>
          <w:tab w:leader="none" w:pos="640" w:val="left"/>
        </w:tabs>
        <w:numPr>
          <w:ilvl w:val="0"/>
          <w:numId w:val="58"/>
        </w:numPr>
        <w:rPr>
          <w:rFonts w:ascii="Arial" w:cs="Arial" w:eastAsia="Arial" w:hAnsi="Arial"/>
          <w:sz w:val="29"/>
          <w:szCs w:val="29"/>
          <w:color w:val="auto"/>
          <w:vertAlign w:val="superscript"/>
        </w:rPr>
      </w:pPr>
      <w:r>
        <w:rPr>
          <w:rFonts w:ascii="Arial" w:cs="Arial" w:eastAsia="Arial" w:hAnsi="Arial"/>
          <w:sz w:val="18"/>
          <w:szCs w:val="18"/>
          <w:color w:val="auto"/>
        </w:rPr>
        <w:t>Australia’s cinema revenue, stated in U.S. dollars, increased by 8%, or $7.6 million, primarily due to increase in attendance, as well as a favorable foreign exchange movements, offset by a reduction in average ticket prices.</w:t>
      </w:r>
    </w:p>
    <w:p>
      <w:pPr>
        <w:spacing w:after="0" w:line="80" w:lineRule="exact"/>
        <w:rPr>
          <w:rFonts w:ascii="Arial" w:cs="Arial" w:eastAsia="Arial" w:hAnsi="Arial"/>
          <w:sz w:val="29"/>
          <w:szCs w:val="29"/>
          <w:color w:val="auto"/>
          <w:vertAlign w:val="superscript"/>
        </w:rPr>
      </w:pPr>
    </w:p>
    <w:p>
      <w:pPr>
        <w:ind w:left="640" w:right="340" w:hanging="320"/>
        <w:spacing w:after="0" w:line="198" w:lineRule="auto"/>
        <w:tabs>
          <w:tab w:leader="none" w:pos="640" w:val="left"/>
        </w:tabs>
        <w:numPr>
          <w:ilvl w:val="0"/>
          <w:numId w:val="58"/>
        </w:numPr>
        <w:rPr>
          <w:rFonts w:ascii="Arial" w:cs="Arial" w:eastAsia="Arial" w:hAnsi="Arial"/>
          <w:sz w:val="29"/>
          <w:szCs w:val="29"/>
          <w:color w:val="auto"/>
          <w:vertAlign w:val="superscript"/>
        </w:rPr>
      </w:pPr>
      <w:r>
        <w:rPr>
          <w:rFonts w:ascii="Arial" w:cs="Arial" w:eastAsia="Arial" w:hAnsi="Arial"/>
          <w:sz w:val="18"/>
          <w:szCs w:val="18"/>
          <w:color w:val="auto"/>
        </w:rPr>
        <w:t>In New Zealand, cinema revenue decreased by 1%, or $269,000, mainly due to the closure of our Courtenay Central ETC for a portion of the period.</w:t>
      </w:r>
    </w:p>
    <w:p>
      <w:pPr>
        <w:spacing w:after="0" w:line="29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Cinema Revenue for the quarter ended December 31, 2017 increased by 5%, or $3.1 million, to $67.4 million compared to the same quarter ended December 31, 2016, despite the fact that some Pearlridge auditoriums were closed during the quarter, generating a decrease in revenue $1.5 million, Australia generated a 16% increase in revenue and New Zealand generated a 20% increase in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products (excluding depreciation and amortization)</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Cost of services and products for 2017 increased by 4%, or $9.1 million, to $215.0 million mainly attributable to higher film rent and advertising costs in Australia due to higher box office revenue, higher concession costs due to increased concession sales, additional operating costs amounting to $3.3 million associated with Olino, including an additional $1.8 million in occupancy cost compared to 2016. Further movements were driven by an increase in occupancy expenses of $765,000 as a result of increases in rents associated with the exercise of certain lease options, increased staff costs due to minimum wage increases and a move towards enhanced food &amp; beverage offerings, and costs associated with the opening of our new Newmarket cinema in Brisbane, Australia. In addition, the impact of the strengthening Australian and New Zealand dollars relative to the U.S. dollar further contributed to the cost increase. These were partially offset by lower film rent and advertising costs in the United States and New Zealand due to lower box office revenue.</w:t>
      </w:r>
    </w:p>
    <w:p>
      <w:pPr>
        <w:spacing w:after="0" w:line="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Certain costs incurred in quarters one to three of 2017 have, in quarter four, crystallized as rent liabilities to be paid, and as such have been reclassified from ‘other operating expenses’ to ‘occupancy costs’. These costs have no material impact on our financial results for the periods concerned.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 and products as a percentage of gross revenue increased in 2017 to 82% from 80% in 2016.</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Cost of services and products for the quarter ended December 31, 2017 compared to the quarter ended December 31, 2016 increased by 9%, or $4.4 million, to $55.9 million. The increase is primarily due to higher occupancy costs in the U.S. coupled with higher film rents and advertising in Australia and New Zealand.</w:t>
      </w:r>
    </w:p>
    <w:p>
      <w:pPr>
        <w:spacing w:after="0" w:line="181" w:lineRule="exact"/>
        <w:rPr>
          <w:sz w:val="20"/>
          <w:szCs w:val="20"/>
          <w:color w:val="auto"/>
        </w:rPr>
      </w:pPr>
    </w:p>
    <w:p>
      <w:pPr>
        <w:ind w:right="780"/>
        <w:spacing w:after="0" w:line="344" w:lineRule="auto"/>
        <w:rPr>
          <w:sz w:val="20"/>
          <w:szCs w:val="20"/>
          <w:color w:val="auto"/>
        </w:rPr>
      </w:pPr>
      <w:r>
        <w:rPr>
          <w:rFonts w:ascii="Arial" w:cs="Arial" w:eastAsia="Arial" w:hAnsi="Arial"/>
          <w:sz w:val="18"/>
          <w:szCs w:val="18"/>
          <w:color w:val="auto"/>
        </w:rPr>
        <w:t xml:space="preserve">Cost of services and products as a percentage of gross revenue increased in for the fourth quarter 2017 to 83% from 80% in 2016. </w:t>
      </w:r>
      <w:r>
        <w:rPr>
          <w:rFonts w:ascii="Arial" w:cs="Arial" w:eastAsia="Arial" w:hAnsi="Arial"/>
          <w:sz w:val="18"/>
          <w:szCs w:val="18"/>
          <w:b w:val="1"/>
          <w:bCs w:val="1"/>
          <w:i w:val="1"/>
          <w:iCs w:val="1"/>
          <w:color w:val="auto"/>
        </w:rPr>
        <w:t>Depreciation, amortization, general and administrative expense</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Depreciation, amortization, general and administrative expense for 2017 remained relatively unchanged compared to 2016. The increase in depreciation resulting from improvements in several of our cinema facilities was offset by savings in general and administrative expenses.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Real Estate – 2017 vs. 2016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2017 vs. 2016</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Favorable /</w:t>
            </w:r>
          </w:p>
        </w:tc>
        <w:tc>
          <w:tcPr>
            <w:tcW w:w="0" w:type="dxa"/>
            <w:vAlign w:val="bottom"/>
          </w:tcPr>
          <w:p>
            <w:pPr>
              <w:spacing w:after="0"/>
              <w:rPr>
                <w:sz w:val="1"/>
                <w:szCs w:val="1"/>
                <w:color w:val="auto"/>
              </w:rPr>
            </w:pPr>
          </w:p>
        </w:tc>
      </w:tr>
      <w:tr>
        <w:trPr>
          <w:trHeight w:val="160"/>
        </w:trPr>
        <w:tc>
          <w:tcPr>
            <w:tcW w:w="2140" w:type="dxa"/>
            <w:vAlign w:val="bottom"/>
          </w:tcPr>
          <w:p>
            <w:pPr>
              <w:spacing w:after="0"/>
              <w:rPr>
                <w:sz w:val="20"/>
                <w:szCs w:val="20"/>
                <w:color w:val="auto"/>
              </w:rPr>
            </w:pPr>
            <w:r>
              <w:rPr>
                <w:rFonts w:ascii="Arial" w:cs="Arial" w:eastAsia="Arial" w:hAnsi="Arial"/>
                <w:sz w:val="13"/>
                <w:szCs w:val="13"/>
                <w:color w:val="auto"/>
              </w:rPr>
              <w:t>(Dollars in thousands)</w:t>
            </w:r>
          </w:p>
        </w:tc>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1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i w:val="1"/>
                <w:iCs w:val="1"/>
                <w:color w:val="auto"/>
              </w:rPr>
              <w:t>% of Revenue</w:t>
            </w:r>
          </w:p>
        </w:tc>
        <w:tc>
          <w:tcPr>
            <w:tcW w:w="200" w:type="dxa"/>
            <w:vAlign w:val="bottom"/>
          </w:tcPr>
          <w:p>
            <w:pPr>
              <w:spacing w:after="0"/>
              <w:rPr>
                <w:sz w:val="13"/>
                <w:szCs w:val="13"/>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i w:val="1"/>
                <w:iCs w:val="1"/>
                <w:color w:val="auto"/>
              </w:rPr>
              <w:t>% of Revenue</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149"/>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2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820"/>
              <w:spacing w:after="0"/>
              <w:rPr>
                <w:sz w:val="20"/>
                <w:szCs w:val="20"/>
                <w:color w:val="auto"/>
              </w:rPr>
            </w:pPr>
            <w:r>
              <w:rPr>
                <w:rFonts w:ascii="Arial" w:cs="Arial" w:eastAsia="Arial" w:hAnsi="Arial"/>
                <w:sz w:val="13"/>
                <w:szCs w:val="13"/>
                <w:b w:val="1"/>
                <w:bCs w:val="1"/>
                <w:color w:val="auto"/>
              </w:rPr>
              <w:t>United States</w:t>
            </w:r>
          </w:p>
        </w:tc>
        <w:tc>
          <w:tcPr>
            <w:tcW w:w="2720" w:type="dxa"/>
            <w:vAlign w:val="bottom"/>
            <w:gridSpan w:val="2"/>
          </w:tcPr>
          <w:p>
            <w:pPr>
              <w:ind w:left="40"/>
              <w:spacing w:after="0"/>
              <w:rPr>
                <w:sz w:val="20"/>
                <w:szCs w:val="20"/>
                <w:color w:val="auto"/>
              </w:rPr>
            </w:pPr>
            <w:r>
              <w:rPr>
                <w:rFonts w:ascii="Arial" w:cs="Arial" w:eastAsia="Arial" w:hAnsi="Arial"/>
                <w:sz w:val="13"/>
                <w:szCs w:val="13"/>
                <w:color w:val="auto"/>
              </w:rPr>
              <w:t>Live theater rental and ancillary income</w:t>
            </w:r>
          </w:p>
        </w:tc>
        <w:tc>
          <w:tcPr>
            <w:tcW w:w="34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4,418</w:t>
            </w:r>
          </w:p>
        </w:tc>
        <w:tc>
          <w:tcPr>
            <w:tcW w:w="120" w:type="dxa"/>
            <w:vAlign w:val="bottom"/>
          </w:tcPr>
          <w:p>
            <w:pPr>
              <w:spacing w:after="0"/>
              <w:rPr>
                <w:sz w:val="14"/>
                <w:szCs w:val="14"/>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i w:val="1"/>
                <w:iCs w:val="1"/>
                <w:color w:val="auto"/>
              </w:rPr>
              <w:t>93 %</w:t>
            </w:r>
          </w:p>
        </w:tc>
        <w:tc>
          <w:tcPr>
            <w:tcW w:w="120" w:type="dxa"/>
            <w:vAlign w:val="bottom"/>
          </w:tcPr>
          <w:p>
            <w:pPr>
              <w:spacing w:after="0"/>
              <w:rPr>
                <w:sz w:val="14"/>
                <w:szCs w:val="14"/>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2,840</w:t>
            </w:r>
          </w:p>
        </w:tc>
        <w:tc>
          <w:tcPr>
            <w:tcW w:w="10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i w:val="1"/>
                <w:iCs w:val="1"/>
                <w:color w:val="auto"/>
              </w:rPr>
              <w:t>87 %</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rental income</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i w:val="1"/>
                <w:iCs w:val="1"/>
                <w:color w:val="auto"/>
              </w:rPr>
              <w:t>7 %</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13 %</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4,740</w:t>
            </w:r>
          </w:p>
        </w:tc>
        <w:tc>
          <w:tcPr>
            <w:tcW w:w="120" w:type="dxa"/>
            <w:vAlign w:val="bottom"/>
          </w:tcPr>
          <w:p>
            <w:pPr>
              <w:spacing w:after="0"/>
              <w:rPr>
                <w:sz w:val="12"/>
                <w:szCs w:val="12"/>
                <w:color w:val="auto"/>
              </w:rPr>
            </w:pPr>
          </w:p>
        </w:tc>
        <w:tc>
          <w:tcPr>
            <w:tcW w:w="760" w:type="dxa"/>
            <w:vAlign w:val="bottom"/>
          </w:tcPr>
          <w:p>
            <w:pPr>
              <w:jc w:val="right"/>
              <w:ind w:right="38"/>
              <w:spacing w:after="0" w:line="143" w:lineRule="exact"/>
              <w:rPr>
                <w:sz w:val="20"/>
                <w:szCs w:val="20"/>
                <w:color w:val="auto"/>
              </w:rPr>
            </w:pPr>
            <w:r>
              <w:rPr>
                <w:rFonts w:ascii="Arial" w:cs="Arial" w:eastAsia="Arial" w:hAnsi="Arial"/>
                <w:sz w:val="13"/>
                <w:szCs w:val="13"/>
                <w:i w:val="1"/>
                <w:iCs w:val="1"/>
                <w:color w:val="auto"/>
              </w:rPr>
              <w:t>100 %</w:t>
            </w:r>
          </w:p>
        </w:tc>
        <w:tc>
          <w:tcPr>
            <w:tcW w:w="12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3,271</w:t>
            </w:r>
          </w:p>
        </w:tc>
        <w:tc>
          <w:tcPr>
            <w:tcW w:w="100" w:type="dxa"/>
            <w:vAlign w:val="bottom"/>
          </w:tcPr>
          <w:p>
            <w:pPr>
              <w:spacing w:after="0"/>
              <w:rPr>
                <w:sz w:val="12"/>
                <w:szCs w:val="12"/>
                <w:color w:val="auto"/>
              </w:rPr>
            </w:pPr>
          </w:p>
        </w:tc>
        <w:tc>
          <w:tcPr>
            <w:tcW w:w="1080" w:type="dxa"/>
            <w:vAlign w:val="bottom"/>
          </w:tcPr>
          <w:p>
            <w:pPr>
              <w:jc w:val="right"/>
              <w:ind w:right="17"/>
              <w:spacing w:after="0" w:line="143" w:lineRule="exact"/>
              <w:rPr>
                <w:sz w:val="20"/>
                <w:szCs w:val="20"/>
                <w:color w:val="auto"/>
              </w:rPr>
            </w:pPr>
            <w:r>
              <w:rPr>
                <w:rFonts w:ascii="Arial" w:cs="Arial" w:eastAsia="Arial" w:hAnsi="Arial"/>
                <w:sz w:val="13"/>
                <w:szCs w:val="13"/>
                <w:i w:val="1"/>
                <w:iCs w:val="1"/>
                <w:color w:val="auto"/>
              </w:rPr>
              <w:t>100 %</w:t>
            </w: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45</w:t>
            </w:r>
          </w:p>
        </w:tc>
        <w:tc>
          <w:tcPr>
            <w:tcW w:w="2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Australia</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rental income</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15,089</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i w:val="1"/>
                <w:iCs w:val="1"/>
                <w:color w:val="auto"/>
              </w:rPr>
              <w:t>100 %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100 %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CCEEFF"/>
            </w:tcBorders>
          </w:tcPr>
          <w:p>
            <w:pPr>
              <w:ind w:left="820"/>
              <w:spacing w:after="0"/>
              <w:rPr>
                <w:sz w:val="20"/>
                <w:szCs w:val="20"/>
                <w:color w:val="auto"/>
              </w:rPr>
            </w:pPr>
            <w:r>
              <w:rPr>
                <w:rFonts w:ascii="Arial" w:cs="Arial" w:eastAsia="Arial" w:hAnsi="Arial"/>
                <w:sz w:val="13"/>
                <w:szCs w:val="13"/>
                <w:b w:val="1"/>
                <w:bCs w:val="1"/>
                <w:color w:val="auto"/>
              </w:rPr>
              <w:t>New Zealand</w:t>
            </w:r>
          </w:p>
        </w:tc>
        <w:tc>
          <w:tcPr>
            <w:tcW w:w="27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Property rental income</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4,159</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jc w:val="right"/>
              <w:ind w:right="38"/>
              <w:spacing w:after="0"/>
              <w:rPr>
                <w:sz w:val="20"/>
                <w:szCs w:val="20"/>
                <w:color w:val="auto"/>
              </w:rPr>
            </w:pPr>
            <w:r>
              <w:rPr>
                <w:rFonts w:ascii="Arial" w:cs="Arial" w:eastAsia="Arial" w:hAnsi="Arial"/>
                <w:sz w:val="13"/>
                <w:szCs w:val="13"/>
                <w:i w:val="1"/>
                <w:iCs w:val="1"/>
                <w:color w:val="auto"/>
              </w:rPr>
              <w:t>100 %</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4,311</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i w:val="1"/>
                <w:iCs w:val="1"/>
                <w:color w:val="auto"/>
              </w:rPr>
              <w:t>100 %</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49"/>
        </w:trPr>
        <w:tc>
          <w:tcPr>
            <w:tcW w:w="2140" w:type="dxa"/>
            <w:vAlign w:val="bottom"/>
            <w:tcBorders>
              <w:bottom w:val="single" w:sz="8" w:color="CCEEFF"/>
            </w:tcBorders>
            <w:shd w:val="clear" w:color="auto" w:fill="CCEEFF"/>
          </w:tcPr>
          <w:p>
            <w:pPr>
              <w:ind w:left="820"/>
              <w:spacing w:after="0" w:line="129" w:lineRule="exact"/>
              <w:rPr>
                <w:sz w:val="20"/>
                <w:szCs w:val="20"/>
                <w:color w:val="auto"/>
              </w:rPr>
            </w:pPr>
            <w:r>
              <w:rPr>
                <w:rFonts w:ascii="Arial" w:cs="Arial" w:eastAsia="Arial" w:hAnsi="Arial"/>
                <w:sz w:val="13"/>
                <w:szCs w:val="13"/>
                <w:b w:val="1"/>
                <w:bCs w:val="1"/>
                <w:color w:val="auto"/>
              </w:rPr>
              <w:t>Total revenue</w:t>
            </w:r>
          </w:p>
        </w:tc>
        <w:tc>
          <w:tcPr>
            <w:tcW w:w="2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23,988</w:t>
            </w: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38"/>
              <w:spacing w:after="0" w:line="129" w:lineRule="exact"/>
              <w:rPr>
                <w:sz w:val="20"/>
                <w:szCs w:val="20"/>
                <w:color w:val="auto"/>
              </w:rPr>
            </w:pPr>
            <w:r>
              <w:rPr>
                <w:rFonts w:ascii="Arial" w:cs="Arial" w:eastAsia="Arial" w:hAnsi="Arial"/>
                <w:sz w:val="13"/>
                <w:szCs w:val="13"/>
                <w:i w:val="1"/>
                <w:iCs w:val="1"/>
                <w:color w:val="auto"/>
              </w:rPr>
              <w:t>100 %</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21,310</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i w:val="1"/>
                <w:iCs w:val="1"/>
                <w:color w:val="auto"/>
              </w:rPr>
              <w:t>100 %</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2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140" w:type="dxa"/>
            <w:vAlign w:val="bottom"/>
          </w:tcPr>
          <w:p>
            <w:pPr>
              <w:spacing w:after="0" w:line="136" w:lineRule="exact"/>
              <w:rPr>
                <w:sz w:val="20"/>
                <w:szCs w:val="20"/>
                <w:color w:val="auto"/>
              </w:rPr>
            </w:pPr>
            <w:r>
              <w:rPr>
                <w:rFonts w:ascii="Arial" w:cs="Arial" w:eastAsia="Arial" w:hAnsi="Arial"/>
                <w:sz w:val="13"/>
                <w:szCs w:val="13"/>
                <w:b w:val="1"/>
                <w:bCs w:val="1"/>
                <w:color w:val="auto"/>
              </w:rPr>
              <w:t>OPERATING EXPENSE</w:t>
            </w:r>
          </w:p>
        </w:tc>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United States</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Live theater cost</w:t>
            </w:r>
          </w:p>
        </w:tc>
        <w:tc>
          <w:tcPr>
            <w:tcW w:w="34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(1,105)</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i w:val="1"/>
                <w:iCs w:val="1"/>
                <w:color w:val="auto"/>
              </w:rPr>
              <w:t>(23)%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(1,371)</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(42)%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Arial" w:cs="Arial" w:eastAsia="Arial" w:hAnsi="Arial"/>
                <w:sz w:val="13"/>
                <w:szCs w:val="13"/>
                <w:color w:val="auto"/>
              </w:rPr>
              <w:t>Property cost</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(388)</w:t>
            </w:r>
          </w:p>
        </w:tc>
        <w:tc>
          <w:tcPr>
            <w:tcW w:w="760" w:type="dxa"/>
            <w:vAlign w:val="bottom"/>
          </w:tcPr>
          <w:p>
            <w:pPr>
              <w:jc w:val="right"/>
              <w:ind w:right="38"/>
              <w:spacing w:after="0"/>
              <w:rPr>
                <w:sz w:val="20"/>
                <w:szCs w:val="20"/>
                <w:color w:val="auto"/>
              </w:rPr>
            </w:pPr>
            <w:r>
              <w:rPr>
                <w:rFonts w:ascii="Arial" w:cs="Arial" w:eastAsia="Arial" w:hAnsi="Arial"/>
                <w:sz w:val="13"/>
                <w:szCs w:val="13"/>
                <w:i w:val="1"/>
                <w:iCs w:val="1"/>
                <w:color w:val="auto"/>
              </w:rPr>
              <w:t>(8)%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(317)</w:t>
            </w:r>
          </w:p>
        </w:tc>
        <w:tc>
          <w:tcPr>
            <w:tcW w:w="1080" w:type="dxa"/>
            <w:vAlign w:val="bottom"/>
          </w:tcPr>
          <w:p>
            <w:pPr>
              <w:jc w:val="right"/>
              <w:ind w:right="17"/>
              <w:spacing w:after="0"/>
              <w:rPr>
                <w:sz w:val="20"/>
                <w:szCs w:val="20"/>
                <w:color w:val="auto"/>
              </w:rPr>
            </w:pPr>
            <w:r>
              <w:rPr>
                <w:rFonts w:ascii="Arial" w:cs="Arial" w:eastAsia="Arial" w:hAnsi="Arial"/>
                <w:sz w:val="13"/>
                <w:szCs w:val="13"/>
                <w:i w:val="1"/>
                <w:iCs w:val="1"/>
                <w:color w:val="auto"/>
              </w:rPr>
              <w:t>(10)%</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Occupancy expense</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(660)</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i w:val="1"/>
                <w:iCs w:val="1"/>
                <w:color w:val="auto"/>
              </w:rPr>
              <w:t>(14)%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(17)%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(2,153)</w:t>
            </w:r>
          </w:p>
        </w:tc>
        <w:tc>
          <w:tcPr>
            <w:tcW w:w="120" w:type="dxa"/>
            <w:vAlign w:val="bottom"/>
          </w:tcPr>
          <w:p>
            <w:pPr>
              <w:spacing w:after="0"/>
              <w:rPr>
                <w:sz w:val="12"/>
                <w:szCs w:val="12"/>
                <w:color w:val="auto"/>
              </w:rPr>
            </w:pPr>
          </w:p>
        </w:tc>
        <w:tc>
          <w:tcPr>
            <w:tcW w:w="760" w:type="dxa"/>
            <w:vAlign w:val="bottom"/>
          </w:tcPr>
          <w:p>
            <w:pPr>
              <w:jc w:val="right"/>
              <w:ind w:right="38"/>
              <w:spacing w:after="0" w:line="143" w:lineRule="exact"/>
              <w:rPr>
                <w:sz w:val="20"/>
                <w:szCs w:val="20"/>
                <w:color w:val="auto"/>
              </w:rPr>
            </w:pPr>
            <w:r>
              <w:rPr>
                <w:rFonts w:ascii="Arial" w:cs="Arial" w:eastAsia="Arial" w:hAnsi="Arial"/>
                <w:sz w:val="13"/>
                <w:szCs w:val="13"/>
                <w:i w:val="1"/>
                <w:iCs w:val="1"/>
                <w:color w:val="auto"/>
              </w:rPr>
              <w:t>(45)%</w:t>
            </w:r>
          </w:p>
        </w:tc>
        <w:tc>
          <w:tcPr>
            <w:tcW w:w="120" w:type="dxa"/>
            <w:vAlign w:val="bottom"/>
          </w:tcPr>
          <w:p>
            <w:pPr>
              <w:spacing w:after="0"/>
              <w:rPr>
                <w:sz w:val="12"/>
                <w:szCs w:val="12"/>
                <w:color w:val="auto"/>
              </w:rPr>
            </w:pP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(2,245)</w:t>
            </w:r>
          </w:p>
        </w:tc>
        <w:tc>
          <w:tcPr>
            <w:tcW w:w="100" w:type="dxa"/>
            <w:vAlign w:val="bottom"/>
          </w:tcPr>
          <w:p>
            <w:pPr>
              <w:spacing w:after="0"/>
              <w:rPr>
                <w:sz w:val="12"/>
                <w:szCs w:val="12"/>
                <w:color w:val="auto"/>
              </w:rPr>
            </w:pPr>
          </w:p>
        </w:tc>
        <w:tc>
          <w:tcPr>
            <w:tcW w:w="1080" w:type="dxa"/>
            <w:vAlign w:val="bottom"/>
          </w:tcPr>
          <w:p>
            <w:pPr>
              <w:jc w:val="right"/>
              <w:ind w:right="17"/>
              <w:spacing w:after="0" w:line="143" w:lineRule="exact"/>
              <w:rPr>
                <w:sz w:val="20"/>
                <w:szCs w:val="20"/>
                <w:color w:val="auto"/>
              </w:rPr>
            </w:pPr>
            <w:r>
              <w:rPr>
                <w:rFonts w:ascii="Arial" w:cs="Arial" w:eastAsia="Arial" w:hAnsi="Arial"/>
                <w:sz w:val="13"/>
                <w:szCs w:val="13"/>
                <w:i w:val="1"/>
                <w:iCs w:val="1"/>
                <w:color w:val="auto"/>
              </w:rPr>
              <w:t>(69)%</w:t>
            </w:r>
          </w:p>
        </w:tc>
        <w:tc>
          <w:tcPr>
            <w:tcW w:w="100" w:type="dxa"/>
            <w:vAlign w:val="bottom"/>
          </w:tcPr>
          <w:p>
            <w:pPr>
              <w:spacing w:after="0"/>
              <w:rPr>
                <w:sz w:val="12"/>
                <w:szCs w:val="12"/>
                <w:color w:val="auto"/>
              </w:rPr>
            </w:pPr>
          </w:p>
        </w:tc>
        <w:tc>
          <w:tcPr>
            <w:tcW w:w="8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Australia</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cost</w:t>
            </w:r>
          </w:p>
        </w:tc>
        <w:tc>
          <w:tcPr>
            <w:tcW w:w="34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(3,031)</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i w:val="1"/>
                <w:iCs w:val="1"/>
                <w:color w:val="auto"/>
              </w:rPr>
              <w:t>(20)%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(2,672)</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(20)%</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Arial" w:cs="Arial" w:eastAsia="Arial" w:hAnsi="Arial"/>
                <w:sz w:val="13"/>
                <w:szCs w:val="13"/>
                <w:color w:val="auto"/>
              </w:rPr>
              <w:t>Occupancy expense</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(2,375)</w:t>
            </w:r>
          </w:p>
        </w:tc>
        <w:tc>
          <w:tcPr>
            <w:tcW w:w="760" w:type="dxa"/>
            <w:vAlign w:val="bottom"/>
          </w:tcPr>
          <w:p>
            <w:pPr>
              <w:jc w:val="right"/>
              <w:ind w:right="38"/>
              <w:spacing w:after="0"/>
              <w:rPr>
                <w:sz w:val="20"/>
                <w:szCs w:val="20"/>
                <w:color w:val="auto"/>
              </w:rPr>
            </w:pPr>
            <w:r>
              <w:rPr>
                <w:rFonts w:ascii="Arial" w:cs="Arial" w:eastAsia="Arial" w:hAnsi="Arial"/>
                <w:sz w:val="13"/>
                <w:szCs w:val="13"/>
                <w:i w:val="1"/>
                <w:iCs w:val="1"/>
                <w:color w:val="auto"/>
              </w:rPr>
              <w:t>(16)%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(2,081)</w:t>
            </w:r>
          </w:p>
        </w:tc>
        <w:tc>
          <w:tcPr>
            <w:tcW w:w="1080" w:type="dxa"/>
            <w:vAlign w:val="bottom"/>
          </w:tcPr>
          <w:p>
            <w:pPr>
              <w:jc w:val="right"/>
              <w:ind w:right="17"/>
              <w:spacing w:after="0"/>
              <w:rPr>
                <w:sz w:val="20"/>
                <w:szCs w:val="20"/>
                <w:color w:val="auto"/>
              </w:rPr>
            </w:pPr>
            <w:r>
              <w:rPr>
                <w:rFonts w:ascii="Arial" w:cs="Arial" w:eastAsia="Arial" w:hAnsi="Arial"/>
                <w:sz w:val="13"/>
                <w:szCs w:val="13"/>
                <w:i w:val="1"/>
                <w:iCs w:val="1"/>
                <w:color w:val="auto"/>
              </w:rPr>
              <w:t>(15)%</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tcBorders>
            <w:shd w:val="clear" w:color="auto" w:fill="CCEEFF"/>
          </w:tcPr>
          <w:p>
            <w:pPr>
              <w:spacing w:after="0"/>
              <w:rPr>
                <w:sz w:val="12"/>
                <w:szCs w:val="12"/>
                <w:color w:val="auto"/>
              </w:rPr>
            </w:pPr>
          </w:p>
        </w:tc>
        <w:tc>
          <w:tcPr>
            <w:tcW w:w="26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(5,406)</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jc w:val="right"/>
              <w:ind w:right="38"/>
              <w:spacing w:after="0" w:line="143" w:lineRule="exact"/>
              <w:rPr>
                <w:sz w:val="20"/>
                <w:szCs w:val="20"/>
                <w:color w:val="auto"/>
              </w:rPr>
            </w:pPr>
            <w:r>
              <w:rPr>
                <w:rFonts w:ascii="Arial" w:cs="Arial" w:eastAsia="Arial" w:hAnsi="Arial"/>
                <w:sz w:val="13"/>
                <w:szCs w:val="13"/>
                <w:i w:val="1"/>
                <w:iCs w:val="1"/>
                <w:color w:val="auto"/>
              </w:rPr>
              <w:t>(36)%</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(4,753)</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jc w:val="right"/>
              <w:ind w:right="17"/>
              <w:spacing w:after="0" w:line="143" w:lineRule="exact"/>
              <w:rPr>
                <w:sz w:val="20"/>
                <w:szCs w:val="20"/>
                <w:color w:val="auto"/>
              </w:rPr>
            </w:pPr>
            <w:r>
              <w:rPr>
                <w:rFonts w:ascii="Arial" w:cs="Arial" w:eastAsia="Arial" w:hAnsi="Arial"/>
                <w:sz w:val="13"/>
                <w:szCs w:val="13"/>
                <w:i w:val="1"/>
                <w:iCs w:val="1"/>
                <w:color w:val="auto"/>
              </w:rPr>
              <w:t>(35)%</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62"/>
        </w:trPr>
        <w:tc>
          <w:tcPr>
            <w:tcW w:w="2140" w:type="dxa"/>
            <w:vAlign w:val="bottom"/>
          </w:tcPr>
          <w:p>
            <w:pPr>
              <w:ind w:left="820"/>
              <w:spacing w:after="0"/>
              <w:rPr>
                <w:sz w:val="20"/>
                <w:szCs w:val="20"/>
                <w:color w:val="auto"/>
              </w:rPr>
            </w:pPr>
            <w:r>
              <w:rPr>
                <w:rFonts w:ascii="Arial" w:cs="Arial" w:eastAsia="Arial" w:hAnsi="Arial"/>
                <w:sz w:val="13"/>
                <w:szCs w:val="13"/>
                <w:b w:val="1"/>
                <w:bCs w:val="1"/>
                <w:color w:val="auto"/>
              </w:rPr>
              <w:t>New Zealand</w:t>
            </w:r>
          </w:p>
        </w:tc>
        <w:tc>
          <w:tcPr>
            <w:tcW w:w="2720" w:type="dxa"/>
            <w:vAlign w:val="bottom"/>
            <w:gridSpan w:val="2"/>
          </w:tcPr>
          <w:p>
            <w:pPr>
              <w:ind w:left="40"/>
              <w:spacing w:after="0"/>
              <w:rPr>
                <w:sz w:val="20"/>
                <w:szCs w:val="20"/>
                <w:color w:val="auto"/>
              </w:rPr>
            </w:pPr>
            <w:r>
              <w:rPr>
                <w:rFonts w:ascii="Arial" w:cs="Arial" w:eastAsia="Arial" w:hAnsi="Arial"/>
                <w:sz w:val="13"/>
                <w:szCs w:val="13"/>
                <w:color w:val="auto"/>
              </w:rPr>
              <w:t>Property cost</w:t>
            </w:r>
          </w:p>
        </w:tc>
        <w:tc>
          <w:tcPr>
            <w:tcW w:w="34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(1,295)</w:t>
            </w:r>
          </w:p>
        </w:tc>
        <w:tc>
          <w:tcPr>
            <w:tcW w:w="760" w:type="dxa"/>
            <w:vAlign w:val="bottom"/>
          </w:tcPr>
          <w:p>
            <w:pPr>
              <w:jc w:val="right"/>
              <w:ind w:right="38"/>
              <w:spacing w:after="0"/>
              <w:rPr>
                <w:sz w:val="20"/>
                <w:szCs w:val="20"/>
                <w:color w:val="auto"/>
              </w:rPr>
            </w:pPr>
            <w:r>
              <w:rPr>
                <w:rFonts w:ascii="Arial" w:cs="Arial" w:eastAsia="Arial" w:hAnsi="Arial"/>
                <w:sz w:val="13"/>
                <w:szCs w:val="13"/>
                <w:i w:val="1"/>
                <w:iCs w:val="1"/>
                <w:color w:val="auto"/>
              </w:rPr>
              <w:t>(31)%</w:t>
            </w:r>
          </w:p>
        </w:tc>
        <w:tc>
          <w:tcPr>
            <w:tcW w:w="120" w:type="dxa"/>
            <w:vAlign w:val="bottom"/>
          </w:tcPr>
          <w:p>
            <w:pPr>
              <w:spacing w:after="0"/>
              <w:rPr>
                <w:sz w:val="14"/>
                <w:szCs w:val="14"/>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(1,412)</w:t>
            </w:r>
          </w:p>
        </w:tc>
        <w:tc>
          <w:tcPr>
            <w:tcW w:w="1080" w:type="dxa"/>
            <w:vAlign w:val="bottom"/>
          </w:tcPr>
          <w:p>
            <w:pPr>
              <w:jc w:val="right"/>
              <w:ind w:right="17"/>
              <w:spacing w:after="0"/>
              <w:rPr>
                <w:sz w:val="20"/>
                <w:szCs w:val="20"/>
                <w:color w:val="auto"/>
              </w:rPr>
            </w:pPr>
            <w:r>
              <w:rPr>
                <w:rFonts w:ascii="Arial" w:cs="Arial" w:eastAsia="Arial" w:hAnsi="Arial"/>
                <w:sz w:val="13"/>
                <w:szCs w:val="13"/>
                <w:i w:val="1"/>
                <w:iCs w:val="1"/>
                <w:color w:val="auto"/>
              </w:rPr>
              <w:t>(33)%</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Occupancy expense</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(582)</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i w:val="1"/>
                <w:iCs w:val="1"/>
                <w:color w:val="auto"/>
              </w:rPr>
              <w:t>(14)%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(14)%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(1,877)</w:t>
            </w:r>
          </w:p>
        </w:tc>
        <w:tc>
          <w:tcPr>
            <w:tcW w:w="120" w:type="dxa"/>
            <w:vAlign w:val="bottom"/>
          </w:tcPr>
          <w:p>
            <w:pPr>
              <w:spacing w:after="0"/>
              <w:rPr>
                <w:sz w:val="12"/>
                <w:szCs w:val="12"/>
                <w:color w:val="auto"/>
              </w:rPr>
            </w:pPr>
          </w:p>
        </w:tc>
        <w:tc>
          <w:tcPr>
            <w:tcW w:w="760" w:type="dxa"/>
            <w:vAlign w:val="bottom"/>
          </w:tcPr>
          <w:p>
            <w:pPr>
              <w:jc w:val="right"/>
              <w:ind w:right="38"/>
              <w:spacing w:after="0" w:line="141" w:lineRule="exact"/>
              <w:rPr>
                <w:sz w:val="20"/>
                <w:szCs w:val="20"/>
                <w:color w:val="auto"/>
              </w:rPr>
            </w:pPr>
            <w:r>
              <w:rPr>
                <w:rFonts w:ascii="Arial" w:cs="Arial" w:eastAsia="Arial" w:hAnsi="Arial"/>
                <w:sz w:val="13"/>
                <w:szCs w:val="13"/>
                <w:i w:val="1"/>
                <w:iCs w:val="1"/>
                <w:color w:val="auto"/>
              </w:rPr>
              <w:t>(45)%</w:t>
            </w:r>
          </w:p>
        </w:tc>
        <w:tc>
          <w:tcPr>
            <w:tcW w:w="120" w:type="dxa"/>
            <w:vAlign w:val="bottom"/>
          </w:tcPr>
          <w:p>
            <w:pPr>
              <w:spacing w:after="0"/>
              <w:rPr>
                <w:sz w:val="12"/>
                <w:szCs w:val="12"/>
                <w:color w:val="auto"/>
              </w:rPr>
            </w:pP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(2,044)</w:t>
            </w:r>
          </w:p>
        </w:tc>
        <w:tc>
          <w:tcPr>
            <w:tcW w:w="100" w:type="dxa"/>
            <w:vAlign w:val="bottom"/>
          </w:tcPr>
          <w:p>
            <w:pPr>
              <w:spacing w:after="0"/>
              <w:rPr>
                <w:sz w:val="12"/>
                <w:szCs w:val="12"/>
                <w:color w:val="auto"/>
              </w:rPr>
            </w:pPr>
          </w:p>
        </w:tc>
        <w:tc>
          <w:tcPr>
            <w:tcW w:w="1080" w:type="dxa"/>
            <w:vAlign w:val="bottom"/>
          </w:tcPr>
          <w:p>
            <w:pPr>
              <w:jc w:val="right"/>
              <w:ind w:right="17"/>
              <w:spacing w:after="0" w:line="141" w:lineRule="exact"/>
              <w:rPr>
                <w:sz w:val="20"/>
                <w:szCs w:val="20"/>
                <w:color w:val="auto"/>
              </w:rPr>
            </w:pPr>
            <w:r>
              <w:rPr>
                <w:rFonts w:ascii="Arial" w:cs="Arial" w:eastAsia="Arial" w:hAnsi="Arial"/>
                <w:sz w:val="13"/>
                <w:szCs w:val="13"/>
                <w:i w:val="1"/>
                <w:iCs w:val="1"/>
                <w:color w:val="auto"/>
              </w:rPr>
              <w:t>(47)%</w:t>
            </w:r>
          </w:p>
        </w:tc>
        <w:tc>
          <w:tcPr>
            <w:tcW w:w="100" w:type="dxa"/>
            <w:vAlign w:val="bottom"/>
          </w:tcPr>
          <w:p>
            <w:pPr>
              <w:spacing w:after="0"/>
              <w:rPr>
                <w:sz w:val="12"/>
                <w:szCs w:val="12"/>
                <w:color w:val="auto"/>
              </w:rPr>
            </w:pPr>
          </w:p>
        </w:tc>
        <w:tc>
          <w:tcPr>
            <w:tcW w:w="8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40" w:type="dxa"/>
            <w:vAlign w:val="bottom"/>
            <w:tcBorders>
              <w:bottom w:val="single" w:sz="8" w:color="CCEEFF"/>
            </w:tcBorders>
          </w:tcPr>
          <w:p>
            <w:pPr>
              <w:ind w:left="820"/>
              <w:spacing w:after="0" w:line="129" w:lineRule="exact"/>
              <w:rPr>
                <w:sz w:val="20"/>
                <w:szCs w:val="20"/>
                <w:color w:val="auto"/>
              </w:rPr>
            </w:pPr>
            <w:r>
              <w:rPr>
                <w:rFonts w:ascii="Arial" w:cs="Arial" w:eastAsia="Arial" w:hAnsi="Arial"/>
                <w:sz w:val="13"/>
                <w:szCs w:val="13"/>
                <w:b w:val="1"/>
                <w:bCs w:val="1"/>
                <w:color w:val="auto"/>
                <w:w w:val="86"/>
              </w:rPr>
              <w:t>Total operating expense</w:t>
            </w:r>
          </w:p>
        </w:tc>
        <w:tc>
          <w:tcPr>
            <w:tcW w:w="26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(9,436)</w:t>
            </w: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jc w:val="right"/>
              <w:ind w:right="38"/>
              <w:spacing w:after="0" w:line="129" w:lineRule="exact"/>
              <w:rPr>
                <w:sz w:val="20"/>
                <w:szCs w:val="20"/>
                <w:color w:val="auto"/>
              </w:rPr>
            </w:pPr>
            <w:r>
              <w:rPr>
                <w:rFonts w:ascii="Arial" w:cs="Arial" w:eastAsia="Arial" w:hAnsi="Arial"/>
                <w:sz w:val="13"/>
                <w:szCs w:val="13"/>
                <w:i w:val="1"/>
                <w:iCs w:val="1"/>
                <w:color w:val="auto"/>
              </w:rPr>
              <w:t>(39)%</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(9,042)</w:t>
            </w:r>
          </w:p>
        </w:tc>
        <w:tc>
          <w:tcPr>
            <w:tcW w:w="10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jc w:val="right"/>
              <w:ind w:right="17"/>
              <w:spacing w:after="0" w:line="129" w:lineRule="exact"/>
              <w:rPr>
                <w:sz w:val="20"/>
                <w:szCs w:val="20"/>
                <w:color w:val="auto"/>
              </w:rPr>
            </w:pPr>
            <w:r>
              <w:rPr>
                <w:rFonts w:ascii="Arial" w:cs="Arial" w:eastAsia="Arial" w:hAnsi="Arial"/>
                <w:sz w:val="13"/>
                <w:szCs w:val="13"/>
                <w:i w:val="1"/>
                <w:iCs w:val="1"/>
                <w:color w:val="auto"/>
              </w:rPr>
              <w:t>(42)%</w:t>
            </w: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gridSpan w:val="2"/>
          </w:tcPr>
          <w:p>
            <w:pPr>
              <w:jc w:val="right"/>
              <w:spacing w:after="0" w:line="129" w:lineRule="exact"/>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49"/>
        </w:trPr>
        <w:tc>
          <w:tcPr>
            <w:tcW w:w="48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w w:val="99"/>
              </w:rPr>
              <w:t>DEPRECIATION, AMORTIZATION, GENERAL AND ADMINISTRATIVE EXPENSE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820"/>
              <w:spacing w:after="0"/>
              <w:rPr>
                <w:sz w:val="20"/>
                <w:szCs w:val="20"/>
                <w:color w:val="auto"/>
              </w:rPr>
            </w:pPr>
            <w:r>
              <w:rPr>
                <w:rFonts w:ascii="Arial" w:cs="Arial" w:eastAsia="Arial" w:hAnsi="Arial"/>
                <w:sz w:val="13"/>
                <w:szCs w:val="13"/>
                <w:b w:val="1"/>
                <w:bCs w:val="1"/>
                <w:color w:val="auto"/>
              </w:rPr>
              <w:t>United States</w:t>
            </w:r>
          </w:p>
        </w:tc>
        <w:tc>
          <w:tcPr>
            <w:tcW w:w="2720" w:type="dxa"/>
            <w:vAlign w:val="bottom"/>
            <w:gridSpan w:val="2"/>
          </w:tcPr>
          <w:p>
            <w:pPr>
              <w:ind w:left="40"/>
              <w:spacing w:after="0"/>
              <w:rPr>
                <w:sz w:val="20"/>
                <w:szCs w:val="20"/>
                <w:color w:val="auto"/>
              </w:rPr>
            </w:pPr>
            <w:r>
              <w:rPr>
                <w:rFonts w:ascii="Arial" w:cs="Arial" w:eastAsia="Arial" w:hAnsi="Arial"/>
                <w:sz w:val="13"/>
                <w:szCs w:val="13"/>
                <w:color w:val="auto"/>
              </w:rPr>
              <w:t>Depreciation and amortization</w:t>
            </w:r>
          </w:p>
        </w:tc>
        <w:tc>
          <w:tcPr>
            <w:tcW w:w="34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(615)</w:t>
            </w:r>
          </w:p>
        </w:tc>
        <w:tc>
          <w:tcPr>
            <w:tcW w:w="760" w:type="dxa"/>
            <w:vAlign w:val="bottom"/>
          </w:tcPr>
          <w:p>
            <w:pPr>
              <w:jc w:val="right"/>
              <w:ind w:right="38"/>
              <w:spacing w:after="0"/>
              <w:rPr>
                <w:sz w:val="20"/>
                <w:szCs w:val="20"/>
                <w:color w:val="auto"/>
              </w:rPr>
            </w:pPr>
            <w:r>
              <w:rPr>
                <w:rFonts w:ascii="Arial" w:cs="Arial" w:eastAsia="Arial" w:hAnsi="Arial"/>
                <w:sz w:val="13"/>
                <w:szCs w:val="13"/>
                <w:i w:val="1"/>
                <w:iCs w:val="1"/>
                <w:color w:val="auto"/>
              </w:rPr>
              <w:t>(13)%</w:t>
            </w:r>
          </w:p>
        </w:tc>
        <w:tc>
          <w:tcPr>
            <w:tcW w:w="120" w:type="dxa"/>
            <w:vAlign w:val="bottom"/>
          </w:tcPr>
          <w:p>
            <w:pPr>
              <w:spacing w:after="0"/>
              <w:rPr>
                <w:sz w:val="14"/>
                <w:szCs w:val="14"/>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(343)</w:t>
            </w:r>
          </w:p>
        </w:tc>
        <w:tc>
          <w:tcPr>
            <w:tcW w:w="1080" w:type="dxa"/>
            <w:vAlign w:val="bottom"/>
          </w:tcPr>
          <w:p>
            <w:pPr>
              <w:jc w:val="right"/>
              <w:ind w:right="17"/>
              <w:spacing w:after="0"/>
              <w:rPr>
                <w:sz w:val="20"/>
                <w:szCs w:val="20"/>
                <w:color w:val="auto"/>
              </w:rPr>
            </w:pPr>
            <w:r>
              <w:rPr>
                <w:rFonts w:ascii="Arial" w:cs="Arial" w:eastAsia="Arial" w:hAnsi="Arial"/>
                <w:sz w:val="13"/>
                <w:szCs w:val="13"/>
                <w:i w:val="1"/>
                <w:iCs w:val="1"/>
                <w:color w:val="auto"/>
              </w:rPr>
              <w:t>(10)%</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(79) %</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General and administrative expense</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(774)</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i w:val="1"/>
                <w:iCs w:val="1"/>
                <w:color w:val="auto"/>
              </w:rPr>
              <w:t>(16)%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i w:val="1"/>
                <w:i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(1,389)</w:t>
            </w:r>
          </w:p>
        </w:tc>
        <w:tc>
          <w:tcPr>
            <w:tcW w:w="120" w:type="dxa"/>
            <w:vAlign w:val="bottom"/>
          </w:tcPr>
          <w:p>
            <w:pPr>
              <w:spacing w:after="0"/>
              <w:rPr>
                <w:sz w:val="12"/>
                <w:szCs w:val="12"/>
                <w:color w:val="auto"/>
              </w:rPr>
            </w:pPr>
          </w:p>
        </w:tc>
        <w:tc>
          <w:tcPr>
            <w:tcW w:w="760" w:type="dxa"/>
            <w:vAlign w:val="bottom"/>
          </w:tcPr>
          <w:p>
            <w:pPr>
              <w:jc w:val="right"/>
              <w:ind w:right="38"/>
              <w:spacing w:after="0" w:line="142" w:lineRule="exact"/>
              <w:rPr>
                <w:sz w:val="20"/>
                <w:szCs w:val="20"/>
                <w:color w:val="auto"/>
              </w:rPr>
            </w:pPr>
            <w:r>
              <w:rPr>
                <w:rFonts w:ascii="Arial" w:cs="Arial" w:eastAsia="Arial" w:hAnsi="Arial"/>
                <w:sz w:val="9"/>
                <w:szCs w:val="9"/>
                <w:i w:val="1"/>
                <w:iCs w:val="1"/>
                <w:color w:val="auto"/>
              </w:rPr>
              <w:t>(29)</w:t>
            </w:r>
            <w:r>
              <w:rPr>
                <w:rFonts w:ascii="Arial" w:cs="Arial" w:eastAsia="Arial" w:hAnsi="Arial"/>
                <w:sz w:val="16"/>
                <w:szCs w:val="16"/>
                <w:i w:val="1"/>
                <w:iCs w:val="1"/>
                <w:color w:val="auto"/>
                <w:vertAlign w:val="superscript"/>
              </w:rPr>
              <w:t>%</w:t>
            </w:r>
          </w:p>
        </w:tc>
        <w:tc>
          <w:tcPr>
            <w:tcW w:w="120" w:type="dxa"/>
            <w:vAlign w:val="bottom"/>
          </w:tcPr>
          <w:p>
            <w:pPr>
              <w:spacing w:after="0"/>
              <w:rPr>
                <w:sz w:val="12"/>
                <w:szCs w:val="12"/>
                <w:color w:val="auto"/>
              </w:rPr>
            </w:pP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(337)</w:t>
            </w:r>
          </w:p>
        </w:tc>
        <w:tc>
          <w:tcPr>
            <w:tcW w:w="100" w:type="dxa"/>
            <w:vAlign w:val="bottom"/>
          </w:tcPr>
          <w:p>
            <w:pPr>
              <w:spacing w:after="0"/>
              <w:rPr>
                <w:sz w:val="12"/>
                <w:szCs w:val="12"/>
                <w:color w:val="auto"/>
              </w:rPr>
            </w:pPr>
          </w:p>
        </w:tc>
        <w:tc>
          <w:tcPr>
            <w:tcW w:w="1080" w:type="dxa"/>
            <w:vAlign w:val="bottom"/>
          </w:tcPr>
          <w:p>
            <w:pPr>
              <w:jc w:val="right"/>
              <w:ind w:right="17"/>
              <w:spacing w:after="0" w:line="141" w:lineRule="exact"/>
              <w:rPr>
                <w:sz w:val="20"/>
                <w:szCs w:val="20"/>
                <w:color w:val="auto"/>
              </w:rPr>
            </w:pPr>
            <w:r>
              <w:rPr>
                <w:rFonts w:ascii="Arial" w:cs="Arial" w:eastAsia="Arial" w:hAnsi="Arial"/>
                <w:sz w:val="13"/>
                <w:szCs w:val="13"/>
                <w:i w:val="1"/>
                <w:iCs w:val="1"/>
                <w:color w:val="auto"/>
              </w:rPr>
              <w:t>(10)%</w:t>
            </w:r>
          </w:p>
        </w:tc>
        <w:tc>
          <w:tcPr>
            <w:tcW w:w="100" w:type="dxa"/>
            <w:vAlign w:val="bottom"/>
          </w:tcPr>
          <w:p>
            <w:pPr>
              <w:spacing w:after="0"/>
              <w:rPr>
                <w:sz w:val="12"/>
                <w:szCs w:val="12"/>
                <w:color w:val="auto"/>
              </w:rPr>
            </w:pPr>
          </w:p>
        </w:tc>
        <w:tc>
          <w:tcPr>
            <w:tcW w:w="8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Australia</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34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(2,693)</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i w:val="1"/>
                <w:iCs w:val="1"/>
                <w:color w:val="auto"/>
              </w:rPr>
              <w:t>(18)%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(2,221)</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(16)%</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Arial" w:cs="Arial" w:eastAsia="Arial" w:hAnsi="Arial"/>
                <w:sz w:val="13"/>
                <w:szCs w:val="13"/>
                <w:color w:val="auto"/>
              </w:rPr>
              <w:t>General and administrative expense</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(1,367)</w:t>
            </w:r>
          </w:p>
        </w:tc>
        <w:tc>
          <w:tcPr>
            <w:tcW w:w="760" w:type="dxa"/>
            <w:vAlign w:val="bottom"/>
          </w:tcPr>
          <w:p>
            <w:pPr>
              <w:jc w:val="right"/>
              <w:ind w:right="38"/>
              <w:spacing w:after="0"/>
              <w:rPr>
                <w:sz w:val="20"/>
                <w:szCs w:val="20"/>
                <w:color w:val="auto"/>
              </w:rPr>
            </w:pPr>
            <w:r>
              <w:rPr>
                <w:rFonts w:ascii="Arial" w:cs="Arial" w:eastAsia="Arial" w:hAnsi="Arial"/>
                <w:sz w:val="13"/>
                <w:szCs w:val="13"/>
                <w:i w:val="1"/>
                <w:iCs w:val="1"/>
                <w:color w:val="auto"/>
              </w:rPr>
              <w:t>(9)%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(1,108)</w:t>
            </w:r>
          </w:p>
        </w:tc>
        <w:tc>
          <w:tcPr>
            <w:tcW w:w="1080" w:type="dxa"/>
            <w:vAlign w:val="bottom"/>
          </w:tcPr>
          <w:p>
            <w:pPr>
              <w:jc w:val="right"/>
              <w:ind w:right="17"/>
              <w:spacing w:after="0"/>
              <w:rPr>
                <w:sz w:val="20"/>
                <w:szCs w:val="20"/>
                <w:color w:val="auto"/>
              </w:rPr>
            </w:pPr>
            <w:r>
              <w:rPr>
                <w:rFonts w:ascii="Arial" w:cs="Arial" w:eastAsia="Arial" w:hAnsi="Arial"/>
                <w:sz w:val="13"/>
                <w:szCs w:val="13"/>
                <w:i w:val="1"/>
                <w:iCs w:val="1"/>
                <w:color w:val="auto"/>
              </w:rPr>
              <w:t>(8)%</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tcBorders>
            <w:shd w:val="clear" w:color="auto" w:fill="CCEEFF"/>
          </w:tcPr>
          <w:p>
            <w:pPr>
              <w:spacing w:after="0"/>
              <w:rPr>
                <w:sz w:val="12"/>
                <w:szCs w:val="12"/>
                <w:color w:val="auto"/>
              </w:rPr>
            </w:pPr>
          </w:p>
        </w:tc>
        <w:tc>
          <w:tcPr>
            <w:tcW w:w="26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(4,060)</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jc w:val="right"/>
              <w:ind w:right="38"/>
              <w:spacing w:after="0" w:line="142" w:lineRule="exact"/>
              <w:rPr>
                <w:sz w:val="20"/>
                <w:szCs w:val="20"/>
                <w:color w:val="auto"/>
              </w:rPr>
            </w:pPr>
            <w:r>
              <w:rPr>
                <w:rFonts w:ascii="Arial" w:cs="Arial" w:eastAsia="Arial" w:hAnsi="Arial"/>
                <w:sz w:val="9"/>
                <w:szCs w:val="9"/>
                <w:i w:val="1"/>
                <w:iCs w:val="1"/>
                <w:color w:val="auto"/>
              </w:rPr>
              <w:t>(27)</w:t>
            </w:r>
            <w:r>
              <w:rPr>
                <w:rFonts w:ascii="Arial" w:cs="Arial" w:eastAsia="Arial" w:hAnsi="Arial"/>
                <w:sz w:val="16"/>
                <w:szCs w:val="16"/>
                <w:i w:val="1"/>
                <w:iCs w:val="1"/>
                <w:color w:val="auto"/>
                <w:vertAlign w:val="superscript"/>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(3,329)</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jc w:val="right"/>
              <w:ind w:right="17"/>
              <w:spacing w:after="0" w:line="141" w:lineRule="exact"/>
              <w:rPr>
                <w:sz w:val="20"/>
                <w:szCs w:val="20"/>
                <w:color w:val="auto"/>
              </w:rPr>
            </w:pPr>
            <w:r>
              <w:rPr>
                <w:rFonts w:ascii="Arial" w:cs="Arial" w:eastAsia="Arial" w:hAnsi="Arial"/>
                <w:sz w:val="13"/>
                <w:szCs w:val="13"/>
                <w:i w:val="1"/>
                <w:iCs w:val="1"/>
                <w:color w:val="auto"/>
              </w:rPr>
              <w:t>(24)%</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62"/>
        </w:trPr>
        <w:tc>
          <w:tcPr>
            <w:tcW w:w="2140" w:type="dxa"/>
            <w:vAlign w:val="bottom"/>
          </w:tcPr>
          <w:p>
            <w:pPr>
              <w:ind w:left="820"/>
              <w:spacing w:after="0"/>
              <w:rPr>
                <w:sz w:val="20"/>
                <w:szCs w:val="20"/>
                <w:color w:val="auto"/>
              </w:rPr>
            </w:pPr>
            <w:r>
              <w:rPr>
                <w:rFonts w:ascii="Arial" w:cs="Arial" w:eastAsia="Arial" w:hAnsi="Arial"/>
                <w:sz w:val="13"/>
                <w:szCs w:val="13"/>
                <w:b w:val="1"/>
                <w:bCs w:val="1"/>
                <w:color w:val="auto"/>
              </w:rPr>
              <w:t>New Zealand</w:t>
            </w:r>
          </w:p>
        </w:tc>
        <w:tc>
          <w:tcPr>
            <w:tcW w:w="2720" w:type="dxa"/>
            <w:vAlign w:val="bottom"/>
            <w:gridSpan w:val="2"/>
          </w:tcPr>
          <w:p>
            <w:pPr>
              <w:ind w:left="40"/>
              <w:spacing w:after="0"/>
              <w:rPr>
                <w:sz w:val="20"/>
                <w:szCs w:val="20"/>
                <w:color w:val="auto"/>
              </w:rPr>
            </w:pPr>
            <w:r>
              <w:rPr>
                <w:rFonts w:ascii="Arial" w:cs="Arial" w:eastAsia="Arial" w:hAnsi="Arial"/>
                <w:sz w:val="13"/>
                <w:szCs w:val="13"/>
                <w:color w:val="auto"/>
              </w:rPr>
              <w:t>Depreciation and amortization</w:t>
            </w:r>
          </w:p>
        </w:tc>
        <w:tc>
          <w:tcPr>
            <w:tcW w:w="34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(947)</w:t>
            </w:r>
          </w:p>
        </w:tc>
        <w:tc>
          <w:tcPr>
            <w:tcW w:w="760" w:type="dxa"/>
            <w:vAlign w:val="bottom"/>
          </w:tcPr>
          <w:p>
            <w:pPr>
              <w:jc w:val="right"/>
              <w:ind w:right="38"/>
              <w:spacing w:after="0"/>
              <w:rPr>
                <w:sz w:val="20"/>
                <w:szCs w:val="20"/>
                <w:color w:val="auto"/>
              </w:rPr>
            </w:pPr>
            <w:r>
              <w:rPr>
                <w:rFonts w:ascii="Arial" w:cs="Arial" w:eastAsia="Arial" w:hAnsi="Arial"/>
                <w:sz w:val="13"/>
                <w:szCs w:val="13"/>
                <w:i w:val="1"/>
                <w:iCs w:val="1"/>
                <w:color w:val="auto"/>
              </w:rPr>
              <w:t>(23)%</w:t>
            </w:r>
          </w:p>
        </w:tc>
        <w:tc>
          <w:tcPr>
            <w:tcW w:w="120" w:type="dxa"/>
            <w:vAlign w:val="bottom"/>
          </w:tcPr>
          <w:p>
            <w:pPr>
              <w:spacing w:after="0"/>
              <w:rPr>
                <w:sz w:val="14"/>
                <w:szCs w:val="14"/>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(958)</w:t>
            </w:r>
          </w:p>
        </w:tc>
        <w:tc>
          <w:tcPr>
            <w:tcW w:w="1080" w:type="dxa"/>
            <w:vAlign w:val="bottom"/>
          </w:tcPr>
          <w:p>
            <w:pPr>
              <w:jc w:val="right"/>
              <w:ind w:right="17"/>
              <w:spacing w:after="0"/>
              <w:rPr>
                <w:sz w:val="20"/>
                <w:szCs w:val="20"/>
                <w:color w:val="auto"/>
              </w:rPr>
            </w:pPr>
            <w:r>
              <w:rPr>
                <w:rFonts w:ascii="Arial" w:cs="Arial" w:eastAsia="Arial" w:hAnsi="Arial"/>
                <w:sz w:val="13"/>
                <w:szCs w:val="13"/>
                <w:i w:val="1"/>
                <w:iCs w:val="1"/>
                <w:color w:val="auto"/>
              </w:rPr>
              <w:t>(22)%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General and administrative expense</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(947)</w:t>
            </w:r>
          </w:p>
        </w:tc>
        <w:tc>
          <w:tcPr>
            <w:tcW w:w="120" w:type="dxa"/>
            <w:vAlign w:val="bottom"/>
          </w:tcPr>
          <w:p>
            <w:pPr>
              <w:spacing w:after="0"/>
              <w:rPr>
                <w:sz w:val="12"/>
                <w:szCs w:val="12"/>
                <w:color w:val="auto"/>
              </w:rPr>
            </w:pPr>
          </w:p>
        </w:tc>
        <w:tc>
          <w:tcPr>
            <w:tcW w:w="760" w:type="dxa"/>
            <w:vAlign w:val="bottom"/>
          </w:tcPr>
          <w:p>
            <w:pPr>
              <w:jc w:val="right"/>
              <w:ind w:right="38"/>
              <w:spacing w:after="0" w:line="142" w:lineRule="exact"/>
              <w:rPr>
                <w:sz w:val="20"/>
                <w:szCs w:val="20"/>
                <w:color w:val="auto"/>
              </w:rPr>
            </w:pPr>
            <w:r>
              <w:rPr>
                <w:rFonts w:ascii="Arial" w:cs="Arial" w:eastAsia="Arial" w:hAnsi="Arial"/>
                <w:sz w:val="9"/>
                <w:szCs w:val="9"/>
                <w:i w:val="1"/>
                <w:iCs w:val="1"/>
                <w:color w:val="auto"/>
              </w:rPr>
              <w:t>(23)</w:t>
            </w:r>
            <w:r>
              <w:rPr>
                <w:rFonts w:ascii="Arial" w:cs="Arial" w:eastAsia="Arial" w:hAnsi="Arial"/>
                <w:sz w:val="16"/>
                <w:szCs w:val="16"/>
                <w:i w:val="1"/>
                <w:iCs w:val="1"/>
                <w:color w:val="auto"/>
                <w:vertAlign w:val="superscript"/>
              </w:rPr>
              <w:t>%</w:t>
            </w:r>
          </w:p>
        </w:tc>
        <w:tc>
          <w:tcPr>
            <w:tcW w:w="120" w:type="dxa"/>
            <w:vAlign w:val="bottom"/>
          </w:tcPr>
          <w:p>
            <w:pPr>
              <w:spacing w:after="0"/>
              <w:rPr>
                <w:sz w:val="12"/>
                <w:szCs w:val="12"/>
                <w:color w:val="auto"/>
              </w:rPr>
            </w:pP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(1,280)</w:t>
            </w:r>
          </w:p>
        </w:tc>
        <w:tc>
          <w:tcPr>
            <w:tcW w:w="100" w:type="dxa"/>
            <w:vAlign w:val="bottom"/>
          </w:tcPr>
          <w:p>
            <w:pPr>
              <w:spacing w:after="0"/>
              <w:rPr>
                <w:sz w:val="12"/>
                <w:szCs w:val="12"/>
                <w:color w:val="auto"/>
              </w:rPr>
            </w:pPr>
          </w:p>
        </w:tc>
        <w:tc>
          <w:tcPr>
            <w:tcW w:w="1080" w:type="dxa"/>
            <w:vAlign w:val="bottom"/>
          </w:tcPr>
          <w:p>
            <w:pPr>
              <w:jc w:val="right"/>
              <w:ind w:right="17"/>
              <w:spacing w:after="0" w:line="141" w:lineRule="exact"/>
              <w:rPr>
                <w:sz w:val="20"/>
                <w:szCs w:val="20"/>
                <w:color w:val="auto"/>
              </w:rPr>
            </w:pPr>
            <w:r>
              <w:rPr>
                <w:rFonts w:ascii="Arial" w:cs="Arial" w:eastAsia="Arial" w:hAnsi="Arial"/>
                <w:sz w:val="13"/>
                <w:szCs w:val="13"/>
                <w:i w:val="1"/>
                <w:iCs w:val="1"/>
                <w:color w:val="auto"/>
              </w:rPr>
              <w:t>(30)%</w:t>
            </w:r>
          </w:p>
        </w:tc>
        <w:tc>
          <w:tcPr>
            <w:tcW w:w="10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26</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shd w:val="clear" w:color="auto" w:fill="CCEEFF"/>
          </w:tcPr>
          <w:p>
            <w:pPr>
              <w:spacing w:after="0"/>
              <w:rPr>
                <w:sz w:val="14"/>
                <w:szCs w:val="14"/>
                <w:color w:val="auto"/>
              </w:rPr>
            </w:pPr>
          </w:p>
        </w:tc>
        <w:tc>
          <w:tcPr>
            <w:tcW w:w="26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140" w:type="dxa"/>
            <w:vAlign w:val="bottom"/>
          </w:tcPr>
          <w:p>
            <w:pPr>
              <w:spacing w:after="0" w:line="91" w:lineRule="exact"/>
              <w:rPr>
                <w:sz w:val="20"/>
                <w:szCs w:val="20"/>
                <w:color w:val="auto"/>
              </w:rPr>
            </w:pPr>
            <w:r>
              <w:rPr>
                <w:rFonts w:ascii="Arial" w:cs="Arial" w:eastAsia="Arial" w:hAnsi="Arial"/>
                <w:sz w:val="9"/>
                <w:szCs w:val="9"/>
                <w:b w:val="1"/>
                <w:bCs w:val="1"/>
                <w:color w:val="auto"/>
              </w:rPr>
              <w:t>Total</w:t>
            </w:r>
          </w:p>
        </w:tc>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line="135" w:lineRule="exact"/>
              <w:rPr>
                <w:sz w:val="20"/>
                <w:szCs w:val="20"/>
                <w:color w:val="auto"/>
              </w:rPr>
            </w:pPr>
            <w:r>
              <w:rPr>
                <w:rFonts w:ascii="Arial" w:cs="Arial" w:eastAsia="Arial" w:hAnsi="Arial"/>
                <w:sz w:val="13"/>
                <w:szCs w:val="13"/>
                <w:b w:val="1"/>
                <w:bCs w:val="1"/>
                <w:color w:val="auto"/>
              </w:rPr>
              <w:t>depreciation,</w:t>
            </w:r>
          </w:p>
        </w:tc>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line="135" w:lineRule="exact"/>
              <w:rPr>
                <w:sz w:val="20"/>
                <w:szCs w:val="20"/>
                <w:color w:val="auto"/>
              </w:rPr>
            </w:pPr>
            <w:r>
              <w:rPr>
                <w:rFonts w:ascii="Arial" w:cs="Arial" w:eastAsia="Arial" w:hAnsi="Arial"/>
                <w:sz w:val="13"/>
                <w:szCs w:val="13"/>
                <w:b w:val="1"/>
                <w:bCs w:val="1"/>
                <w:color w:val="auto"/>
              </w:rPr>
              <w:t>amortization,</w:t>
            </w:r>
          </w:p>
        </w:tc>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line="135" w:lineRule="exact"/>
              <w:rPr>
                <w:sz w:val="20"/>
                <w:szCs w:val="20"/>
                <w:color w:val="auto"/>
              </w:rPr>
            </w:pPr>
            <w:r>
              <w:rPr>
                <w:rFonts w:ascii="Arial" w:cs="Arial" w:eastAsia="Arial" w:hAnsi="Arial"/>
                <w:sz w:val="13"/>
                <w:szCs w:val="13"/>
                <w:b w:val="1"/>
                <w:bCs w:val="1"/>
                <w:color w:val="auto"/>
              </w:rPr>
              <w:t>and general</w:t>
            </w:r>
          </w:p>
        </w:tc>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line="135" w:lineRule="exact"/>
              <w:rPr>
                <w:sz w:val="20"/>
                <w:szCs w:val="20"/>
                <w:color w:val="auto"/>
              </w:rPr>
            </w:pPr>
            <w:r>
              <w:rPr>
                <w:rFonts w:ascii="Arial" w:cs="Arial" w:eastAsia="Arial" w:hAnsi="Arial"/>
                <w:sz w:val="13"/>
                <w:szCs w:val="13"/>
                <w:b w:val="1"/>
                <w:bCs w:val="1"/>
                <w:color w:val="auto"/>
              </w:rPr>
              <w:t>and</w:t>
            </w:r>
          </w:p>
        </w:tc>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line="135" w:lineRule="exact"/>
              <w:rPr>
                <w:sz w:val="20"/>
                <w:szCs w:val="20"/>
                <w:color w:val="auto"/>
              </w:rPr>
            </w:pPr>
            <w:r>
              <w:rPr>
                <w:rFonts w:ascii="Arial" w:cs="Arial" w:eastAsia="Arial" w:hAnsi="Arial"/>
                <w:sz w:val="13"/>
                <w:szCs w:val="13"/>
                <w:b w:val="1"/>
                <w:bCs w:val="1"/>
                <w:color w:val="auto"/>
              </w:rPr>
              <w:t>administrative</w:t>
            </w:r>
          </w:p>
        </w:tc>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vMerge w:val="restart"/>
          </w:tcPr>
          <w:p>
            <w:pPr>
              <w:jc w:val="right"/>
              <w:ind w:right="173"/>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(6,396)</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vMerge w:val="restart"/>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(4,946)</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line="140" w:lineRule="exact"/>
              <w:rPr>
                <w:sz w:val="20"/>
                <w:szCs w:val="20"/>
                <w:color w:val="auto"/>
              </w:rPr>
            </w:pPr>
            <w:r>
              <w:rPr>
                <w:rFonts w:ascii="Arial" w:cs="Arial" w:eastAsia="Arial" w:hAnsi="Arial"/>
                <w:sz w:val="13"/>
                <w:szCs w:val="13"/>
                <w:b w:val="1"/>
                <w:bCs w:val="1"/>
                <w:color w:val="auto"/>
              </w:rPr>
              <w:t>expense</w:t>
            </w: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tcPr>
          <w:p>
            <w:pPr>
              <w:jc w:val="right"/>
              <w:ind w:right="38"/>
              <w:spacing w:after="0" w:line="140" w:lineRule="exact"/>
              <w:rPr>
                <w:sz w:val="20"/>
                <w:szCs w:val="20"/>
                <w:color w:val="auto"/>
              </w:rPr>
            </w:pPr>
            <w:r>
              <w:rPr>
                <w:rFonts w:ascii="Arial" w:cs="Arial" w:eastAsia="Arial" w:hAnsi="Arial"/>
                <w:sz w:val="13"/>
                <w:szCs w:val="13"/>
                <w:i w:val="1"/>
                <w:iCs w:val="1"/>
                <w:color w:val="auto"/>
              </w:rPr>
              <w:t>(27)%</w:t>
            </w:r>
          </w:p>
        </w:tc>
        <w:tc>
          <w:tcPr>
            <w:tcW w:w="1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80" w:type="dxa"/>
            <w:vAlign w:val="bottom"/>
          </w:tcPr>
          <w:p>
            <w:pPr>
              <w:jc w:val="right"/>
              <w:ind w:right="17"/>
              <w:spacing w:after="0" w:line="140" w:lineRule="exact"/>
              <w:rPr>
                <w:sz w:val="20"/>
                <w:szCs w:val="20"/>
                <w:color w:val="auto"/>
              </w:rPr>
            </w:pPr>
            <w:r>
              <w:rPr>
                <w:rFonts w:ascii="Arial" w:cs="Arial" w:eastAsia="Arial" w:hAnsi="Arial"/>
                <w:sz w:val="13"/>
                <w:szCs w:val="13"/>
                <w:i w:val="1"/>
                <w:iCs w:val="1"/>
                <w:color w:val="auto"/>
              </w:rPr>
              <w:t>(23)%</w:t>
            </w:r>
          </w:p>
        </w:tc>
        <w:tc>
          <w:tcPr>
            <w:tcW w:w="100" w:type="dxa"/>
            <w:vAlign w:val="bottom"/>
          </w:tcPr>
          <w:p>
            <w:pPr>
              <w:spacing w:after="0"/>
              <w:rPr>
                <w:sz w:val="12"/>
                <w:szCs w:val="12"/>
                <w:color w:val="auto"/>
              </w:rPr>
            </w:pPr>
          </w:p>
        </w:tc>
        <w:tc>
          <w:tcPr>
            <w:tcW w:w="8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(29) %</w:t>
            </w:r>
          </w:p>
        </w:tc>
        <w:tc>
          <w:tcPr>
            <w:tcW w:w="0" w:type="dxa"/>
            <w:vAlign w:val="bottom"/>
          </w:tcPr>
          <w:p>
            <w:pPr>
              <w:spacing w:after="0"/>
              <w:rPr>
                <w:sz w:val="1"/>
                <w:szCs w:val="1"/>
                <w:color w:val="auto"/>
              </w:rPr>
            </w:pPr>
          </w:p>
        </w:tc>
      </w:tr>
      <w:tr>
        <w:trPr>
          <w:trHeight w:val="155"/>
        </w:trPr>
        <w:tc>
          <w:tcPr>
            <w:tcW w:w="2140" w:type="dxa"/>
            <w:vAlign w:val="bottom"/>
            <w:tcBorders>
              <w:top w:val="single" w:sz="8" w:color="CCEEFF"/>
              <w:bottom w:val="single" w:sz="8" w:color="CCEEFF"/>
            </w:tcBorders>
            <w:shd w:val="clear" w:color="auto" w:fill="CCEEFF"/>
          </w:tcPr>
          <w:p>
            <w:pPr>
              <w:spacing w:after="0"/>
              <w:rPr>
                <w:sz w:val="13"/>
                <w:szCs w:val="13"/>
                <w:color w:val="auto"/>
              </w:rPr>
            </w:pPr>
          </w:p>
        </w:tc>
        <w:tc>
          <w:tcPr>
            <w:tcW w:w="26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40" w:type="dxa"/>
            <w:vAlign w:val="bottom"/>
            <w:tcBorders>
              <w:bottom w:val="single" w:sz="8" w:color="CCEEFF"/>
            </w:tcBorders>
          </w:tcPr>
          <w:p>
            <w:pPr>
              <w:ind w:left="820"/>
              <w:spacing w:after="0" w:line="122" w:lineRule="exact"/>
              <w:rPr>
                <w:sz w:val="20"/>
                <w:szCs w:val="20"/>
                <w:color w:val="auto"/>
              </w:rPr>
            </w:pPr>
            <w:r>
              <w:rPr>
                <w:rFonts w:ascii="Arial" w:cs="Arial" w:eastAsia="Arial" w:hAnsi="Arial"/>
                <w:sz w:val="13"/>
                <w:szCs w:val="13"/>
                <w:b w:val="1"/>
                <w:bCs w:val="1"/>
                <w:color w:val="auto"/>
              </w:rPr>
              <w:t>Total expenses</w:t>
            </w:r>
          </w:p>
        </w:tc>
        <w:tc>
          <w:tcPr>
            <w:tcW w:w="26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(15,832)</w:t>
            </w: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jc w:val="right"/>
              <w:ind w:right="38"/>
              <w:spacing w:after="0" w:line="122" w:lineRule="exact"/>
              <w:rPr>
                <w:sz w:val="20"/>
                <w:szCs w:val="20"/>
                <w:color w:val="auto"/>
              </w:rPr>
            </w:pPr>
            <w:r>
              <w:rPr>
                <w:rFonts w:ascii="Arial" w:cs="Arial" w:eastAsia="Arial" w:hAnsi="Arial"/>
                <w:sz w:val="13"/>
                <w:szCs w:val="13"/>
                <w:i w:val="1"/>
                <w:iCs w:val="1"/>
                <w:color w:val="auto"/>
              </w:rPr>
              <w:t>(66)%</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(13,988)</w:t>
            </w:r>
          </w:p>
        </w:tc>
        <w:tc>
          <w:tcPr>
            <w:tcW w:w="10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jc w:val="right"/>
              <w:ind w:right="17"/>
              <w:spacing w:after="0" w:line="122" w:lineRule="exact"/>
              <w:rPr>
                <w:sz w:val="20"/>
                <w:szCs w:val="20"/>
                <w:color w:val="auto"/>
              </w:rPr>
            </w:pPr>
            <w:r>
              <w:rPr>
                <w:rFonts w:ascii="Arial" w:cs="Arial" w:eastAsia="Arial" w:hAnsi="Arial"/>
                <w:sz w:val="13"/>
                <w:szCs w:val="13"/>
                <w:i w:val="1"/>
                <w:iCs w:val="1"/>
                <w:color w:val="auto"/>
              </w:rPr>
              <w:t>(66)%</w:t>
            </w: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gridSpan w:val="2"/>
          </w:tcPr>
          <w:p>
            <w:pPr>
              <w:jc w:val="right"/>
              <w:spacing w:after="0" w:line="122" w:lineRule="exact"/>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820"/>
              <w:spacing w:after="0"/>
              <w:rPr>
                <w:sz w:val="20"/>
                <w:szCs w:val="20"/>
                <w:color w:val="auto"/>
              </w:rPr>
            </w:pPr>
            <w:r>
              <w:rPr>
                <w:rFonts w:ascii="Arial" w:cs="Arial" w:eastAsia="Arial" w:hAnsi="Arial"/>
                <w:sz w:val="13"/>
                <w:szCs w:val="13"/>
                <w:b w:val="1"/>
                <w:bCs w:val="1"/>
                <w:color w:val="auto"/>
              </w:rPr>
              <w:t>United States</w:t>
            </w:r>
          </w:p>
        </w:tc>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1,198</w:t>
            </w:r>
          </w:p>
        </w:tc>
        <w:tc>
          <w:tcPr>
            <w:tcW w:w="120" w:type="dxa"/>
            <w:vAlign w:val="bottom"/>
          </w:tcPr>
          <w:p>
            <w:pPr>
              <w:spacing w:after="0"/>
              <w:rPr>
                <w:sz w:val="14"/>
                <w:szCs w:val="14"/>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i w:val="1"/>
                <w:iCs w:val="1"/>
                <w:color w:val="auto"/>
              </w:rPr>
              <w:t>25 %</w:t>
            </w:r>
          </w:p>
        </w:tc>
        <w:tc>
          <w:tcPr>
            <w:tcW w:w="120" w:type="dxa"/>
            <w:vAlign w:val="bottom"/>
          </w:tcPr>
          <w:p>
            <w:pPr>
              <w:spacing w:after="0"/>
              <w:rPr>
                <w:sz w:val="14"/>
                <w:szCs w:val="14"/>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689</w:t>
            </w:r>
          </w:p>
        </w:tc>
        <w:tc>
          <w:tcPr>
            <w:tcW w:w="10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i w:val="1"/>
                <w:iCs w:val="1"/>
                <w:color w:val="auto"/>
              </w:rPr>
              <w:t>21 %</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Australia</w:t>
            </w:r>
          </w:p>
        </w:tc>
        <w:tc>
          <w:tcPr>
            <w:tcW w:w="2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5,623</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i w:val="1"/>
                <w:iCs w:val="1"/>
                <w:color w:val="auto"/>
              </w:rPr>
              <w:t>37 %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41 %</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56"/>
        </w:trPr>
        <w:tc>
          <w:tcPr>
            <w:tcW w:w="2140" w:type="dxa"/>
            <w:vAlign w:val="bottom"/>
            <w:tcBorders>
              <w:bottom w:val="single" w:sz="8" w:color="CCEEFF"/>
            </w:tcBorders>
          </w:tcPr>
          <w:p>
            <w:pPr>
              <w:ind w:left="820"/>
              <w:spacing w:after="0"/>
              <w:rPr>
                <w:sz w:val="20"/>
                <w:szCs w:val="20"/>
                <w:color w:val="auto"/>
              </w:rPr>
            </w:pPr>
            <w:r>
              <w:rPr>
                <w:rFonts w:ascii="Arial" w:cs="Arial" w:eastAsia="Arial" w:hAnsi="Arial"/>
                <w:sz w:val="13"/>
                <w:szCs w:val="13"/>
                <w:b w:val="1"/>
                <w:bCs w:val="1"/>
                <w:color w:val="auto"/>
              </w:rPr>
              <w:t>New Zealand</w:t>
            </w:r>
          </w:p>
        </w:tc>
        <w:tc>
          <w:tcPr>
            <w:tcW w:w="26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1,335</w:t>
            </w: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ind w:right="38"/>
              <w:spacing w:after="0"/>
              <w:rPr>
                <w:sz w:val="20"/>
                <w:szCs w:val="20"/>
                <w:color w:val="auto"/>
              </w:rPr>
            </w:pPr>
            <w:r>
              <w:rPr>
                <w:rFonts w:ascii="Arial" w:cs="Arial" w:eastAsia="Arial" w:hAnsi="Arial"/>
                <w:sz w:val="13"/>
                <w:szCs w:val="13"/>
                <w:i w:val="1"/>
                <w:iCs w:val="1"/>
                <w:color w:val="auto"/>
              </w:rPr>
              <w:t>32 %</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i w:val="1"/>
                <w:iCs w:val="1"/>
                <w:color w:val="auto"/>
              </w:rPr>
              <w:t>23 %</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140" w:type="dxa"/>
            <w:vAlign w:val="bottom"/>
            <w:tcBorders>
              <w:bottom w:val="single" w:sz="8" w:color="CCEEFF"/>
            </w:tcBorders>
            <w:shd w:val="clear" w:color="auto" w:fill="CCEEFF"/>
          </w:tcPr>
          <w:p>
            <w:pPr>
              <w:ind w:left="820"/>
              <w:spacing w:after="0" w:line="135" w:lineRule="exact"/>
              <w:rPr>
                <w:sz w:val="20"/>
                <w:szCs w:val="20"/>
                <w:color w:val="auto"/>
              </w:rPr>
            </w:pPr>
            <w:r>
              <w:rPr>
                <w:rFonts w:ascii="Arial" w:cs="Arial" w:eastAsia="Arial" w:hAnsi="Arial"/>
                <w:sz w:val="13"/>
                <w:szCs w:val="13"/>
                <w:b w:val="1"/>
                <w:bCs w:val="1"/>
                <w:color w:val="auto"/>
                <w:w w:val="90"/>
              </w:rPr>
              <w:t>Total operating income</w:t>
            </w:r>
          </w:p>
        </w:tc>
        <w:tc>
          <w:tcPr>
            <w:tcW w:w="2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8,156</w:t>
            </w: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38"/>
              <w:spacing w:after="0" w:line="135" w:lineRule="exact"/>
              <w:rPr>
                <w:sz w:val="20"/>
                <w:szCs w:val="20"/>
                <w:color w:val="auto"/>
              </w:rPr>
            </w:pPr>
            <w:r>
              <w:rPr>
                <w:rFonts w:ascii="Arial" w:cs="Arial" w:eastAsia="Arial" w:hAnsi="Arial"/>
                <w:sz w:val="13"/>
                <w:szCs w:val="13"/>
                <w:i w:val="1"/>
                <w:iCs w:val="1"/>
                <w:color w:val="auto"/>
              </w:rPr>
              <w:t>34 %</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7,322</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i w:val="1"/>
                <w:iCs w:val="1"/>
                <w:color w:val="auto"/>
              </w:rPr>
              <w:t>34 %</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20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7" w:name="page68"/>
    <w:bookmarkEnd w:id="67"/>
    <w:p>
      <w:pPr>
        <w:ind w:right="200"/>
        <w:spacing w:after="0" w:line="266" w:lineRule="auto"/>
        <w:rPr>
          <w:sz w:val="20"/>
          <w:szCs w:val="20"/>
          <w:color w:val="auto"/>
        </w:rPr>
      </w:pPr>
      <w:r>
        <w:rPr>
          <w:rFonts w:ascii="Arial" w:cs="Arial" w:eastAsia="Arial" w:hAnsi="Arial"/>
          <w:sz w:val="18"/>
          <w:szCs w:val="18"/>
          <w:b w:val="1"/>
          <w:bCs w:val="1"/>
          <w:u w:val="single" w:color="auto"/>
          <w:color w:val="auto"/>
        </w:rPr>
        <w:t>Real Estate</w:t>
      </w:r>
      <w:r>
        <w:rPr>
          <w:rFonts w:ascii="Arial" w:cs="Arial" w:eastAsia="Arial" w:hAnsi="Arial"/>
          <w:sz w:val="18"/>
          <w:szCs w:val="18"/>
          <w:b w:val="1"/>
          <w:bCs w:val="1"/>
          <w:color w:val="auto"/>
        </w:rPr>
        <w:t xml:space="preserve"> -For the quarter ending December 31, 2017 v 2016, the following results of operations for the Real Estate segment are as follows:</w:t>
      </w:r>
    </w:p>
    <w:tbl>
      <w:tblPr>
        <w:tblLayout w:type="fixed"/>
        <w:tblInd w:w="0" w:type="dxa"/>
        <w:tblCellMar>
          <w:top w:w="0" w:type="dxa"/>
          <w:left w:w="0" w:type="dxa"/>
          <w:bottom w:w="0" w:type="dxa"/>
          <w:right w:w="0" w:type="dxa"/>
        </w:tblCellMar>
      </w:tblPr>
      <w:tr>
        <w:trPr>
          <w:trHeight w:val="136"/>
        </w:trPr>
        <w:tc>
          <w:tcPr>
            <w:tcW w:w="15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84"/>
              </w:rPr>
              <w:t>2017 vs. 2016</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Favorable /</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20"/>
                <w:szCs w:val="20"/>
                <w:color w:val="auto"/>
              </w:rPr>
            </w:pPr>
            <w:r>
              <w:rPr>
                <w:rFonts w:ascii="Arial" w:cs="Arial" w:eastAsia="Arial" w:hAnsi="Arial"/>
                <w:sz w:val="13"/>
                <w:szCs w:val="13"/>
                <w:color w:val="auto"/>
              </w:rPr>
              <w:t>(Dollars in thousands)</w:t>
            </w: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437"/>
              <w:spacing w:after="0"/>
              <w:rPr>
                <w:sz w:val="20"/>
                <w:szCs w:val="20"/>
                <w:color w:val="auto"/>
              </w:rPr>
            </w:pPr>
            <w:r>
              <w:rPr>
                <w:rFonts w:ascii="Arial" w:cs="Arial" w:eastAsia="Arial" w:hAnsi="Arial"/>
                <w:sz w:val="13"/>
                <w:szCs w:val="13"/>
                <w:b w:val="1"/>
                <w:bCs w:val="1"/>
                <w:color w:val="auto"/>
                <w:w w:val="96"/>
              </w:rPr>
              <w:t>2017</w:t>
            </w:r>
          </w:p>
        </w:tc>
        <w:tc>
          <w:tcPr>
            <w:tcW w:w="18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i w:val="1"/>
                <w:iCs w:val="1"/>
                <w:color w:val="auto"/>
              </w:rPr>
              <w:t>% of Revenue</w:t>
            </w:r>
          </w:p>
        </w:tc>
        <w:tc>
          <w:tcPr>
            <w:tcW w:w="22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i w:val="1"/>
                <w:iCs w:val="1"/>
                <w:color w:val="auto"/>
              </w:rPr>
              <w:t>% of Revenue</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216"/>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2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United States</w:t>
            </w: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Live theater rental and ancillary income</w:t>
            </w:r>
          </w:p>
        </w:tc>
        <w:tc>
          <w:tcPr>
            <w:tcW w:w="460" w:type="dxa"/>
            <w:vAlign w:val="bottom"/>
          </w:tcPr>
          <w:p>
            <w:pPr>
              <w:jc w:val="right"/>
              <w:ind w:right="353"/>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1,492</w:t>
            </w:r>
          </w:p>
        </w:tc>
        <w:tc>
          <w:tcPr>
            <w:tcW w:w="18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98 %</w:t>
            </w:r>
          </w:p>
        </w:tc>
        <w:tc>
          <w:tcPr>
            <w:tcW w:w="16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721</w:t>
            </w:r>
          </w:p>
        </w:tc>
        <w:tc>
          <w:tcPr>
            <w:tcW w:w="14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85 %</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rental income</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2 %</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15 %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 %</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1,517</w:t>
            </w:r>
          </w:p>
        </w:tc>
        <w:tc>
          <w:tcPr>
            <w:tcW w:w="180" w:type="dxa"/>
            <w:vAlign w:val="bottom"/>
          </w:tcPr>
          <w:p>
            <w:pPr>
              <w:spacing w:after="0"/>
              <w:rPr>
                <w:sz w:val="17"/>
                <w:szCs w:val="17"/>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848</w:t>
            </w:r>
          </w:p>
        </w:tc>
        <w:tc>
          <w:tcPr>
            <w:tcW w:w="14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Australia</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rental income</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100 %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CCEEFF"/>
            </w:tcBorders>
          </w:tcPr>
          <w:p>
            <w:pPr>
              <w:ind w:left="160"/>
              <w:spacing w:after="0"/>
              <w:rPr>
                <w:sz w:val="20"/>
                <w:szCs w:val="20"/>
                <w:color w:val="auto"/>
              </w:rPr>
            </w:pPr>
            <w:r>
              <w:rPr>
                <w:rFonts w:ascii="Arial" w:cs="Arial" w:eastAsia="Arial" w:hAnsi="Arial"/>
                <w:sz w:val="13"/>
                <w:szCs w:val="13"/>
                <w:b w:val="1"/>
                <w:bCs w:val="1"/>
                <w:color w:val="auto"/>
              </w:rPr>
              <w:t>New Zealand</w:t>
            </w:r>
          </w:p>
        </w:tc>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Property rental income</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1,143</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97"/>
              <w:spacing w:after="0"/>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883</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29</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b w:val="1"/>
                <w:bCs w:val="1"/>
                <w:color w:val="auto"/>
              </w:rPr>
              <w:t>Total revenue</w:t>
            </w:r>
          </w:p>
        </w:tc>
        <w:tc>
          <w:tcPr>
            <w:tcW w:w="2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6,438</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5,114</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3"/>
                <w:szCs w:val="13"/>
                <w:b w:val="1"/>
                <w:bCs w:val="1"/>
                <w:color w:val="auto"/>
              </w:rPr>
              <w:t>OPERATING EXPENSE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United States</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Live theater cost</w:t>
            </w:r>
          </w:p>
        </w:tc>
        <w:tc>
          <w:tcPr>
            <w:tcW w:w="460" w:type="dxa"/>
            <w:vAlign w:val="bottom"/>
            <w:shd w:val="clear" w:color="auto" w:fill="CCEEFF"/>
          </w:tcPr>
          <w:p>
            <w:pPr>
              <w:jc w:val="right"/>
              <w:ind w:right="35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(271)</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(204)</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Property cost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w:t>
            </w:r>
          </w:p>
        </w:tc>
        <w:tc>
          <w:tcPr>
            <w:tcW w:w="18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(154)</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(18)%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Occupancy expense</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(173)</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(84)</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(339)</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(22)%</w:t>
            </w:r>
          </w:p>
        </w:tc>
        <w:tc>
          <w:tcPr>
            <w:tcW w:w="160" w:type="dxa"/>
            <w:vAlign w:val="bottom"/>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(442)</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(52)%</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Australia</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cost</w:t>
            </w:r>
          </w:p>
        </w:tc>
        <w:tc>
          <w:tcPr>
            <w:tcW w:w="460" w:type="dxa"/>
            <w:vAlign w:val="bottom"/>
            <w:shd w:val="clear" w:color="auto" w:fill="CCEEFF"/>
          </w:tcPr>
          <w:p>
            <w:pPr>
              <w:jc w:val="right"/>
              <w:ind w:right="35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(870)</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(727)</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Occupancy expense</w:t>
            </w:r>
          </w:p>
        </w:tc>
        <w:tc>
          <w:tcPr>
            <w:tcW w:w="4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(642)</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(482)</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(14)%</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(33) %</w:t>
            </w:r>
          </w:p>
        </w:tc>
        <w:tc>
          <w:tcPr>
            <w:tcW w:w="0" w:type="dxa"/>
            <w:vAlign w:val="bottom"/>
          </w:tcPr>
          <w:p>
            <w:pPr>
              <w:spacing w:after="0"/>
              <w:rPr>
                <w:sz w:val="1"/>
                <w:szCs w:val="1"/>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(1,512)</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(40)%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(1,209)</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(36)%</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17"/>
        </w:trPr>
        <w:tc>
          <w:tcPr>
            <w:tcW w:w="1500" w:type="dxa"/>
            <w:vAlign w:val="bottom"/>
          </w:tcPr>
          <w:p>
            <w:pPr>
              <w:ind w:left="160"/>
              <w:spacing w:after="0" w:line="117" w:lineRule="exact"/>
              <w:rPr>
                <w:sz w:val="20"/>
                <w:szCs w:val="20"/>
                <w:color w:val="auto"/>
              </w:rPr>
            </w:pPr>
            <w:r>
              <w:rPr>
                <w:rFonts w:ascii="Arial" w:cs="Arial" w:eastAsia="Arial" w:hAnsi="Arial"/>
                <w:sz w:val="13"/>
                <w:szCs w:val="13"/>
                <w:b w:val="1"/>
                <w:bCs w:val="1"/>
                <w:color w:val="auto"/>
              </w:rPr>
              <w:t>New</w:t>
            </w:r>
          </w:p>
        </w:tc>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Zealand</w:t>
            </w: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Property cost</w:t>
            </w:r>
          </w:p>
        </w:tc>
        <w:tc>
          <w:tcPr>
            <w:tcW w:w="460" w:type="dxa"/>
            <w:vAlign w:val="bottom"/>
          </w:tcPr>
          <w:p>
            <w:pPr>
              <w:jc w:val="right"/>
              <w:ind w:right="35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(184)</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(603)</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(68)%</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Occupancy expense</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(143)</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(160)</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(327)</w:t>
            </w:r>
          </w:p>
        </w:tc>
        <w:tc>
          <w:tcPr>
            <w:tcW w:w="180" w:type="dxa"/>
            <w:vAlign w:val="bottom"/>
          </w:tcPr>
          <w:p>
            <w:pPr>
              <w:spacing w:after="0"/>
              <w:rPr>
                <w:sz w:val="13"/>
                <w:szCs w:val="13"/>
                <w:color w:val="auto"/>
              </w:rPr>
            </w:pPr>
          </w:p>
        </w:tc>
        <w:tc>
          <w:tcPr>
            <w:tcW w:w="860" w:type="dxa"/>
            <w:vAlign w:val="bottom"/>
          </w:tcPr>
          <w:p>
            <w:pPr>
              <w:jc w:val="right"/>
              <w:ind w:right="97"/>
              <w:spacing w:after="0" w:line="141" w:lineRule="exact"/>
              <w:rPr>
                <w:sz w:val="20"/>
                <w:szCs w:val="20"/>
                <w:color w:val="auto"/>
              </w:rPr>
            </w:pPr>
            <w:r>
              <w:rPr>
                <w:rFonts w:ascii="Arial" w:cs="Arial" w:eastAsia="Arial" w:hAnsi="Arial"/>
                <w:sz w:val="13"/>
                <w:szCs w:val="13"/>
                <w:i w:val="1"/>
                <w:iCs w:val="1"/>
                <w:color w:val="auto"/>
              </w:rPr>
              <w:t>(29)%</w:t>
            </w:r>
          </w:p>
        </w:tc>
        <w:tc>
          <w:tcPr>
            <w:tcW w:w="16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(763)</w:t>
            </w:r>
          </w:p>
        </w:tc>
        <w:tc>
          <w:tcPr>
            <w:tcW w:w="140" w:type="dxa"/>
            <w:vAlign w:val="bottom"/>
          </w:tcPr>
          <w:p>
            <w:pPr>
              <w:spacing w:after="0"/>
              <w:rPr>
                <w:sz w:val="13"/>
                <w:szCs w:val="13"/>
                <w:color w:val="auto"/>
              </w:rPr>
            </w:pPr>
          </w:p>
        </w:tc>
        <w:tc>
          <w:tcPr>
            <w:tcW w:w="1160" w:type="dxa"/>
            <w:vAlign w:val="bottom"/>
          </w:tcPr>
          <w:p>
            <w:pPr>
              <w:jc w:val="right"/>
              <w:ind w:right="37"/>
              <w:spacing w:after="0" w:line="141" w:lineRule="exact"/>
              <w:rPr>
                <w:sz w:val="20"/>
                <w:szCs w:val="20"/>
                <w:color w:val="auto"/>
              </w:rPr>
            </w:pPr>
            <w:r>
              <w:rPr>
                <w:rFonts w:ascii="Arial" w:cs="Arial" w:eastAsia="Arial" w:hAnsi="Arial"/>
                <w:sz w:val="13"/>
                <w:szCs w:val="13"/>
                <w:i w:val="1"/>
                <w:iCs w:val="1"/>
                <w:color w:val="auto"/>
              </w:rPr>
              <w:t>(86)%</w:t>
            </w:r>
          </w:p>
        </w:tc>
        <w:tc>
          <w:tcPr>
            <w:tcW w:w="160" w:type="dxa"/>
            <w:vAlign w:val="bottom"/>
          </w:tcPr>
          <w:p>
            <w:pPr>
              <w:spacing w:after="0"/>
              <w:rPr>
                <w:sz w:val="13"/>
                <w:szCs w:val="13"/>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57</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8"/>
        </w:trPr>
        <w:tc>
          <w:tcPr>
            <w:tcW w:w="15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w w:val="88"/>
              </w:rPr>
              <w:t>Total operating expense</w:t>
            </w: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(2,178)</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(34)%</w:t>
            </w:r>
          </w:p>
        </w:tc>
        <w:tc>
          <w:tcPr>
            <w:tcW w:w="160" w:type="dxa"/>
            <w:vAlign w:val="bottom"/>
          </w:tcPr>
          <w:p>
            <w:pPr>
              <w:spacing w:after="0"/>
              <w:rPr>
                <w:sz w:val="15"/>
                <w:szCs w:val="15"/>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(2,414)</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(47)%</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240" w:type="dxa"/>
            <w:vAlign w:val="bottom"/>
            <w:gridSpan w:val="2"/>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w w:val="99"/>
              </w:rPr>
              <w:t>DEPRECIATION, AMORTIZATION, GENERAL AND ADMINISTRATIVE EXPENSE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United States</w:t>
            </w: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Depreciation and amortization</w:t>
            </w:r>
          </w:p>
        </w:tc>
        <w:tc>
          <w:tcPr>
            <w:tcW w:w="460" w:type="dxa"/>
            <w:vAlign w:val="bottom"/>
          </w:tcPr>
          <w:p>
            <w:pPr>
              <w:jc w:val="right"/>
              <w:ind w:right="35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(232)</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(15)%</w:t>
            </w:r>
          </w:p>
        </w:tc>
        <w:tc>
          <w:tcPr>
            <w:tcW w:w="16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(91)</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(11)%</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(155)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General and administrative expense</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(98)</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9 %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auto"/>
            </w:tcBorders>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(330)</w:t>
            </w:r>
          </w:p>
        </w:tc>
        <w:tc>
          <w:tcPr>
            <w:tcW w:w="180" w:type="dxa"/>
            <w:vAlign w:val="bottom"/>
          </w:tcPr>
          <w:p>
            <w:pPr>
              <w:spacing w:after="0"/>
              <w:rPr>
                <w:sz w:val="17"/>
                <w:szCs w:val="17"/>
                <w:color w:val="auto"/>
              </w:rPr>
            </w:pPr>
          </w:p>
        </w:tc>
        <w:tc>
          <w:tcPr>
            <w:tcW w:w="860" w:type="dxa"/>
            <w:vAlign w:val="bottom"/>
          </w:tcPr>
          <w:p>
            <w:pPr>
              <w:jc w:val="right"/>
              <w:ind w:right="97"/>
              <w:spacing w:after="0" w:line="197" w:lineRule="exact"/>
              <w:rPr>
                <w:sz w:val="20"/>
                <w:szCs w:val="20"/>
                <w:color w:val="auto"/>
              </w:rPr>
            </w:pPr>
            <w:r>
              <w:rPr>
                <w:rFonts w:ascii="Arial" w:cs="Arial" w:eastAsia="Arial" w:hAnsi="Arial"/>
                <w:sz w:val="12"/>
                <w:szCs w:val="12"/>
                <w:i w:val="1"/>
                <w:iCs w:val="1"/>
                <w:color w:val="auto"/>
              </w:rPr>
              <w:t>(22)</w:t>
            </w:r>
            <w:r>
              <w:rPr>
                <w:rFonts w:ascii="Arial" w:cs="Arial" w:eastAsia="Arial" w:hAnsi="Arial"/>
                <w:sz w:val="22"/>
                <w:szCs w:val="22"/>
                <w:i w:val="1"/>
                <w:iCs w:val="1"/>
                <w:color w:val="auto"/>
                <w:vertAlign w:val="superscript"/>
              </w:rPr>
              <w:t>%</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(16)</w:t>
            </w:r>
          </w:p>
        </w:tc>
        <w:tc>
          <w:tcPr>
            <w:tcW w:w="140" w:type="dxa"/>
            <w:vAlign w:val="bottom"/>
          </w:tcPr>
          <w:p>
            <w:pPr>
              <w:spacing w:after="0"/>
              <w:rPr>
                <w:sz w:val="17"/>
                <w:szCs w:val="17"/>
                <w:color w:val="auto"/>
              </w:rPr>
            </w:pPr>
          </w:p>
        </w:tc>
        <w:tc>
          <w:tcPr>
            <w:tcW w:w="1160" w:type="dxa"/>
            <w:vAlign w:val="bottom"/>
          </w:tcPr>
          <w:p>
            <w:pPr>
              <w:jc w:val="right"/>
              <w:ind w:right="37"/>
              <w:spacing w:after="0" w:line="141" w:lineRule="exact"/>
              <w:rPr>
                <w:sz w:val="20"/>
                <w:szCs w:val="20"/>
                <w:color w:val="auto"/>
              </w:rPr>
            </w:pPr>
            <w:r>
              <w:rPr>
                <w:rFonts w:ascii="Arial" w:cs="Arial" w:eastAsia="Arial" w:hAnsi="Arial"/>
                <w:sz w:val="13"/>
                <w:szCs w:val="13"/>
                <w:i w:val="1"/>
                <w:iCs w:val="1"/>
                <w:color w:val="auto"/>
              </w:rPr>
              <w:t>(2)%</w:t>
            </w:r>
          </w:p>
        </w:tc>
        <w:tc>
          <w:tcPr>
            <w:tcW w:w="160" w:type="dxa"/>
            <w:vAlign w:val="bottom"/>
          </w:tcPr>
          <w:p>
            <w:pPr>
              <w:spacing w:after="0"/>
              <w:rPr>
                <w:sz w:val="17"/>
                <w:szCs w:val="17"/>
                <w:color w:val="auto"/>
              </w:rPr>
            </w:pPr>
          </w:p>
        </w:tc>
        <w:tc>
          <w:tcPr>
            <w:tcW w:w="8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Australia</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460" w:type="dxa"/>
            <w:vAlign w:val="bottom"/>
            <w:shd w:val="clear" w:color="auto" w:fill="CCEEFF"/>
          </w:tcPr>
          <w:p>
            <w:pPr>
              <w:jc w:val="right"/>
              <w:ind w:right="35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(757)</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(604)</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General and administrative expense</w:t>
            </w:r>
          </w:p>
        </w:tc>
        <w:tc>
          <w:tcPr>
            <w:tcW w:w="4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(372)</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(334)</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(10)%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(1,129)</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jc w:val="right"/>
              <w:ind w:right="97"/>
              <w:spacing w:after="0" w:line="197" w:lineRule="exact"/>
              <w:rPr>
                <w:sz w:val="20"/>
                <w:szCs w:val="20"/>
                <w:color w:val="auto"/>
              </w:rPr>
            </w:pPr>
            <w:r>
              <w:rPr>
                <w:rFonts w:ascii="Arial" w:cs="Arial" w:eastAsia="Arial" w:hAnsi="Arial"/>
                <w:sz w:val="12"/>
                <w:szCs w:val="12"/>
                <w:i w:val="1"/>
                <w:iCs w:val="1"/>
                <w:color w:val="auto"/>
              </w:rPr>
              <w:t>(30)</w:t>
            </w:r>
            <w:r>
              <w:rPr>
                <w:rFonts w:ascii="Arial" w:cs="Arial" w:eastAsia="Arial" w:hAnsi="Arial"/>
                <w:sz w:val="22"/>
                <w:szCs w:val="22"/>
                <w:i w:val="1"/>
                <w:iCs w:val="1"/>
                <w:color w:val="auto"/>
                <w:vertAlign w:val="superscript"/>
              </w:rPr>
              <w:t>%</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(938)</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jc w:val="right"/>
              <w:ind w:right="37"/>
              <w:spacing w:after="0" w:line="141" w:lineRule="exact"/>
              <w:rPr>
                <w:sz w:val="20"/>
                <w:szCs w:val="20"/>
                <w:color w:val="auto"/>
              </w:rPr>
            </w:pPr>
            <w:r>
              <w:rPr>
                <w:rFonts w:ascii="Arial" w:cs="Arial" w:eastAsia="Arial" w:hAnsi="Arial"/>
                <w:sz w:val="13"/>
                <w:szCs w:val="13"/>
                <w:i w:val="1"/>
                <w:iCs w:val="1"/>
                <w:color w:val="auto"/>
              </w:rPr>
              <w:t>(28)%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216"/>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New Zealand</w:t>
            </w:r>
          </w:p>
        </w:tc>
        <w:tc>
          <w:tcPr>
            <w:tcW w:w="2900" w:type="dxa"/>
            <w:vAlign w:val="bottom"/>
            <w:gridSpan w:val="2"/>
          </w:tcPr>
          <w:p>
            <w:pPr>
              <w:ind w:left="40"/>
              <w:spacing w:after="0"/>
              <w:rPr>
                <w:sz w:val="20"/>
                <w:szCs w:val="20"/>
                <w:color w:val="auto"/>
              </w:rPr>
            </w:pPr>
            <w:r>
              <w:rPr>
                <w:rFonts w:ascii="Arial" w:cs="Arial" w:eastAsia="Arial" w:hAnsi="Arial"/>
                <w:sz w:val="13"/>
                <w:szCs w:val="13"/>
                <w:color w:val="auto"/>
              </w:rPr>
              <w:t>Depreciation and amortization</w:t>
            </w:r>
          </w:p>
        </w:tc>
        <w:tc>
          <w:tcPr>
            <w:tcW w:w="460" w:type="dxa"/>
            <w:vAlign w:val="bottom"/>
          </w:tcPr>
          <w:p>
            <w:pPr>
              <w:jc w:val="right"/>
              <w:ind w:right="35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(331)</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(29)%</w:t>
            </w:r>
          </w:p>
        </w:tc>
        <w:tc>
          <w:tcPr>
            <w:tcW w:w="16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(231)</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(26)%</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General and administrative expense</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(271)</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auto"/>
            </w:tcBorders>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(328)</w:t>
            </w:r>
          </w:p>
        </w:tc>
        <w:tc>
          <w:tcPr>
            <w:tcW w:w="180" w:type="dxa"/>
            <w:vAlign w:val="bottom"/>
          </w:tcPr>
          <w:p>
            <w:pPr>
              <w:spacing w:after="0"/>
              <w:rPr>
                <w:sz w:val="17"/>
                <w:szCs w:val="17"/>
                <w:color w:val="auto"/>
              </w:rPr>
            </w:pPr>
          </w:p>
        </w:tc>
        <w:tc>
          <w:tcPr>
            <w:tcW w:w="860" w:type="dxa"/>
            <w:vAlign w:val="bottom"/>
          </w:tcPr>
          <w:p>
            <w:pPr>
              <w:jc w:val="right"/>
              <w:ind w:right="97"/>
              <w:spacing w:after="0" w:line="197" w:lineRule="exact"/>
              <w:rPr>
                <w:sz w:val="20"/>
                <w:szCs w:val="20"/>
                <w:color w:val="auto"/>
              </w:rPr>
            </w:pPr>
            <w:r>
              <w:rPr>
                <w:rFonts w:ascii="Arial" w:cs="Arial" w:eastAsia="Arial" w:hAnsi="Arial"/>
                <w:sz w:val="12"/>
                <w:szCs w:val="12"/>
                <w:i w:val="1"/>
                <w:iCs w:val="1"/>
                <w:color w:val="auto"/>
              </w:rPr>
              <w:t>(29)</w:t>
            </w:r>
            <w:r>
              <w:rPr>
                <w:rFonts w:ascii="Arial" w:cs="Arial" w:eastAsia="Arial" w:hAnsi="Arial"/>
                <w:sz w:val="22"/>
                <w:szCs w:val="22"/>
                <w:i w:val="1"/>
                <w:iCs w:val="1"/>
                <w:color w:val="auto"/>
                <w:vertAlign w:val="superscript"/>
              </w:rPr>
              <w:t>%</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(502)</w:t>
            </w:r>
          </w:p>
        </w:tc>
        <w:tc>
          <w:tcPr>
            <w:tcW w:w="140" w:type="dxa"/>
            <w:vAlign w:val="bottom"/>
          </w:tcPr>
          <w:p>
            <w:pPr>
              <w:spacing w:after="0"/>
              <w:rPr>
                <w:sz w:val="17"/>
                <w:szCs w:val="17"/>
                <w:color w:val="auto"/>
              </w:rPr>
            </w:pPr>
          </w:p>
        </w:tc>
        <w:tc>
          <w:tcPr>
            <w:tcW w:w="1160" w:type="dxa"/>
            <w:vAlign w:val="bottom"/>
          </w:tcPr>
          <w:p>
            <w:pPr>
              <w:jc w:val="right"/>
              <w:ind w:right="37"/>
              <w:spacing w:after="0" w:line="141" w:lineRule="exact"/>
              <w:rPr>
                <w:sz w:val="20"/>
                <w:szCs w:val="20"/>
                <w:color w:val="auto"/>
              </w:rPr>
            </w:pPr>
            <w:r>
              <w:rPr>
                <w:rFonts w:ascii="Arial" w:cs="Arial" w:eastAsia="Arial" w:hAnsi="Arial"/>
                <w:sz w:val="13"/>
                <w:szCs w:val="13"/>
                <w:i w:val="1"/>
                <w:iCs w:val="1"/>
                <w:color w:val="auto"/>
              </w:rPr>
              <w:t>(57)%</w:t>
            </w:r>
          </w:p>
        </w:tc>
        <w:tc>
          <w:tcPr>
            <w:tcW w:w="160" w:type="dxa"/>
            <w:vAlign w:val="bottom"/>
          </w:tcPr>
          <w:p>
            <w:pPr>
              <w:spacing w:after="0"/>
              <w:rPr>
                <w:sz w:val="17"/>
                <w:szCs w:val="17"/>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35</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00" w:type="dxa"/>
            <w:vAlign w:val="bottom"/>
            <w:gridSpan w:val="3"/>
          </w:tcPr>
          <w:p>
            <w:pPr>
              <w:ind w:left="160"/>
              <w:spacing w:after="0"/>
              <w:rPr>
                <w:sz w:val="20"/>
                <w:szCs w:val="20"/>
                <w:color w:val="auto"/>
              </w:rPr>
            </w:pPr>
            <w:r>
              <w:rPr>
                <w:rFonts w:ascii="Arial" w:cs="Arial" w:eastAsia="Arial" w:hAnsi="Arial"/>
                <w:sz w:val="13"/>
                <w:szCs w:val="13"/>
                <w:b w:val="1"/>
                <w:bCs w:val="1"/>
                <w:color w:val="auto"/>
                <w:w w:val="93"/>
              </w:rPr>
              <w:t>Total depreciation, amortization, and general and administrative expense</w:t>
            </w:r>
          </w:p>
        </w:tc>
        <w:tc>
          <w:tcPr>
            <w:tcW w:w="460" w:type="dxa"/>
            <w:vAlign w:val="bottom"/>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(1,787)</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(28)%</w:t>
            </w:r>
          </w:p>
        </w:tc>
        <w:tc>
          <w:tcPr>
            <w:tcW w:w="160" w:type="dxa"/>
            <w:vAlign w:val="bottom"/>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(1,456)</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(28)%</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223"/>
        </w:trPr>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Total expenses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(3,965)</w:t>
            </w: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(62)%</w:t>
            </w:r>
          </w:p>
        </w:tc>
        <w:tc>
          <w:tcPr>
            <w:tcW w:w="160" w:type="dxa"/>
            <w:vAlign w:val="bottom"/>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(3,870)</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(76)%</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216"/>
        </w:trPr>
        <w:tc>
          <w:tcPr>
            <w:tcW w:w="1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United States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ind w:right="353"/>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848</w:t>
            </w:r>
          </w:p>
        </w:tc>
        <w:tc>
          <w:tcPr>
            <w:tcW w:w="18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56 %</w:t>
            </w:r>
          </w:p>
        </w:tc>
        <w:tc>
          <w:tcPr>
            <w:tcW w:w="16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390</w:t>
            </w:r>
          </w:p>
        </w:tc>
        <w:tc>
          <w:tcPr>
            <w:tcW w:w="14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46 %</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Australia</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30 %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37 %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223"/>
        </w:trPr>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New Zealand</w:t>
            </w: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488</w:t>
            </w:r>
          </w:p>
        </w:tc>
        <w:tc>
          <w:tcPr>
            <w:tcW w:w="180" w:type="dxa"/>
            <w:vAlign w:val="bottom"/>
          </w:tcPr>
          <w:p>
            <w:pPr>
              <w:spacing w:after="0"/>
              <w:rPr>
                <w:sz w:val="19"/>
                <w:szCs w:val="19"/>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i w:val="1"/>
                <w:iCs w:val="1"/>
                <w:color w:val="auto"/>
              </w:rPr>
              <w:t>43 %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(382)</w:t>
            </w:r>
          </w:p>
        </w:tc>
        <w:tc>
          <w:tcPr>
            <w:tcW w:w="1160" w:type="dxa"/>
            <w:vAlign w:val="bottom"/>
          </w:tcPr>
          <w:p>
            <w:pPr>
              <w:jc w:val="right"/>
              <w:ind w:right="37"/>
              <w:spacing w:after="0"/>
              <w:rPr>
                <w:sz w:val="20"/>
                <w:szCs w:val="20"/>
                <w:color w:val="auto"/>
              </w:rPr>
            </w:pPr>
            <w:r>
              <w:rPr>
                <w:rFonts w:ascii="Arial" w:cs="Arial" w:eastAsia="Arial" w:hAnsi="Arial"/>
                <w:sz w:val="13"/>
                <w:szCs w:val="13"/>
                <w:i w:val="1"/>
                <w:iCs w:val="1"/>
                <w:color w:val="auto"/>
              </w:rPr>
              <w:t>(43)%</w:t>
            </w: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3"/>
                <w:szCs w:val="13"/>
                <w:b w:val="1"/>
                <w:bCs w:val="1"/>
                <w:color w:val="auto"/>
                <w:w w:val="92"/>
              </w:rPr>
              <w:t>Total operating income</w:t>
            </w:r>
          </w:p>
        </w:tc>
        <w:tc>
          <w:tcPr>
            <w:tcW w:w="27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2,472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i w:val="1"/>
                <w:iCs w:val="1"/>
                <w:color w:val="auto"/>
              </w:rPr>
              <w:t>38 %</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24 %</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 operating income</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Real Estate segment operating income increased by 11%, or $834,000, to $8.2 million for the year ended December 31, 2017 compared to 2016, primarily attributable to: (i) $1.4 million in fees recovered as part of the STOMP arbitration award settlement ($1.8 million of fees recovered revenue in 2017, including the final settlement payment received in March 2018, less $415,000 in legal fee cost recovery recorded in 2016). This was offset by an increase in general and administrative costs. Please refer below for further explanation.</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quarter ended December 31, 2017 real estate operating income increased 99% to $2.5 million compared to the same period in 2016. In the fourth quarter of 2017, we recognized STOMP arbitration award settlement for approximately $700,000 for proceeds received in the first quarter in 2018. Additionally, for the fourth quarter 2017, the receipt of property rental for a full quarter at Courtenay were not received in 2016 due to the Wellington earthquake.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Real estate revenue for the year ended December 31, 2017 increased by 13% or $2.7 million, mainly driven by fees recovered of</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$1.8 million in relation to the STOMP arbitration award settlement, increased rental income as part of the expansion of our Newmarket site in Brisbane Australia, as well as additional rental income from the Newmarket office building purchased in November 2016, the recognition of business interruption insurance on our Courtenay Central property and parking structure, as well as the impact of the favorable foreign exchange rates on our Australia and New Zealand operations. This was partially offset by the decrease in revenue from our Courtenay Central ETC due to damage suffered in the Wellington earthquake and result in closure of the center, and a reduction in revenue from our live theatre operations. Shown below is the revenue breakdown by country: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 of</w:t>
            </w:r>
          </w:p>
        </w:tc>
        <w:tc>
          <w:tcPr>
            <w:tcW w:w="22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7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i w:val="1"/>
                <w:iCs w:val="1"/>
                <w:color w:val="auto"/>
              </w:rPr>
              <w:t>Revenue</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3"/>
                <w:szCs w:val="13"/>
                <w:i w:val="1"/>
                <w:iCs w:val="1"/>
                <w:color w:val="auto"/>
              </w:rPr>
              <w:t xml:space="preserve">20 </w:t>
            </w:r>
            <w:r>
              <w:rPr>
                <w:rFonts w:ascii="Arial" w:cs="Arial" w:eastAsia="Arial" w:hAnsi="Arial"/>
                <w:sz w:val="23"/>
                <w:szCs w:val="23"/>
                <w:i w:val="1"/>
                <w:iCs w:val="1"/>
                <w:color w:val="auto"/>
                <w:vertAlign w:val="superscript"/>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3"/>
                <w:szCs w:val="13"/>
                <w:i w:val="1"/>
                <w:iCs w:val="1"/>
                <w:color w:val="auto"/>
              </w:rPr>
              <w:t xml:space="preserve">15 </w:t>
            </w:r>
            <w:r>
              <w:rPr>
                <w:rFonts w:ascii="Arial" w:cs="Arial" w:eastAsia="Arial" w:hAnsi="Arial"/>
                <w:sz w:val="23"/>
                <w:szCs w:val="23"/>
                <w:i w:val="1"/>
                <w:iCs w:val="1"/>
                <w:color w:val="auto"/>
                <w:vertAlign w:val="superscript"/>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line="202" w:lineRule="exact"/>
              <w:rPr>
                <w:sz w:val="20"/>
                <w:szCs w:val="20"/>
                <w:color w:val="auto"/>
              </w:rPr>
            </w:pPr>
            <w:r>
              <w:rPr>
                <w:rFonts w:ascii="Arial" w:cs="Arial" w:eastAsia="Arial" w:hAnsi="Arial"/>
                <w:sz w:val="13"/>
                <w:szCs w:val="13"/>
                <w:color w:val="auto"/>
              </w:rPr>
              <w:t xml:space="preserve">45 </w:t>
            </w:r>
            <w:r>
              <w:rPr>
                <w:rFonts w:ascii="Arial" w:cs="Arial" w:eastAsia="Arial" w:hAnsi="Arial"/>
                <w:sz w:val="23"/>
                <w:szCs w:val="23"/>
                <w:i w:val="1"/>
                <w:iCs w:val="1"/>
                <w:color w:val="auto"/>
                <w:vertAlign w:val="superscript"/>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4"/>
                <w:szCs w:val="14"/>
                <w:color w:val="auto"/>
              </w:rPr>
              <w:t>Australia</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15,089</w:t>
            </w:r>
          </w:p>
        </w:tc>
        <w:tc>
          <w:tcPr>
            <w:tcW w:w="920" w:type="dxa"/>
            <w:vAlign w:val="bottom"/>
            <w:gridSpan w:val="2"/>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63 </w:t>
            </w:r>
            <w:r>
              <w:rPr>
                <w:rFonts w:ascii="Arial" w:cs="Arial" w:eastAsia="Arial" w:hAnsi="Arial"/>
                <w:sz w:val="25"/>
                <w:szCs w:val="25"/>
                <w:i w:val="1"/>
                <w:iCs w:val="1"/>
                <w:color w:val="auto"/>
                <w:vertAlign w:val="superscript"/>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13,728</w:t>
            </w:r>
          </w:p>
        </w:tc>
        <w:tc>
          <w:tcPr>
            <w:tcW w:w="920" w:type="dxa"/>
            <w:vAlign w:val="bottom"/>
            <w:gridSpan w:val="2"/>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65 </w:t>
            </w:r>
            <w:r>
              <w:rPr>
                <w:rFonts w:ascii="Arial" w:cs="Arial" w:eastAsia="Arial" w:hAnsi="Arial"/>
                <w:sz w:val="25"/>
                <w:szCs w:val="25"/>
                <w:i w:val="1"/>
                <w:iCs w:val="1"/>
                <w:color w:val="auto"/>
                <w:vertAlign w:val="superscript"/>
              </w:rPr>
              <w:t>%</w:t>
            </w:r>
          </w:p>
        </w:tc>
        <w:tc>
          <w:tcPr>
            <w:tcW w:w="100" w:type="dxa"/>
            <w:vAlign w:val="bottom"/>
          </w:tcPr>
          <w:p>
            <w:pPr>
              <w:spacing w:after="0"/>
              <w:rPr>
                <w:sz w:val="18"/>
                <w:szCs w:val="18"/>
                <w:color w:val="auto"/>
              </w:rPr>
            </w:pPr>
          </w:p>
        </w:tc>
        <w:tc>
          <w:tcPr>
            <w:tcW w:w="1160" w:type="dxa"/>
            <w:vAlign w:val="bottom"/>
          </w:tcPr>
          <w:p>
            <w:pPr>
              <w:jc w:val="right"/>
              <w:ind w:right="73"/>
              <w:spacing w:after="0" w:line="216" w:lineRule="exact"/>
              <w:rPr>
                <w:sz w:val="20"/>
                <w:szCs w:val="20"/>
                <w:color w:val="auto"/>
              </w:rPr>
            </w:pPr>
            <w:r>
              <w:rPr>
                <w:rFonts w:ascii="Arial" w:cs="Arial" w:eastAsia="Arial" w:hAnsi="Arial"/>
                <w:sz w:val="13"/>
                <w:szCs w:val="13"/>
                <w:color w:val="auto"/>
              </w:rPr>
              <w:t xml:space="preserve">10 </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Zealand</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920" w:type="dxa"/>
            <w:vAlign w:val="bottom"/>
            <w:gridSpan w:val="2"/>
            <w:shd w:val="clear" w:color="auto" w:fill="CCEEFF"/>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17 </w:t>
            </w:r>
            <w:r>
              <w:rPr>
                <w:rFonts w:ascii="Arial" w:cs="Arial" w:eastAsia="Arial" w:hAnsi="Arial"/>
                <w:sz w:val="25"/>
                <w:szCs w:val="25"/>
                <w:i w:val="1"/>
                <w:iCs w:val="1"/>
                <w:color w:val="auto"/>
                <w:vertAlign w:val="superscript"/>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920" w:type="dxa"/>
            <w:vAlign w:val="bottom"/>
            <w:gridSpan w:val="2"/>
            <w:shd w:val="clear" w:color="auto" w:fill="CCEEFF"/>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20 </w:t>
            </w:r>
            <w:r>
              <w:rPr>
                <w:rFonts w:ascii="Arial" w:cs="Arial" w:eastAsia="Arial" w:hAnsi="Arial"/>
                <w:sz w:val="25"/>
                <w:szCs w:val="25"/>
                <w:i w:val="1"/>
                <w:iCs w:val="1"/>
                <w:color w:val="auto"/>
                <w:vertAlign w:val="superscript"/>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3"/>
              <w:spacing w:after="0" w:line="216" w:lineRule="exact"/>
              <w:rPr>
                <w:sz w:val="20"/>
                <w:szCs w:val="20"/>
                <w:color w:val="auto"/>
              </w:rPr>
            </w:pPr>
            <w:r>
              <w:rPr>
                <w:rFonts w:ascii="Arial" w:cs="Arial" w:eastAsia="Arial" w:hAnsi="Arial"/>
                <w:sz w:val="13"/>
                <w:szCs w:val="13"/>
                <w:color w:val="auto"/>
              </w:rPr>
              <w:t>(4)</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90"/>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Total Segment Revenues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23,988</w:t>
            </w:r>
          </w:p>
        </w:tc>
        <w:tc>
          <w:tcPr>
            <w:tcW w:w="920" w:type="dxa"/>
            <w:vAlign w:val="bottom"/>
            <w:gridSpan w:val="2"/>
          </w:tcPr>
          <w:p>
            <w:pPr>
              <w:jc w:val="right"/>
              <w:ind w:right="31"/>
              <w:spacing w:after="0" w:line="183" w:lineRule="exact"/>
              <w:rPr>
                <w:sz w:val="20"/>
                <w:szCs w:val="20"/>
                <w:color w:val="auto"/>
              </w:rPr>
            </w:pPr>
            <w:r>
              <w:rPr>
                <w:rFonts w:ascii="Arial" w:cs="Arial" w:eastAsia="Arial" w:hAnsi="Arial"/>
                <w:sz w:val="12"/>
                <w:szCs w:val="12"/>
                <w:b w:val="1"/>
                <w:bCs w:val="1"/>
                <w:i w:val="1"/>
                <w:iCs w:val="1"/>
                <w:color w:val="auto"/>
              </w:rPr>
              <w:t xml:space="preserve">100 </w:t>
            </w:r>
            <w:r>
              <w:rPr>
                <w:rFonts w:ascii="Arial" w:cs="Arial" w:eastAsia="Arial" w:hAnsi="Arial"/>
                <w:sz w:val="21"/>
                <w:szCs w:val="21"/>
                <w:b w:val="1"/>
                <w:bCs w:val="1"/>
                <w:i w:val="1"/>
                <w:iCs w:val="1"/>
                <w:color w:val="auto"/>
                <w:vertAlign w:val="superscript"/>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21,310</w:t>
            </w:r>
          </w:p>
        </w:tc>
        <w:tc>
          <w:tcPr>
            <w:tcW w:w="920" w:type="dxa"/>
            <w:vAlign w:val="bottom"/>
            <w:gridSpan w:val="2"/>
          </w:tcPr>
          <w:p>
            <w:pPr>
              <w:jc w:val="right"/>
              <w:ind w:right="31"/>
              <w:spacing w:after="0" w:line="183" w:lineRule="exact"/>
              <w:rPr>
                <w:sz w:val="20"/>
                <w:szCs w:val="20"/>
                <w:color w:val="auto"/>
              </w:rPr>
            </w:pPr>
            <w:r>
              <w:rPr>
                <w:rFonts w:ascii="Arial" w:cs="Arial" w:eastAsia="Arial" w:hAnsi="Arial"/>
                <w:sz w:val="12"/>
                <w:szCs w:val="12"/>
                <w:b w:val="1"/>
                <w:bCs w:val="1"/>
                <w:i w:val="1"/>
                <w:iCs w:val="1"/>
                <w:color w:val="auto"/>
              </w:rPr>
              <w:t xml:space="preserve">100 </w:t>
            </w:r>
            <w:r>
              <w:rPr>
                <w:rFonts w:ascii="Arial" w:cs="Arial" w:eastAsia="Arial" w:hAnsi="Arial"/>
                <w:sz w:val="21"/>
                <w:szCs w:val="21"/>
                <w:b w:val="1"/>
                <w:bCs w:val="1"/>
                <w:i w:val="1"/>
                <w:iCs w:val="1"/>
                <w:color w:val="auto"/>
                <w:vertAlign w:val="superscript"/>
              </w:rPr>
              <w:t>%</w:t>
            </w:r>
          </w:p>
        </w:tc>
        <w:tc>
          <w:tcPr>
            <w:tcW w:w="100" w:type="dxa"/>
            <w:vAlign w:val="bottom"/>
          </w:tcPr>
          <w:p>
            <w:pPr>
              <w:spacing w:after="0"/>
              <w:rPr>
                <w:sz w:val="16"/>
                <w:szCs w:val="16"/>
                <w:color w:val="auto"/>
              </w:rPr>
            </w:pPr>
          </w:p>
        </w:tc>
        <w:tc>
          <w:tcPr>
            <w:tcW w:w="1160" w:type="dxa"/>
            <w:vAlign w:val="bottom"/>
          </w:tcPr>
          <w:p>
            <w:pPr>
              <w:jc w:val="right"/>
              <w:ind w:right="73"/>
              <w:spacing w:after="0" w:line="183" w:lineRule="exact"/>
              <w:rPr>
                <w:sz w:val="20"/>
                <w:szCs w:val="20"/>
                <w:color w:val="auto"/>
              </w:rPr>
            </w:pPr>
            <w:r>
              <w:rPr>
                <w:rFonts w:ascii="Arial" w:cs="Arial" w:eastAsia="Arial" w:hAnsi="Arial"/>
                <w:sz w:val="12"/>
                <w:szCs w:val="12"/>
                <w:b w:val="1"/>
                <w:bCs w:val="1"/>
                <w:color w:val="auto"/>
              </w:rPr>
              <w:t xml:space="preserve">13 </w:t>
            </w:r>
            <w:r>
              <w:rPr>
                <w:rFonts w:ascii="Arial" w:cs="Arial" w:eastAsia="Arial" w:hAnsi="Arial"/>
                <w:sz w:val="21"/>
                <w:szCs w:val="21"/>
                <w:b w:val="1"/>
                <w:bCs w:val="1"/>
                <w:i w:val="1"/>
                <w:iCs w:val="1"/>
                <w:color w:val="auto"/>
                <w:vertAlign w:val="superscript"/>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Revenues for the quarter to date ended December 31, 2017 increased by 26%, or $1.3 million to $6.4 million compared to the same period in 2016. This is primary due to a 29% increase in the New Zealand circuit, offset by reduced real estate revenues in the U.S. circuit due to redevelopment expansion projects of several of our properties.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products (excluding depreciation and amortization)</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Operating expense for 2017 increased by 4%, or $394,000, as a result of a number of pre-opening costs associated with our recently developed Newmarket Village site. This was partially offset by a reduction in costs relating to our live theaters and Courtenay Central during the period it was closed.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general and administrative expense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Depreciation, amortization, general and administrative expense for 2017 increased by 29%, or $1.5 million, primarily driven by the increased salary costs due to staff expansion as we continue to develop our Real Estate capacity, including costs that had previously been incurred by our Cinema segment, as well as an increase in depreciation expense due to recent acquisitions and property enhancements. This has been partially offset by the reduction in doubtful debt expense.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Depreciation, amortization, general and administrative expenses for the quarter ended December 31, 2017 compared to the same period increased $331,000 primarily due to increased general and administrative expenses in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NON-SEGMENT RESULTS – 2017 vs.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Net gain on sale of assets for 2017 increased by $9.0 million, primarily due to the gain on sale realized in 2017 on the settlement of the Burwood land of $9.3 million (AU$12.4 million), compared to the gain from the final closing of the second sale agreement of the Taupo property in New Zealand in the amount of $393,000 (NZ$585,000) realized in Q1,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Non-segment general and administrative expense for 2017 decreased by $1.8 million or 8%, to $19.9 million. This primarily relates to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reduction in professional services mainly relating to non-recurring one-off items incurred in 2016 including additional expenses incurred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2015 year-end audit ($960,000) and expenses incurred in connection with the change in status of certain executives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($400,000) as well as 2017 savings in legal fees, and reduced occupancy costs due to the purchase of our new company headquarters.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offset by additional costs incurred in our Australian and New Zealand corporate offices due to additional staff costs and the effects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movements.</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Higher legal expenses in 2016 mainly relate to the defense of the derivative litigation, the arbitration of certain claims related to the termination of James J. Cotter, Jr. as our President and Chief Executive Officer and on a more limited basis, for the work undergone to improve corporate governance matters. While the legal costs incurred by the Company were undoubtedly high, we believe that the majority of these costs were forced upon the Company as it became necessary to vigorously defend the Company’s position in the derivative litigation and to resolve Mr. Cotter, Jr.’s claims relating to his termination. As such, these costs should be treated as non-recurring in nature.</w:t>
      </w:r>
    </w:p>
    <w:p>
      <w:pPr>
        <w:spacing w:after="0" w:line="15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 xml:space="preserve">For more information about the legal expense, please refer to </w:t>
      </w:r>
      <w:r>
        <w:rPr>
          <w:rFonts w:ascii="Arial" w:cs="Arial" w:eastAsia="Arial" w:hAnsi="Arial"/>
          <w:sz w:val="17"/>
          <w:szCs w:val="17"/>
          <w:i w:val="1"/>
          <w:iCs w:val="1"/>
          <w:color w:val="auto"/>
        </w:rPr>
        <w:t>Note 12 – Commitments and Contingencies</w:t>
      </w:r>
      <w:r>
        <w:rPr>
          <w:rFonts w:ascii="Arial" w:cs="Arial" w:eastAsia="Arial" w:hAnsi="Arial"/>
          <w:sz w:val="17"/>
          <w:szCs w:val="17"/>
          <w:color w:val="auto"/>
        </w:rPr>
        <w:t xml:space="preserve"> to the Consolidated Financial Statements included herein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on this report.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Casualty Gain</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xml:space="preserve">The $9.2 million represents the gain recognized on final insurance settlement relating to the earthquake damage on our Courtenay Central parking structure (excluding business interruption insurance recoveries). Our parking structure at Courtenay Central in Wellington, New Zealand was significantly damaged by the earthquake on November 14, 2016 and was subsequently demolished for safety reasons. We filed an insurance claim to recover the impairment loss on the parking structure and the ancillary demolition costs. Refer to </w:t>
      </w:r>
      <w:r>
        <w:rPr>
          <w:rFonts w:ascii="Arial" w:cs="Arial" w:eastAsia="Arial" w:hAnsi="Arial"/>
          <w:sz w:val="17"/>
          <w:szCs w:val="17"/>
          <w:i w:val="1"/>
          <w:iCs w:val="1"/>
          <w:color w:val="auto"/>
        </w:rPr>
        <w:t>Note 20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Insurance Recoveries on Impairment and Related Losses due to Earthquake </w:t>
      </w:r>
      <w:r>
        <w:rPr>
          <w:rFonts w:ascii="Arial" w:cs="Arial" w:eastAsia="Arial" w:hAnsi="Arial"/>
          <w:sz w:val="17"/>
          <w:szCs w:val="17"/>
          <w:color w:val="auto"/>
        </w:rPr>
        <w:t>for further details.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Income tax expense decreased by $758,000 or 18%, compared to 2016, mainly due to benefits recognized as the result of the dissolution of a non-operating overseas subsidiary, partially offset by an increase in pre-tax income and the provisional unfavorable effect of the Tax Act. Please refer to Note 9 of the Notes to Consolidated Financial Statements in Part II of this Annual Report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expense (net of interest income) decreased by $588,000, or 9%, compared to 2016, mainly due to a reduction in the average balance outstanding. This was achieved due to the receipt of the insurance proceeds from the Courtenay Central parking structure of $20.0 million in May 2017, allowing us to fully pay down our Westpac loan in New Zealand. Interest income also includes the $115,000 of interest levied on the STOMP arbitration award settlement.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cinema exhibition business plan is to enhance our current cinemas where it is financially reasonable to do so; develop our specialty cinemas in select markets; expand our food and beverage offering, and continue on an opportunistic basis, to identify, develop, and acquire cinema properties that allow us to leverage our cinema expertise over a larger operating base.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real estate business is to complete the redevelopment of our Union Square property; to reassess and master-plan the Cinemas 1,2,3 property for redevelopment as a stand-alone 96,000 square foot mixed use property and in the interim to continue to use it as a cinema; to continue the build-out of our Newmarket Village and Auburn ETCs and the master planning of the expansion of our Townsville ETC in Australia; to master plan and consider the redevelopment of our Courtenay Central site in New Zealand into an urban entertainment center with a focus on cinema exhibition, food and beverage, and grocery store uses; and in Manukau, New Zealand, to develop in concert with other major land owners, of plans for the development of the infrastructure needed to support the construction of income-producing improvements; and to continue to be sensitive to opportunities to convert our entertainment assets to higher and better uses, or, where appropriate, to dispose of such assets. We will also continue to explore potential synergistic acquisitions that may not readily fall into either our cinema or real estate segment.</w:t>
      </w:r>
    </w:p>
    <w:p>
      <w:pPr>
        <w:spacing w:after="0" w:line="18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success of our Company is dependent on our ability to execute these business plans effectively through our available resources (both cash and available borrowing facilities) while still timely addressing our liquidity risk. Liquidity risk is the risk relating to our ability to meet our financial obligations when they come due. At the present, our financial obligations arise mainly from capital expenditure needs, working capital requirements, and debt servicing requirements. We manage the liquidity risk by ensuring our ability to generate sufficient cash flows from operating activities and to obtain adequate, reasonable financing or extension of maturity dates under reasonable arrangements, and/or to convert non-performing or non-strategic assets into cash.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41" w:right="899" w:bottom="1440" w:gutter="0" w:footer="0" w:header="0"/>
        </w:sectPr>
      </w:pPr>
    </w:p>
    <w:bookmarkStart w:id="70" w:name="page71"/>
    <w:bookmarkEnd w:id="70"/>
    <w:p>
      <w:pPr>
        <w:ind w:right="120"/>
        <w:spacing w:after="0" w:line="277" w:lineRule="auto"/>
        <w:rPr>
          <w:sz w:val="20"/>
          <w:szCs w:val="20"/>
          <w:color w:val="auto"/>
        </w:rPr>
      </w:pPr>
      <w:r>
        <w:rPr>
          <w:rFonts w:ascii="Arial" w:cs="Arial" w:eastAsia="Arial" w:hAnsi="Arial"/>
          <w:sz w:val="18"/>
          <w:szCs w:val="18"/>
          <w:color w:val="auto"/>
        </w:rPr>
        <w:t>The table below presents the changes in our total available resources (cash and borrowings), debt-to-equity ratio, working capital and other relevant information addressing our liquidity for the last five years: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17"/>
                <w:szCs w:val="17"/>
                <w:b w:val="1"/>
                <w:bCs w:val="1"/>
                <w:color w:val="auto"/>
                <w:vertAlign w:val="superscript"/>
              </w:rPr>
              <w:t>(2)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7"/>
                <w:szCs w:val="7"/>
                <w:b w:val="1"/>
                <w:bCs w:val="1"/>
                <w:color w:val="auto"/>
              </w:rPr>
              <w:t>(2)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7"/>
                <w:szCs w:val="7"/>
                <w:b w:val="1"/>
                <w:bCs w:val="1"/>
                <w:color w:val="auto"/>
              </w:rPr>
              <w:t>(2)</w:t>
            </w:r>
          </w:p>
        </w:tc>
      </w:tr>
      <w:tr>
        <w:trPr>
          <w:trHeight w:val="203"/>
        </w:trPr>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Net Cash from Operating Activities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23,851</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30,188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28,574</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28,343</w:t>
            </w:r>
          </w:p>
        </w:tc>
      </w:tr>
      <w:tr>
        <w:trPr>
          <w:trHeight w:val="216"/>
        </w:trPr>
        <w:tc>
          <w:tcPr>
            <w:tcW w:w="4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Total Resources (cash and borrowings)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 and cash equivalents (unrestricted)</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19,702</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50,248</w:t>
            </w:r>
          </w:p>
        </w:tc>
      </w:tr>
      <w:tr>
        <w:trPr>
          <w:trHeight w:val="216"/>
        </w:trPr>
        <w:tc>
          <w:tcPr>
            <w:tcW w:w="4260" w:type="dxa"/>
            <w:vAlign w:val="bottom"/>
            <w:gridSpan w:val="2"/>
          </w:tcPr>
          <w:p>
            <w:pPr>
              <w:ind w:left="100"/>
              <w:spacing w:after="0"/>
              <w:rPr>
                <w:sz w:val="20"/>
                <w:szCs w:val="20"/>
                <w:color w:val="auto"/>
              </w:rPr>
            </w:pPr>
            <w:r>
              <w:rPr>
                <w:rFonts w:ascii="Arial" w:cs="Arial" w:eastAsia="Arial" w:hAnsi="Arial"/>
                <w:sz w:val="14"/>
                <w:szCs w:val="14"/>
                <w:color w:val="auto"/>
              </w:rPr>
              <w:t>Unused borrowing facility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85,886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137,231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117,599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70,134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45,700</w:t>
            </w:r>
          </w:p>
        </w:tc>
      </w:tr>
      <w:tr>
        <w:trPr>
          <w:trHeight w:val="216"/>
        </w:trPr>
        <w:tc>
          <w:tcPr>
            <w:tcW w:w="42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Restricted for capital projects</w:t>
            </w:r>
            <w:r>
              <w:rPr>
                <w:rFonts w:ascii="Arial" w:cs="Arial" w:eastAsia="Arial" w:hAnsi="Arial"/>
                <w:sz w:val="7"/>
                <w:szCs w:val="7"/>
                <w:color w:val="auto"/>
              </w:rPr>
              <w:t>(1)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gridSpan w:val="2"/>
          </w:tcPr>
          <w:p>
            <w:pPr>
              <w:ind w:left="320"/>
              <w:spacing w:after="0"/>
              <w:rPr>
                <w:sz w:val="20"/>
                <w:szCs w:val="20"/>
                <w:color w:val="auto"/>
              </w:rPr>
            </w:pPr>
            <w:r>
              <w:rPr>
                <w:rFonts w:ascii="Arial" w:cs="Arial" w:eastAsia="Arial" w:hAnsi="Arial"/>
                <w:sz w:val="14"/>
                <w:szCs w:val="14"/>
                <w:color w:val="auto"/>
              </w:rPr>
              <w:t>Unrestricted capacity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55,568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74,951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55,575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59,871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45,700</w:t>
            </w:r>
          </w:p>
        </w:tc>
      </w:tr>
      <w:tr>
        <w:trPr>
          <w:trHeight w:val="216"/>
        </w:trPr>
        <w:tc>
          <w:tcPr>
            <w:tcW w:w="4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resources at 12/31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95,948</w:t>
            </w:r>
          </w:p>
        </w:tc>
      </w:tr>
      <w:tr>
        <w:trPr>
          <w:trHeight w:val="216"/>
        </w:trPr>
        <w:tc>
          <w:tcPr>
            <w:tcW w:w="4260" w:type="dxa"/>
            <w:vAlign w:val="bottom"/>
            <w:gridSpan w:val="2"/>
          </w:tcPr>
          <w:p>
            <w:pPr>
              <w:ind w:left="100"/>
              <w:spacing w:after="0"/>
              <w:rPr>
                <w:sz w:val="20"/>
                <w:szCs w:val="20"/>
                <w:color w:val="auto"/>
              </w:rPr>
            </w:pPr>
            <w:r>
              <w:rPr>
                <w:rFonts w:ascii="Arial" w:cs="Arial" w:eastAsia="Arial" w:hAnsi="Arial"/>
                <w:sz w:val="14"/>
                <w:szCs w:val="14"/>
                <w:color w:val="auto"/>
              </w:rPr>
              <w:t>Total unrestricted resources at 12/31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68,695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88,619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74,592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79,573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95,948</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Debt-to-Equity Ratio</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100"/>
              <w:spacing w:after="0"/>
              <w:rPr>
                <w:sz w:val="20"/>
                <w:szCs w:val="20"/>
                <w:color w:val="auto"/>
              </w:rPr>
            </w:pPr>
            <w:r>
              <w:rPr>
                <w:rFonts w:ascii="Arial" w:cs="Arial" w:eastAsia="Arial" w:hAnsi="Arial"/>
                <w:sz w:val="14"/>
                <w:szCs w:val="14"/>
                <w:color w:val="auto"/>
              </w:rPr>
              <w:t>Total contractual facility</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252,929</w:t>
            </w:r>
          </w:p>
        </w:tc>
        <w:tc>
          <w:tcPr>
            <w:tcW w:w="160" w:type="dxa"/>
            <w:vAlign w:val="bottom"/>
          </w:tcPr>
          <w:p>
            <w:pPr>
              <w:spacing w:after="0"/>
              <w:rPr>
                <w:sz w:val="18"/>
                <w:szCs w:val="18"/>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271,732</w:t>
            </w: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266,134</w:t>
            </w:r>
          </w:p>
        </w:tc>
        <w:tc>
          <w:tcPr>
            <w:tcW w:w="14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207,075</w:t>
            </w:r>
          </w:p>
        </w:tc>
        <w:tc>
          <w:tcPr>
            <w:tcW w:w="8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201,318</w:t>
            </w:r>
          </w:p>
        </w:tc>
      </w:tr>
      <w:tr>
        <w:trPr>
          <w:trHeight w:val="216"/>
        </w:trPr>
        <w:tc>
          <w:tcPr>
            <w:tcW w:w="4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debt (gross of deferred financing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164,036</w:t>
            </w:r>
          </w:p>
        </w:tc>
      </w:tr>
      <w:tr>
        <w:trPr>
          <w:trHeight w:val="216"/>
        </w:trPr>
        <w:tc>
          <w:tcPr>
            <w:tcW w:w="4260" w:type="dxa"/>
            <w:vAlign w:val="bottom"/>
            <w:gridSpan w:val="2"/>
          </w:tcPr>
          <w:p>
            <w:pPr>
              <w:ind w:left="320"/>
              <w:spacing w:after="0"/>
              <w:rPr>
                <w:sz w:val="20"/>
                <w:szCs w:val="20"/>
                <w:color w:val="auto"/>
              </w:rPr>
            </w:pPr>
            <w:r>
              <w:rPr>
                <w:rFonts w:ascii="Arial" w:cs="Arial" w:eastAsia="Arial" w:hAnsi="Arial"/>
                <w:sz w:val="14"/>
                <w:szCs w:val="14"/>
                <w:color w:val="auto"/>
              </w:rPr>
              <w:t>Current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30,393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38,104</w:t>
            </w:r>
          </w:p>
        </w:tc>
      </w:tr>
      <w:tr>
        <w:trPr>
          <w:trHeight w:val="216"/>
        </w:trPr>
        <w:tc>
          <w:tcPr>
            <w:tcW w:w="42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Non-current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147,968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125,932</w:t>
            </w:r>
          </w:p>
        </w:tc>
      </w:tr>
      <w:tr>
        <w:trPr>
          <w:trHeight w:val="216"/>
        </w:trPr>
        <w:tc>
          <w:tcPr>
            <w:tcW w:w="4260" w:type="dxa"/>
            <w:vAlign w:val="bottom"/>
            <w:gridSpan w:val="2"/>
          </w:tcPr>
          <w:p>
            <w:pPr>
              <w:ind w:left="100"/>
              <w:spacing w:after="0"/>
              <w:rPr>
                <w:sz w:val="20"/>
                <w:szCs w:val="20"/>
                <w:color w:val="auto"/>
              </w:rPr>
            </w:pPr>
            <w:r>
              <w:rPr>
                <w:rFonts w:ascii="Arial" w:cs="Arial" w:eastAsia="Arial" w:hAnsi="Arial"/>
                <w:sz w:val="14"/>
                <w:szCs w:val="14"/>
                <w:color w:val="auto"/>
              </w:rPr>
              <w:t>Total book equity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180,547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181,618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146,890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138,951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133,716</w:t>
            </w:r>
          </w:p>
        </w:tc>
      </w:tr>
      <w:tr>
        <w:trPr>
          <w:trHeight w:val="216"/>
        </w:trPr>
        <w:tc>
          <w:tcPr>
            <w:tcW w:w="4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Debt-to-equity ratio</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216"/>
        </w:trPr>
        <w:tc>
          <w:tcPr>
            <w:tcW w:w="4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Changes in Working Capital</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Working capital (deficit)</w:t>
            </w:r>
            <w:r>
              <w:rPr>
                <w:rFonts w:ascii="Arial" w:cs="Arial" w:eastAsia="Arial" w:hAnsi="Arial"/>
                <w:sz w:val="7"/>
                <w:szCs w:val="7"/>
                <w:color w:val="auto"/>
              </w:rPr>
              <w:t>(3)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(55,270)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(46,971)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(35,581)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(15,119)</w:t>
            </w:r>
          </w:p>
        </w:tc>
      </w:tr>
      <w:tr>
        <w:trPr>
          <w:trHeight w:val="216"/>
        </w:trPr>
        <w:tc>
          <w:tcPr>
            <w:tcW w:w="4260" w:type="dxa"/>
            <w:vAlign w:val="bottom"/>
            <w:gridSpan w:val="2"/>
          </w:tcPr>
          <w:p>
            <w:pPr>
              <w:ind w:left="100"/>
              <w:spacing w:after="0"/>
              <w:rPr>
                <w:sz w:val="20"/>
                <w:szCs w:val="20"/>
                <w:color w:val="auto"/>
              </w:rPr>
            </w:pPr>
            <w:r>
              <w:rPr>
                <w:rFonts w:ascii="Arial" w:cs="Arial" w:eastAsia="Arial" w:hAnsi="Arial"/>
                <w:sz w:val="14"/>
                <w:szCs w:val="14"/>
                <w:color w:val="auto"/>
              </w:rPr>
              <w:t>Current ratio</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0.84</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Capital Expenditures (including acquisitions)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76,708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53,119</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14,914</w:t>
            </w:r>
          </w:p>
        </w:tc>
      </w:tr>
    </w:tbl>
    <w:p>
      <w:pPr>
        <w:spacing w:after="0" w:line="197" w:lineRule="exact"/>
        <w:rPr>
          <w:sz w:val="20"/>
          <w:szCs w:val="20"/>
          <w:color w:val="auto"/>
        </w:rPr>
      </w:pPr>
    </w:p>
    <w:p>
      <w:pPr>
        <w:ind w:left="640" w:right="300" w:hanging="320"/>
        <w:spacing w:after="0" w:line="230"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relates to the construction facilities specifically negotiated for: (i) Union Square redevelopment project, obtained in December 2016, and (ii) New Zealand construction projects, obtained in May 2015. The New Zealand construction loan expired December 31, 2018.</w:t>
      </w:r>
    </w:p>
    <w:p>
      <w:pPr>
        <w:ind w:left="640" w:right="20" w:hanging="320"/>
        <w:spacing w:after="0" w:line="221"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Certain 2015 balances included the restatement impact as a result of a change in accounting principle (</w:t>
      </w:r>
      <w:r>
        <w:rPr>
          <w:rFonts w:ascii="Arial" w:cs="Arial" w:eastAsia="Arial" w:hAnsi="Arial"/>
          <w:sz w:val="14"/>
          <w:szCs w:val="14"/>
          <w:i w:val="1"/>
          <w:iCs w:val="1"/>
          <w:color w:val="auto"/>
        </w:rPr>
        <w:t>see Note 2 – 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Accounting Changes</w:t>
      </w:r>
      <w:r>
        <w:rPr>
          <w:rFonts w:ascii="Arial" w:cs="Arial" w:eastAsia="Arial" w:hAnsi="Arial"/>
          <w:sz w:val="14"/>
          <w:szCs w:val="14"/>
          <w:color w:val="auto"/>
        </w:rPr>
        <w:t>). For 2014, no changes made, except for the Stockholders’ Equity balance as of 12/31/2014, as we were not required to present the restatement</w:t>
      </w:r>
      <w:r>
        <w:rPr>
          <w:rFonts w:ascii="Arial" w:cs="Arial" w:eastAsia="Arial" w:hAnsi="Arial"/>
          <w:sz w:val="14"/>
          <w:szCs w:val="14"/>
          <w:i w:val="1"/>
          <w:iCs w:val="1"/>
          <w:color w:val="auto"/>
        </w:rPr>
        <w:t xml:space="preserve"> </w:t>
      </w:r>
      <w:r>
        <w:rPr>
          <w:rFonts w:ascii="Arial" w:cs="Arial" w:eastAsia="Arial" w:hAnsi="Arial"/>
          <w:sz w:val="14"/>
          <w:szCs w:val="14"/>
          <w:color w:val="auto"/>
        </w:rPr>
        <w:t>numbers as of December 31, 2014 for the Balance Sheet. Certain 2017 and 2016 balances included the restatement impact as a result of a prior period financial statement correction of immaterial errors (see Note 2 – Summary of Significant Accounting Policies – Prior Period Financial Statement Correction of Immaterial Errors).</w:t>
      </w:r>
    </w:p>
    <w:p>
      <w:pPr>
        <w:spacing w:after="0" w:line="1" w:lineRule="exact"/>
        <w:rPr>
          <w:rFonts w:ascii="Arial" w:cs="Arial" w:eastAsia="Arial" w:hAnsi="Arial"/>
          <w:sz w:val="14"/>
          <w:szCs w:val="14"/>
          <w:color w:val="auto"/>
        </w:rPr>
      </w:pPr>
    </w:p>
    <w:p>
      <w:pPr>
        <w:ind w:left="640" w:right="140" w:hanging="320"/>
        <w:spacing w:after="0" w:line="237"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Typically our working capital (deficit) is negative as we receive revenue from our cinema business ahead of the time that we have to pay our associated liabilities. We use the money we receive to pay down our borrowings in the first instance.</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On March 2, 2017, the Board of Directors authorized a stock repurchase program to repurchase up to $25.0 million of Reading’s Class A Stock. The Board on March 14, 2019, extended that program to March 2, 2021. There is currently $16.2 million of capacity remaining in that authorization.</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manage our cash, investments and capital structure so we are able to meet the short-term and long-term obligations of our business, while maintaining financial flexibility and liquidity. We forecast, analyze and monitor our cash flows to enable investment and financing within the overall constraints of our financial strategy. In recent years, our treasury management has been focused on more aggressive cash management using cash balances to reduce debt. In earlier years, we maintained significant cash balances in our bank accounts. We have used cash generated from operations and other excess cash, to the extent not needed for any capital expenditures, to pay down our loans and credit facilities providing us some flexibility on our available loan facilities for future use and thereby, reducing interest charges.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10 – Borrowings</w:t>
      </w:r>
      <w:r>
        <w:rPr>
          <w:rFonts w:ascii="Arial" w:cs="Arial" w:eastAsia="Arial" w:hAnsi="Arial"/>
          <w:sz w:val="17"/>
          <w:szCs w:val="17"/>
          <w:color w:val="auto"/>
        </w:rPr>
        <w:t xml:space="preserve"> in the Consolidated Financial Statements for further details on our various borrowing arrangements.</w:t>
      </w:r>
    </w:p>
    <w:p>
      <w:pPr>
        <w:spacing w:after="0" w:line="2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December 31, 2018, our consolidated cash and cash equivalents totaled $13.1 million. Of this amount, $7.6 million, $3.5 million and $2.0 million were held by our U.S., Australian and New Zealand operations, respectively. Our current intention is to reinvest indefinitely Australian earnings but do not have the same plan for New Zealand earnings. If the Australian earnings were used to fund U.S. operations, they could be subject to additional state income taxes upon repatriation.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historically funded our working capital requirements, capital expenditures and investments in individual properties primarily from a combination of internally generated cash flows and debt. As noted in the preceding table, we have $55.6 million unused capacity of available corporate credit facilities at December 31, 2018. In addition, we have $30.3 million unused capacity for Union Square development uses and construction funding.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change in cash and cash equivalents for the three years ended December 31, 2018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9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0"/>
                <w:szCs w:val="10"/>
                <w:color w:val="auto"/>
              </w:rPr>
            </w:pPr>
          </w:p>
        </w:tc>
        <w:tc>
          <w:tcPr>
            <w:tcW w:w="1040" w:type="dxa"/>
            <w:vAlign w:val="bottom"/>
            <w:gridSpan w:val="2"/>
          </w:tcPr>
          <w:p>
            <w:pPr>
              <w:ind w:left="240"/>
              <w:spacing w:after="0" w:line="126" w:lineRule="exact"/>
              <w:rPr>
                <w:sz w:val="20"/>
                <w:szCs w:val="20"/>
                <w:color w:val="auto"/>
              </w:rPr>
            </w:pPr>
            <w:r>
              <w:rPr>
                <w:rFonts w:ascii="Arial" w:cs="Arial" w:eastAsia="Arial" w:hAnsi="Arial"/>
                <w:sz w:val="14"/>
                <w:szCs w:val="14"/>
                <w:b w:val="1"/>
                <w:bCs w:val="1"/>
                <w:color w:val="auto"/>
              </w:rPr>
              <w:t>2018 vs.</w:t>
            </w:r>
          </w:p>
        </w:tc>
        <w:tc>
          <w:tcPr>
            <w:tcW w:w="100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rPr>
              <w:t>2017 vs.</w:t>
            </w:r>
          </w:p>
        </w:tc>
        <w:tc>
          <w:tcPr>
            <w:tcW w:w="0" w:type="dxa"/>
            <w:vAlign w:val="bottom"/>
          </w:tcPr>
          <w:p>
            <w:pPr>
              <w:spacing w:after="0"/>
              <w:rPr>
                <w:sz w:val="1"/>
                <w:szCs w:val="1"/>
                <w:color w:val="auto"/>
              </w:rPr>
            </w:pPr>
          </w:p>
        </w:tc>
      </w:tr>
      <w:tr>
        <w:trPr>
          <w:trHeight w:val="178"/>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32,645</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23,851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30,188</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37 %</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(64,855)</w:t>
            </w:r>
          </w:p>
        </w:tc>
        <w:tc>
          <w:tcPr>
            <w:tcW w:w="22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(6,786)</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(42,861)</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(&gt; 100)%</w:t>
            </w:r>
          </w:p>
        </w:tc>
        <w:tc>
          <w:tcPr>
            <w:tcW w:w="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(&gt; 84)%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33,210</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(22,055)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&gt; 100%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(&gt; 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4"/>
                <w:szCs w:val="14"/>
                <w:color w:val="auto"/>
              </w:rPr>
              <w:t>Impact of exchange rate on cash</w:t>
            </w:r>
          </w:p>
        </w:tc>
        <w:tc>
          <w:tcPr>
            <w:tcW w:w="22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(1,541)</w:t>
            </w:r>
          </w:p>
        </w:tc>
        <w:tc>
          <w:tcPr>
            <w:tcW w:w="22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w:t>
            </w:r>
          </w:p>
        </w:tc>
        <w:tc>
          <w:tcPr>
            <w:tcW w:w="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(&gt; 100)%</w:t>
            </w:r>
          </w:p>
        </w:tc>
        <w:tc>
          <w:tcPr>
            <w:tcW w:w="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(&gt; 100)%</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(5,349)</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(685)</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xml:space="preserve">90 </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(&gt; 100)%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2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Cash provided by operating activities for 2018 increased by $8.8 million, or 37%, to $32.6 million, primarily driven by $6.6 million increase in net operating assets and $1.8 million increase in cash inflows from operating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2017 vs. 2016</w:t>
      </w:r>
      <w:r>
        <w:rPr>
          <w:rFonts w:ascii="Arial" w:cs="Arial" w:eastAsia="Arial" w:hAnsi="Arial"/>
          <w:sz w:val="17"/>
          <w:szCs w:val="17"/>
          <w:i w:val="1"/>
          <w:iCs w:val="1"/>
          <w:color w:val="auto"/>
        </w:rPr>
        <w:t xml:space="preserve">: </w:t>
      </w:r>
      <w:r>
        <w:rPr>
          <w:rFonts w:ascii="Arial" w:cs="Arial" w:eastAsia="Arial" w:hAnsi="Arial"/>
          <w:sz w:val="17"/>
          <w:szCs w:val="17"/>
          <w:color w:val="auto"/>
        </w:rPr>
        <w:t>Cash provided by operating activities for 2017 decreased by $6.3 million or 21%, to $23.9 million, primarily driven by a</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$16.4 million reduction in net working capital assets, partially offset by a $10.1 million increase in operational cash flows as a result of the decrease in corporate General and Administrative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u w:val="single" w:color="auto"/>
          <w:color w:val="auto"/>
        </w:rPr>
        <w:t>2018</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the $64.9 million used in investing activities was mainly related to $63.5 million in capital expenditures, primarily for</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 the U.S. for $45.9 million (Comprised mainly of Union Square, Mililani, Manville, and Digital Projector purchase) and $15.9 million in Australia (Comprised mainly of Newmarket, Auburn, Elizabeth and Charlestown).</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u w:val="single" w:color="auto"/>
          <w:color w:val="auto"/>
        </w:rPr>
        <w:t>2017</w:t>
      </w:r>
      <w:r>
        <w:rPr>
          <w:rFonts w:ascii="Arial" w:cs="Arial" w:eastAsia="Arial" w:hAnsi="Arial"/>
          <w:sz w:val="16"/>
          <w:szCs w:val="16"/>
          <w:i w:val="1"/>
          <w:iCs w:val="1"/>
          <w:color w:val="auto"/>
        </w:rPr>
        <w:t xml:space="preserve">: </w:t>
      </w:r>
      <w:r>
        <w:rPr>
          <w:rFonts w:ascii="Arial" w:cs="Arial" w:eastAsia="Arial" w:hAnsi="Arial"/>
          <w:sz w:val="16"/>
          <w:szCs w:val="16"/>
          <w:color w:val="auto"/>
        </w:rPr>
        <w:t>In 2017, the $6.8 million of cash used in investing activities was mainly related to the $65.9 million capital expenditures,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the redevelopment and expansion of our Newmarket Village ETC in Brisbane, Australia, the on-going development of our Union Square project, and as well as the upgrade of a number of our existing cinemas. We also used $3.7 million towards the demolition of the Courtenay Central car parking structure in Wellington, New Zealand. These are offset by the $44.7 million received from the sale of our Burwood property as well as the $18.4 million final insurance settlement on our Courtenay Central parking structure.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u w:val="single" w:color="auto"/>
          <w:color w:val="auto"/>
        </w:rPr>
        <w:t>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cash provided by financing activities of $33.2 million in 2018 was primarily related to loan proceeds of $36.5 million;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of stock of $2.3 million as part of the 2017 $25.0 million stock buyback program.</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$22.0 million of cash used in financing activities was primarily due to the $15.4 million in loan repayments (net of $91.0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new loan advances), and $6.5 million used as part of the 2017 $25.0 million stock buyback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information with respect to the maturities and scheduled principal repayments of our recorded contractual obligations as of December 31,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Thereafter</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03"/>
        </w:trPr>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 - current and non-current portion</w:t>
            </w:r>
            <w:r>
              <w:rPr>
                <w:rFonts w:ascii="Arial" w:cs="Arial" w:eastAsia="Arial" w:hAnsi="Arial"/>
                <w:sz w:val="7"/>
                <w:szCs w:val="7"/>
                <w:color w:val="auto"/>
              </w:rPr>
              <w:t>(1)</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30,393</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56,045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8,204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139,130</w:t>
            </w:r>
          </w:p>
        </w:tc>
      </w:tr>
      <w:tr>
        <w:trPr>
          <w:trHeight w:val="216"/>
        </w:trPr>
        <w:tc>
          <w:tcPr>
            <w:tcW w:w="3040" w:type="dxa"/>
            <w:vAlign w:val="bottom"/>
            <w:gridSpan w:val="2"/>
          </w:tcPr>
          <w:p>
            <w:pPr>
              <w:spacing w:after="0"/>
              <w:rPr>
                <w:sz w:val="20"/>
                <w:szCs w:val="20"/>
                <w:color w:val="auto"/>
              </w:rPr>
            </w:pPr>
            <w:r>
              <w:rPr>
                <w:rFonts w:ascii="Arial" w:cs="Arial" w:eastAsia="Arial" w:hAnsi="Arial"/>
                <w:sz w:val="14"/>
                <w:szCs w:val="14"/>
                <w:color w:val="auto"/>
              </w:rPr>
              <w:t>Subordinated debt</w:t>
            </w:r>
            <w:r>
              <w:rPr>
                <w:rFonts w:ascii="Arial" w:cs="Arial" w:eastAsia="Arial" w:hAnsi="Arial"/>
                <w:sz w:val="7"/>
                <w:szCs w:val="7"/>
                <w:color w:val="auto"/>
              </w:rPr>
              <w:t>(1)</w:t>
            </w:r>
          </w:p>
        </w:tc>
        <w:tc>
          <w:tcPr>
            <w:tcW w:w="2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27,913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27,913</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Pension liability</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684</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684</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684</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1,934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5,354</w:t>
            </w:r>
          </w:p>
        </w:tc>
      </w:tr>
      <w:tr>
        <w:trPr>
          <w:trHeight w:val="216"/>
        </w:trPr>
        <w:tc>
          <w:tcPr>
            <w:tcW w:w="3040" w:type="dxa"/>
            <w:vAlign w:val="bottom"/>
            <w:gridSpan w:val="2"/>
          </w:tcPr>
          <w:p>
            <w:pPr>
              <w:spacing w:after="0"/>
              <w:rPr>
                <w:sz w:val="20"/>
                <w:szCs w:val="20"/>
                <w:color w:val="auto"/>
              </w:rPr>
            </w:pPr>
            <w:r>
              <w:rPr>
                <w:rFonts w:ascii="Arial" w:cs="Arial" w:eastAsia="Arial" w:hAnsi="Arial"/>
                <w:sz w:val="14"/>
                <w:szCs w:val="14"/>
                <w:color w:val="auto"/>
              </w:rPr>
              <w:t>Village East purchase option</w:t>
            </w:r>
            <w:r>
              <w:rPr>
                <w:rFonts w:ascii="Arial" w:cs="Arial" w:eastAsia="Arial" w:hAnsi="Arial"/>
                <w:sz w:val="7"/>
                <w:szCs w:val="7"/>
                <w:color w:val="auto"/>
              </w:rPr>
              <w:t>(2)</w:t>
            </w:r>
          </w:p>
        </w:tc>
        <w:tc>
          <w:tcPr>
            <w:tcW w:w="2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5,900</w:t>
            </w:r>
          </w:p>
        </w:tc>
        <w:tc>
          <w:tcPr>
            <w:tcW w:w="200" w:type="dxa"/>
            <w:vAlign w:val="bottom"/>
          </w:tcPr>
          <w:p>
            <w:pPr>
              <w:spacing w:after="0"/>
              <w:rPr>
                <w:sz w:val="18"/>
                <w:szCs w:val="18"/>
                <w:color w:val="auto"/>
              </w:rPr>
            </w:pPr>
          </w:p>
        </w:tc>
        <w:tc>
          <w:tcPr>
            <w:tcW w:w="8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5,900</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Lease obligations</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30,921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25,228</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23,802</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20,642</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89,239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215,624</w:t>
            </w:r>
          </w:p>
        </w:tc>
      </w:tr>
      <w:tr>
        <w:trPr>
          <w:trHeight w:val="216"/>
        </w:trPr>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Estimated interest on debt</w:t>
            </w:r>
            <w:r>
              <w:rPr>
                <w:rFonts w:ascii="Arial" w:cs="Arial" w:eastAsia="Arial" w:hAnsi="Arial"/>
                <w:sz w:val="7"/>
                <w:szCs w:val="7"/>
                <w:color w:val="auto"/>
              </w:rPr>
              <w:t>(3)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9,584</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5,281</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5,282</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7,417</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38,971</w:t>
            </w:r>
          </w:p>
        </w:tc>
      </w:tr>
      <w:tr>
        <w:trPr>
          <w:trHeight w:val="183"/>
        </w:trPr>
        <w:tc>
          <w:tcPr>
            <w:tcW w:w="30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77,482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76,582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31,451</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30,038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82,632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134,707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432,892</w:t>
            </w:r>
          </w:p>
        </w:tc>
      </w:tr>
      <w:tr>
        <w:trPr>
          <w:trHeight w:val="27"/>
        </w:trPr>
        <w:tc>
          <w:tcPr>
            <w:tcW w:w="2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97" w:lineRule="exact"/>
        <w:rPr>
          <w:sz w:val="20"/>
          <w:szCs w:val="20"/>
          <w:color w:val="auto"/>
        </w:rPr>
      </w:pPr>
    </w:p>
    <w:p>
      <w:pPr>
        <w:ind w:left="640" w:hanging="320"/>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Information is presented gross of deferred financing costs.</w:t>
      </w:r>
    </w:p>
    <w:p>
      <w:pPr>
        <w:ind w:left="640" w:hanging="320"/>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lease liability of the option associated with the ground lease purchase of the Village East Cinema.</w:t>
      </w:r>
    </w:p>
    <w:p>
      <w:pPr>
        <w:ind w:left="640" w:hanging="320"/>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Estimated interest on debt is based on the anticipated loan balances for future periods and current applicable interest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currently involved in certain legal proceedings and, as required, have accrued estimates of probable and estimable losses for the resolution of these claims.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2" w:name="page73"/>
    <w:bookmarkEnd w:id="72"/>
    <w:p>
      <w:pPr>
        <w:spacing w:after="0" w:line="257" w:lineRule="auto"/>
        <w:rPr>
          <w:sz w:val="20"/>
          <w:szCs w:val="20"/>
          <w:color w:val="auto"/>
        </w:rPr>
      </w:pPr>
      <w:r>
        <w:rPr>
          <w:rFonts w:ascii="Arial" w:cs="Arial" w:eastAsia="Arial" w:hAnsi="Arial"/>
          <w:sz w:val="18"/>
          <w:szCs w:val="18"/>
          <w:color w:val="auto"/>
        </w:rPr>
        <w:t>Where we are the plaintiffs, we expense all legal fees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88"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Where we are the defendants,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w:t>
      </w:r>
    </w:p>
    <w:p>
      <w:pPr>
        <w:spacing w:after="0" w:line="1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i w:val="1"/>
          <w:iCs w:val="1"/>
          <w:color w:val="auto"/>
        </w:rPr>
        <w:t>Note 12 – Commitments and Contingencies</w:t>
      </w:r>
      <w:r>
        <w:rPr>
          <w:rFonts w:ascii="Arial" w:cs="Arial" w:eastAsia="Arial" w:hAnsi="Arial"/>
          <w:sz w:val="18"/>
          <w:szCs w:val="18"/>
          <w:color w:val="auto"/>
        </w:rPr>
        <w:t xml:space="preserve"> to the Consolidated Financial Statements included herein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on this report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Other than the operating lease arrangements detailed in </w:t>
      </w:r>
      <w:r>
        <w:rPr>
          <w:rFonts w:ascii="Arial" w:cs="Arial" w:eastAsia="Arial" w:hAnsi="Arial"/>
          <w:sz w:val="18"/>
          <w:szCs w:val="18"/>
          <w:i w:val="1"/>
          <w:iCs w:val="1"/>
          <w:color w:val="auto"/>
        </w:rPr>
        <w:t>Note 12 – Commitments and Contingencies</w:t>
      </w:r>
      <w:r>
        <w:rPr>
          <w:rFonts w:ascii="Arial" w:cs="Arial" w:eastAsia="Arial" w:hAnsi="Arial"/>
          <w:sz w:val="18"/>
          <w:szCs w:val="18"/>
          <w:color w:val="auto"/>
        </w:rPr>
        <w:t xml:space="preserve"> to the Consolidated Financial Statements included herein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on this report, 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and interest rate risk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Company’s objective in managing exposure to foreign currency and interest rate fluctuations is to reduce volatility of earnings and cash flows in order to allow management to focus on core business issues and challenges.</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currently manage our currency exposure by creating, whenever possible, natural hedges in Australia and New Zealand. This involves local country sourcing of goods and services, as well as borrowing in local currencies to match revenues and expenses. Since we intend to conduct business on a self-funding basis (except for funds used to pay an appropriate share of our U.S. corporate overhead), we do not believe the currency fluctuations present a material risk to the Company. As such, we do not use derivative financial instruments to hedge against the risk of foreign currency exposure.</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we have managed the effects of inflation appropriately, and, as a result, it has not had a material impact on our operations and the resulting financial position or liquidity.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application of the following accounting policies requires significant judgments and estimates in the preparation of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and hence, are critical to our business operations and the understanding of our financial results: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including goodwill and intangible assets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81" w:lineRule="exact"/>
        <w:rPr>
          <w:sz w:val="20"/>
          <w:szCs w:val="20"/>
          <w:color w:val="auto"/>
        </w:rPr>
      </w:pPr>
    </w:p>
    <w:p>
      <w:pPr>
        <w:ind w:left="640" w:right="20" w:hanging="320"/>
        <w:spacing w:after="0" w:line="272" w:lineRule="auto"/>
        <w:tabs>
          <w:tab w:leader="none" w:pos="640" w:val="left"/>
        </w:tabs>
        <w:numPr>
          <w:ilvl w:val="0"/>
          <w:numId w:val="6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Impairment of Long-lived Assets (other than Goodwill and Intangible Assets with indefinite lives) – </w:t>
      </w:r>
      <w:r>
        <w:rPr>
          <w:rFonts w:ascii="Arial" w:cs="Arial" w:eastAsia="Arial" w:hAnsi="Arial"/>
          <w:sz w:val="17"/>
          <w:szCs w:val="17"/>
          <w:color w:val="auto"/>
        </w:rPr>
        <w:t>we evaluate our long-lived</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177" w:lineRule="exact"/>
        <w:rPr>
          <w:rFonts w:ascii="Arial" w:cs="Arial" w:eastAsia="Arial" w:hAnsi="Arial"/>
          <w:sz w:val="17"/>
          <w:szCs w:val="17"/>
          <w:i w:val="1"/>
          <w:iCs w:val="1"/>
          <w:color w:val="auto"/>
        </w:rPr>
      </w:pPr>
    </w:p>
    <w:p>
      <w:pPr>
        <w:ind w:left="640"/>
        <w:spacing w:after="0" w:line="259" w:lineRule="auto"/>
        <w:rPr>
          <w:rFonts w:ascii="Arial" w:cs="Arial" w:eastAsia="Arial" w:hAnsi="Arial"/>
          <w:sz w:val="17"/>
          <w:szCs w:val="17"/>
          <w:i w:val="1"/>
          <w:iCs w:val="1"/>
          <w:color w:val="auto"/>
        </w:rPr>
      </w:pPr>
      <w:r>
        <w:rPr>
          <w:rFonts w:ascii="Arial" w:cs="Arial" w:eastAsia="Arial" w:hAnsi="Arial"/>
          <w:sz w:val="18"/>
          <w:szCs w:val="18"/>
          <w:color w:val="auto"/>
        </w:rPr>
        <w:t>Besides the write-down of the carrying amount of our parking structure adjacent to our Courtenay Central ETC in Wellington, New Zealand due to earthquake damage during the 4</w:t>
      </w:r>
      <w:r>
        <w:rPr>
          <w:rFonts w:ascii="Arial" w:cs="Arial" w:eastAsia="Arial" w:hAnsi="Arial"/>
          <w:sz w:val="8"/>
          <w:szCs w:val="8"/>
          <w:color w:val="auto"/>
        </w:rPr>
        <w:t>th</w:t>
      </w:r>
      <w:r>
        <w:rPr>
          <w:rFonts w:ascii="Arial" w:cs="Arial" w:eastAsia="Arial" w:hAnsi="Arial"/>
          <w:sz w:val="18"/>
          <w:szCs w:val="18"/>
          <w:color w:val="auto"/>
        </w:rPr>
        <w:t xml:space="preserve"> quarter of 2016, no other impairment losses were recorded for long-lived and finite-lived intangible assets for the three years ended December 31, 2018. Refer to </w:t>
      </w:r>
      <w:r>
        <w:rPr>
          <w:rFonts w:ascii="Arial" w:cs="Arial" w:eastAsia="Arial" w:hAnsi="Arial"/>
          <w:sz w:val="18"/>
          <w:szCs w:val="18"/>
          <w:i w:val="1"/>
          <w:iCs w:val="1"/>
          <w:color w:val="auto"/>
        </w:rPr>
        <w:t>Note 20 – Insurance Recoveries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and Related Losses due to Earthquake </w:t>
      </w:r>
      <w:r>
        <w:rPr>
          <w:rFonts w:ascii="Arial" w:cs="Arial" w:eastAsia="Arial" w:hAnsi="Arial"/>
          <w:sz w:val="18"/>
          <w:szCs w:val="18"/>
          <w:color w:val="auto"/>
        </w:rPr>
        <w:t>for further details.</w:t>
      </w:r>
    </w:p>
    <w:p>
      <w:pPr>
        <w:spacing w:after="0" w:line="186" w:lineRule="exact"/>
        <w:rPr>
          <w:rFonts w:ascii="Arial" w:cs="Arial" w:eastAsia="Arial" w:hAnsi="Arial"/>
          <w:sz w:val="17"/>
          <w:szCs w:val="17"/>
          <w:i w:val="1"/>
          <w:iCs w:val="1"/>
          <w:color w:val="auto"/>
        </w:rPr>
      </w:pPr>
    </w:p>
    <w:p>
      <w:pPr>
        <w:ind w:left="640" w:right="20" w:hanging="320"/>
        <w:spacing w:after="0" w:line="273" w:lineRule="auto"/>
        <w:tabs>
          <w:tab w:leader="none" w:pos="640" w:val="left"/>
        </w:tabs>
        <w:numPr>
          <w:ilvl w:val="0"/>
          <w:numId w:val="6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Impairment of Goodwill and Intangible Assets with indefinite lives – </w:t>
      </w:r>
      <w:r>
        <w:rPr>
          <w:rFonts w:ascii="Arial" w:cs="Arial" w:eastAsia="Arial" w:hAnsi="Arial"/>
          <w:sz w:val="17"/>
          <w:szCs w:val="17"/>
          <w:color w:val="auto"/>
        </w:rPr>
        <w:t>goodwill and intangible assets with indefinite useful lives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78"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color w:val="auto"/>
        </w:rPr>
        <w:t>No impairment losses were recorded for goodwill and indefinite-lived intangible assets for the three years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recent years, our business acquisition efforts have been focused on our real estate segment. For real estate acquisitions meeting the definition of a “business”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assets acquired and the liabilities assumed are recorded at their fair values as of the acquisition date. To accomplish this, we typically obtain third 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as described in more detail in the section “</w:t>
      </w:r>
      <w:r>
        <w:rPr>
          <w:rFonts w:ascii="Arial" w:cs="Arial" w:eastAsia="Arial" w:hAnsi="Arial"/>
          <w:sz w:val="18"/>
          <w:szCs w:val="18"/>
          <w:i w:val="1"/>
          <w:iCs w:val="1"/>
          <w:color w:val="auto"/>
        </w:rPr>
        <w:t>Business Acquisition</w:t>
      </w:r>
      <w:r>
        <w:rPr>
          <w:rFonts w:ascii="Arial" w:cs="Arial" w:eastAsia="Arial" w:hAnsi="Arial"/>
          <w:sz w:val="18"/>
          <w:szCs w:val="18"/>
          <w:color w:val="auto"/>
        </w:rPr>
        <w:t xml:space="preserve"> </w:t>
      </w:r>
      <w:r>
        <w:rPr>
          <w:rFonts w:ascii="Arial" w:cs="Arial" w:eastAsia="Arial" w:hAnsi="Arial"/>
          <w:sz w:val="18"/>
          <w:szCs w:val="18"/>
          <w:i w:val="1"/>
          <w:iCs w:val="1"/>
          <w:color w:val="auto"/>
        </w:rPr>
        <w:t>Valuation and Purchase Price Allocation</w:t>
      </w:r>
      <w:r>
        <w:rPr>
          <w:rFonts w:ascii="Arial" w:cs="Arial" w:eastAsia="Arial" w:hAnsi="Arial"/>
          <w:sz w:val="18"/>
          <w:szCs w:val="18"/>
          <w:color w:val="auto"/>
        </w:rPr>
        <w:t>” in</w:t>
      </w:r>
      <w:r>
        <w:rPr>
          <w:rFonts w:ascii="Arial" w:cs="Arial" w:eastAsia="Arial" w:hAnsi="Arial"/>
          <w:sz w:val="18"/>
          <w:szCs w:val="18"/>
          <w:i w:val="1"/>
          <w:iCs w:val="1"/>
          <w:color w:val="auto"/>
        </w:rPr>
        <w:t xml:space="preserve"> Note 2 – Summary of Significant Accounting Policies </w:t>
      </w:r>
      <w:r>
        <w:rPr>
          <w:rFonts w:ascii="Arial" w:cs="Arial" w:eastAsia="Arial" w:hAnsi="Arial"/>
          <w:sz w:val="18"/>
          <w:szCs w:val="18"/>
          <w:color w:val="auto"/>
        </w:rPr>
        <w:t>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Gift Card Breakage Income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Generally, our revenue recognition is not assessed as an area requiring significant judgment or estimation. Revenues from ticket and food and beverage sales are recognized when the service is provided – that is when the show has commenced, or the food provided. Transaction fees from online sales are recorded at the time of the online transaction. In regards our real estate business, we execute lease contracts for existing tenancies, but revenue is recognized on a straight-line basis over the lease term.</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Prior to 2014, we recognized revenue for our gift cards and gift certificates issued in the U.S., which do not expire and have no dormancy fees, only when they were redeemed. At the end of fourth quarter of 2016, we determined that we have sufficient historical information to recognize breakage income on them. Based on our review of our own historical redemption patterns using company-wide data accumulated over many years, we considered it preferable to estimate a certain percentage of our gift card and gift certificate sales to be recorded as breakage income as it better reflects of our historical redemption patterns and our earnings process.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Subsequent to this, on January 1, 2018,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modified retrospective method. This adoption changed our revenue recognition policies for gift card breakage revenue to conform to the requirements of the new accounting standard. This adoption is described in detail in the section </w:t>
      </w:r>
      <w:r>
        <w:rPr>
          <w:rFonts w:ascii="Arial" w:cs="Arial" w:eastAsia="Arial" w:hAnsi="Arial"/>
          <w:sz w:val="18"/>
          <w:szCs w:val="18"/>
          <w:i w:val="1"/>
          <w:iCs w:val="1"/>
          <w:color w:val="auto"/>
        </w:rPr>
        <w:t>Note 2 –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 Accounting Changes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74" w:name="page75"/>
    <w:bookmarkEnd w:id="74"/>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Tax valuation allowance and deferred taxes </w:t>
      </w:r>
      <w:r>
        <w:rPr>
          <w:rFonts w:ascii="Arial" w:cs="Arial" w:eastAsia="Arial" w:hAnsi="Arial"/>
          <w:sz w:val="17"/>
          <w:szCs w:val="17"/>
          <w:color w:val="auto"/>
        </w:rPr>
        <w:t>We record our estimated future tax benefits and liabilities arising from the temporary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differences between the tax bases of assets and liabilities and amounts reported in the accompanying consolidated balance sheets, as well as operating loss carry-forwards. We estimate the recoverability of any tax assets recorded on the balance sheet and provide any necessary allowances as required. As of December 31, 2018, we had recorded approximately $32.9 million of deferred tax assets (net of $1.6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$6.7 million resulting in a net deferred tax asset of $26.2 million. The recoverability of deferred tax assets is dependent upon our ability to generate future taxable income.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u w:val="single" w:color="auto"/>
          <w:color w:val="auto"/>
        </w:rPr>
        <w:t>loss contingencies</w:t>
      </w:r>
      <w:r>
        <w:rPr>
          <w:rFonts w:ascii="Arial" w:cs="Arial" w:eastAsia="Arial" w:hAnsi="Arial"/>
          <w:sz w:val="18"/>
          <w:szCs w:val="18"/>
          <w:color w:val="auto"/>
        </w:rPr>
        <w:t>, we record any loss contingencies when there is a “probable” likelihood that the liability had been incurred and the amount of the loss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u w:val="single" w:color="auto"/>
          <w:color w:val="auto"/>
        </w:rPr>
        <w:t>other contingencies,</w:t>
      </w:r>
    </w:p>
    <w:p>
      <w:pPr>
        <w:spacing w:after="0" w:line="225" w:lineRule="exact"/>
        <w:rPr>
          <w:sz w:val="20"/>
          <w:szCs w:val="20"/>
          <w:color w:val="auto"/>
        </w:rPr>
      </w:pPr>
    </w:p>
    <w:p>
      <w:pPr>
        <w:ind w:left="640" w:hanging="320"/>
        <w:spacing w:after="0" w:line="264" w:lineRule="auto"/>
        <w:tabs>
          <w:tab w:leader="none" w:pos="640" w:val="left"/>
        </w:tabs>
        <w:numPr>
          <w:ilvl w:val="0"/>
          <w:numId w:val="62"/>
        </w:numPr>
        <w:rPr>
          <w:rFonts w:ascii="Arial" w:cs="Arial" w:eastAsia="Arial" w:hAnsi="Arial"/>
          <w:sz w:val="18"/>
          <w:szCs w:val="18"/>
          <w:i w:val="1"/>
          <w:iCs w:val="1"/>
          <w:color w:val="auto"/>
        </w:rPr>
      </w:pPr>
      <w:r>
        <w:rPr>
          <w:rFonts w:ascii="Arial" w:cs="Arial" w:eastAsia="Arial" w:hAnsi="Arial"/>
          <w:sz w:val="18"/>
          <w:szCs w:val="18"/>
          <w:color w:val="auto"/>
        </w:rPr>
        <w:t>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spacing w:after="0" w:line="181" w:lineRule="exact"/>
        <w:rPr>
          <w:rFonts w:ascii="Arial" w:cs="Arial" w:eastAsia="Arial" w:hAnsi="Arial"/>
          <w:sz w:val="18"/>
          <w:szCs w:val="18"/>
          <w:i w:val="1"/>
          <w:iCs w:val="1"/>
          <w:color w:val="auto"/>
        </w:rPr>
      </w:pPr>
    </w:p>
    <w:p>
      <w:pPr>
        <w:ind w:left="640" w:right="240" w:hanging="320"/>
        <w:spacing w:after="0" w:line="277" w:lineRule="auto"/>
        <w:tabs>
          <w:tab w:leader="none" w:pos="640" w:val="left"/>
        </w:tabs>
        <w:numPr>
          <w:ilvl w:val="0"/>
          <w:numId w:val="62"/>
        </w:numPr>
        <w:rPr>
          <w:rFonts w:ascii="Arial" w:cs="Arial" w:eastAsia="Arial" w:hAnsi="Arial"/>
          <w:sz w:val="18"/>
          <w:szCs w:val="18"/>
          <w:i w:val="1"/>
          <w:iCs w:val="1"/>
          <w:color w:val="auto"/>
        </w:rPr>
      </w:pPr>
      <w:r>
        <w:rPr>
          <w:rFonts w:ascii="Arial" w:cs="Arial" w:eastAsia="Arial" w:hAnsi="Arial"/>
          <w:sz w:val="18"/>
          <w:szCs w:val="18"/>
          <w:color w:val="auto"/>
        </w:rPr>
        <w:t>for gain contingencies resulting from legal settlements, we record those settlements in our consolidated statements of operations when cash or other forms of payments are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regards to our significant contingencies during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From time-to-time, we are involved with claims and lawsuits arising in the ordinary course of our business that may include contractual obligations, insurance claims, tax claims, employment matters, and anti-trust issues, among other matters. We provide accruals for matters that have probable likelihood of occurrence and can be properly estimated as to their expected negative outcome. We do not record expected gains until the proceeds (either in cash or other forms of payments) are received by us. Please refer to </w:t>
      </w:r>
      <w:r>
        <w:rPr>
          <w:rFonts w:ascii="Arial" w:cs="Arial" w:eastAsia="Arial" w:hAnsi="Arial"/>
          <w:sz w:val="18"/>
          <w:szCs w:val="18"/>
          <w:i w:val="1"/>
          <w:iCs w:val="1"/>
          <w:color w:val="auto"/>
        </w:rPr>
        <w:t>Note 12 –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the Consolidated Financial Statements included herein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this report for more information on legal matters.</w:t>
      </w:r>
    </w:p>
    <w:p>
      <w:pPr>
        <w:spacing w:after="0" w:line="193"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For a summary of our significant accounting policies, including the critical accounting estimates discussed above, see Note 2 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report.</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7A – Quantitative and Qualitative Disclosure about Market Risk</w:t>
      </w:r>
    </w:p>
    <w:p>
      <w:pPr>
        <w:spacing w:after="0" w:line="24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ind w:left="640" w:hanging="320"/>
        <w:spacing w:after="0" w:line="212" w:lineRule="auto"/>
        <w:tabs>
          <w:tab w:leader="none" w:pos="64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it is based on a single point in time; and,</w:t>
      </w:r>
    </w:p>
    <w:p>
      <w:pPr>
        <w:spacing w:after="0" w:line="97"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63"/>
        </w:numPr>
        <w:rPr>
          <w:rFonts w:ascii="Arial" w:cs="Arial" w:eastAsia="Arial" w:hAnsi="Arial"/>
          <w:sz w:val="24"/>
          <w:szCs w:val="24"/>
          <w:color w:val="auto"/>
          <w:vertAlign w:val="superscript"/>
        </w:rPr>
      </w:pPr>
      <w:r>
        <w:rPr>
          <w:rFonts w:ascii="Arial" w:cs="Arial" w:eastAsia="Arial" w:hAnsi="Arial"/>
          <w:sz w:val="15"/>
          <w:szCs w:val="15"/>
          <w:color w:val="auto"/>
        </w:rPr>
        <w:t>it does not include the effects of other complex market reactions that would arise from the changes modeled.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Although the results of such an analysis may be useful as a benchmark, they should not be viewed as forecasts.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At December 31, 2018, approximately 36% and 14% of our assets were invested in assets denominated in Australian dollars (Reading Australia) and New Zealand dollars (Reading New Zealand), respectively, including approximately $5.5 million in cash and cash equivalents. At December 31, 2017, approximately 40% and 15% of our assets were invested in assets denominated in Australian and New Zealand dollars, respectively, including approximately $4.5 million in cash and cash equivalents.</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policy in Australia and New Zealand is to match revenues and expenses, whenever possible, in local currencies. As a result, we have procured in local currencies a majority of our expenses in Australia and New Zealand. Despite this natural hedge, recent movements in foreign currencies have had an effect on our current earnings. Although foreign currency has had an effect on our current earnings, the effect of the translation adjustment on our assets and liabilities noted in our other comprehensive income was an decrease of $14.9 million for the year ended December 31, 2018. As we continue to progress our acquisition and development activities in Australia and New Zealand, that the foreign currency effect on our earnings may be significant in the future.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41" w:right="899" w:bottom="1440" w:gutter="0" w:footer="0" w:header="0"/>
        </w:sectPr>
      </w:pPr>
    </w:p>
    <w:bookmarkStart w:id="75" w:name="page76"/>
    <w:bookmarkEnd w:id="75"/>
    <w:p>
      <w:pPr>
        <w:spacing w:after="0" w:line="290" w:lineRule="auto"/>
        <w:rPr>
          <w:sz w:val="20"/>
          <w:szCs w:val="20"/>
          <w:color w:val="auto"/>
        </w:rPr>
      </w:pPr>
      <w:r>
        <w:rPr>
          <w:rFonts w:ascii="Arial" w:cs="Arial" w:eastAsia="Arial" w:hAnsi="Arial"/>
          <w:sz w:val="16"/>
          <w:szCs w:val="16"/>
          <w:color w:val="auto"/>
        </w:rPr>
        <w:t>Historically, our policy has been to borrow in local currencies to finance the development and construction of our long-term assets in the U.S., Australia and New Zealand whenever possible. As a result, the borrowings in local currencies have provided somewhat of a natural hedge against the foreign currency exchange exposure. Even so, and as a result of our issuance of fully subordinated Trust Preferred Securities in 2007, and their subsequent partial repayment, approximately 63% and 73% of our Australian and New Zealand assets, respectively, remain subject to such exposure, unless we elect to hedge our foreign currency exchange between the U.S. and Australian and New Zealand dollars. If the foreign currency rates were to fluctuate by 10%, the resulting change in Australian and New Zealand assets would result in an increase or decrease of $9.9 million and $4.5 million, respectively, and the change in our net income for the year would be $1.4 million and $43,000, respectively. Presently, we have no plan to hedge such exposure.</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changes in the tax landscape caused by the Tax Cuts and Jobs Act of 2017, we may reconsider our strategy for financing operations and redevelopment projects in the three countries we are invested in, which may include increased borrowings from banks in higher-tax countries, and dividends to the U.S. from foreign subsidiaries, being mindful of withholding taxes on interest, and thin capitalization limitations on interest deduction in Australia and New Zealand.</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record unrealized foreign currency translation gains or losses that could materially affect our financial position. We have accumulated unrealized foreign currency translation gains of approximately $8.7 million and $23.6 million as of December 31, 2018 and 2017, respectively.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a combination of fixed and variable interest rate loans. In connection with our variable interest rate loans, a change of approximately 1% in short-term interest rates would have resulted in approximately $1.4 million increase or decrease in our 2018 interest expense.</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20"/>
          </w:cols>
          <w:pgMar w:left="900" w:top="125" w:right="97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u w:val="single" w:color="auto"/>
          <w:color w:val="auto"/>
        </w:rPr>
        <w:t>Item 8 – Financial Statements and Supplementary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240" w:type="dxa"/>
            <w:vAlign w:val="bottom"/>
            <w:gridSpan w:val="5"/>
          </w:tcPr>
          <w:p>
            <w:pPr>
              <w:jc w:val="center"/>
              <w:ind w:right="2360"/>
              <w:spacing w:after="0"/>
              <w:rPr>
                <w:sz w:val="20"/>
                <w:szCs w:val="20"/>
                <w:color w:val="auto"/>
              </w:rPr>
            </w:pPr>
            <w:r>
              <w:rPr>
                <w:rFonts w:ascii="Arial" w:cs="Arial" w:eastAsia="Arial" w:hAnsi="Arial"/>
                <w:sz w:val="18"/>
                <w:szCs w:val="18"/>
                <w:b w:val="1"/>
                <w:bCs w:val="1"/>
                <w:color w:val="auto"/>
              </w:rPr>
              <w:t>READING INTERNATIONAL, INC.</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8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2360" w:type="dxa"/>
            <w:vAlign w:val="bottom"/>
            <w:gridSpan w:val="3"/>
          </w:tcPr>
          <w:p>
            <w:pPr>
              <w:spacing w:after="0"/>
              <w:rPr>
                <w:sz w:val="20"/>
                <w:szCs w:val="20"/>
                <w:color w:val="auto"/>
              </w:rPr>
            </w:pPr>
          </w:p>
        </w:tc>
        <w:tc>
          <w:tcPr>
            <w:tcW w:w="1560" w:type="dxa"/>
            <w:vAlign w:val="bottom"/>
            <w:vMerge w:val="restart"/>
          </w:tcPr>
          <w:p>
            <w:pPr>
              <w:jc w:val="right"/>
              <w:ind w:right="5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4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Management’s Report on Internal Control over Financial Reporting</w:t>
              </w:r>
            </w:hyperlink>
          </w:p>
        </w:tc>
        <w:tc>
          <w:tcPr>
            <w:tcW w:w="3580" w:type="dxa"/>
            <w:vAlign w:val="bottom"/>
            <w:tcBorders>
              <w:bottom w:val="single" w:sz="8" w:color="CCEEFF"/>
            </w:tcBorders>
            <w:gridSpan w:val="4"/>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8440" w:type="dxa"/>
            <w:vAlign w:val="bottom"/>
            <w:gridSpan w:val="6"/>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Report of Independent Registered Public Accounting Firm (Consolidated Financial Statements)</w:t>
              </w:r>
            </w:hyperlink>
          </w:p>
        </w:tc>
        <w:tc>
          <w:tcPr>
            <w:tcW w:w="1560" w:type="dxa"/>
            <w:vAlign w:val="bottom"/>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Report of Independent Registered Public Accounting Firm (Internal Control over Financial Reporting)</w:t>
              </w:r>
            </w:hyperlink>
          </w:p>
        </w:tc>
        <w:tc>
          <w:tcPr>
            <w:tcW w:w="10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200" w:type="dxa"/>
            <w:vAlign w:val="bottom"/>
            <w:gridSpan w:val="4"/>
          </w:tcPr>
          <w:p>
            <w:pPr>
              <w:jc w:val="right"/>
              <w:ind w:right="900"/>
              <w:spacing w:after="0"/>
              <w:rPr>
                <w:sz w:val="20"/>
                <w:szCs w:val="20"/>
                <w:color w:val="auto"/>
              </w:rPr>
            </w:pPr>
            <w:r>
              <w:rPr>
                <w:rFonts w:ascii="Arial" w:cs="Arial" w:eastAsia="Arial" w:hAnsi="Arial"/>
                <w:sz w:val="18"/>
                <w:szCs w:val="18"/>
                <w:color w:val="auto"/>
              </w:rPr>
              <w:t>- 76 -</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20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8440" w:type="dxa"/>
            <w:vAlign w:val="bottom"/>
            <w:gridSpan w:val="4"/>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Balance Sheets as of December 31, 2018 and 2017</w:t>
              </w:r>
            </w:hyperlink>
          </w:p>
        </w:tc>
        <w:tc>
          <w:tcPr>
            <w:tcW w:w="15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464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Income for the Three Years Ended December 31, 2018</w:t>
              </w:r>
            </w:hyperlink>
          </w:p>
        </w:tc>
        <w:tc>
          <w:tcPr>
            <w:tcW w:w="2480" w:type="dxa"/>
            <w:vAlign w:val="bottom"/>
            <w:tcBorders>
              <w:bottom w:val="single" w:sz="8" w:color="CCEEFF"/>
            </w:tcBorders>
            <w:gridSpan w:val="2"/>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8440" w:type="dxa"/>
            <w:vAlign w:val="bottom"/>
            <w:gridSpan w:val="4"/>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Comprehensive Income for the Three Years Ended December 31, 2018</w:t>
              </w:r>
            </w:hyperlink>
          </w:p>
        </w:tc>
        <w:tc>
          <w:tcPr>
            <w:tcW w:w="1560" w:type="dxa"/>
            <w:vAlign w:val="bottom"/>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5"/>
                <w:szCs w:val="15"/>
                <w:color w:val="auto"/>
              </w:rPr>
            </w:pPr>
          </w:p>
        </w:tc>
      </w:tr>
      <w:tr>
        <w:trPr>
          <w:trHeight w:val="453"/>
        </w:trPr>
        <w:tc>
          <w:tcPr>
            <w:tcW w:w="120" w:type="dxa"/>
            <w:vAlign w:val="bottom"/>
          </w:tcPr>
          <w:p>
            <w:pPr>
              <w:spacing w:after="0"/>
              <w:rPr>
                <w:sz w:val="24"/>
                <w:szCs w:val="24"/>
                <w:color w:val="auto"/>
              </w:rPr>
            </w:pPr>
          </w:p>
        </w:tc>
        <w:tc>
          <w:tcPr>
            <w:tcW w:w="5960" w:type="dxa"/>
            <w:vAlign w:val="bottom"/>
            <w:tcBorders>
              <w:top w:val="single" w:sz="8" w:color="0000EE"/>
            </w:tcBorders>
            <w:gridSpan w:val="2"/>
          </w:tcPr>
          <w:p>
            <w:pPr>
              <w:jc w:val="right"/>
              <w:ind w:right="780"/>
              <w:spacing w:after="0"/>
              <w:rPr>
                <w:sz w:val="20"/>
                <w:szCs w:val="20"/>
                <w:color w:val="auto"/>
              </w:rPr>
            </w:pPr>
            <w:r>
              <w:rPr>
                <w:rFonts w:ascii="Arial" w:cs="Arial" w:eastAsia="Arial" w:hAnsi="Arial"/>
                <w:sz w:val="18"/>
                <w:szCs w:val="18"/>
                <w:color w:val="auto"/>
              </w:rPr>
              <w:t>- 77 -</w:t>
            </w:r>
          </w:p>
        </w:tc>
        <w:tc>
          <w:tcPr>
            <w:tcW w:w="116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6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2"/>
        </w:trPr>
        <w:tc>
          <w:tcPr>
            <w:tcW w:w="120" w:type="dxa"/>
            <w:vAlign w:val="bottom"/>
            <w:tcBorders>
              <w:bottom w:val="single" w:sz="8" w:color="CCEEFF"/>
            </w:tcBorders>
            <w:shd w:val="clear" w:color="auto" w:fill="CCEEFF"/>
          </w:tcPr>
          <w:p>
            <w:pPr>
              <w:spacing w:after="0"/>
              <w:rPr>
                <w:sz w:val="19"/>
                <w:szCs w:val="19"/>
                <w:color w:val="auto"/>
              </w:rPr>
            </w:pPr>
          </w:p>
        </w:tc>
        <w:tc>
          <w:tcPr>
            <w:tcW w:w="69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Stockholders’ Equity for the Three Years Ended December 31, 2018</w:t>
              </w:r>
            </w:hyperlink>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6940" w:type="dxa"/>
            <w:vAlign w:val="bottom"/>
            <w:tcBorders>
              <w:top w:val="single" w:sz="8" w:color="CCEEFF"/>
            </w:tcBorders>
            <w:gridSpan w:val="4"/>
          </w:tcPr>
          <w:p>
            <w:pPr>
              <w:spacing w:after="0" w:line="176" w:lineRule="exact"/>
              <w:rPr>
                <w:rFonts w:ascii="Arial" w:cs="Arial" w:eastAsia="Arial" w:hAnsi="Arial"/>
                <w:sz w:val="18"/>
                <w:szCs w:val="18"/>
                <w:color w:val="0000EE"/>
                <w:w w:val="98"/>
              </w:rPr>
            </w:pPr>
            <w:hyperlink w:anchor="page92">
              <w:r>
                <w:rPr>
                  <w:rFonts w:ascii="Arial" w:cs="Arial" w:eastAsia="Arial" w:hAnsi="Arial"/>
                  <w:sz w:val="18"/>
                  <w:szCs w:val="18"/>
                  <w:color w:val="0000EE"/>
                  <w:w w:val="98"/>
                </w:rPr>
                <w:t>Consolidated Statements of Cash Flows for the Three Years Ended December 31, 2018</w:t>
              </w:r>
            </w:hyperlink>
          </w:p>
        </w:tc>
        <w:tc>
          <w:tcPr>
            <w:tcW w:w="30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6940" w:type="dxa"/>
            <w:vAlign w:val="bottom"/>
            <w:gridSpan w:val="4"/>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w:t>
              </w:r>
            </w:hyperlink>
          </w:p>
        </w:tc>
        <w:tc>
          <w:tcPr>
            <w:tcW w:w="3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6940" w:type="dxa"/>
            <w:vAlign w:val="bottom"/>
            <w:gridSpan w:val="4"/>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 1 – Description of Business and Segment Reporting</w:t>
              </w:r>
            </w:hyperlink>
          </w:p>
        </w:tc>
        <w:tc>
          <w:tcPr>
            <w:tcW w:w="3060" w:type="dxa"/>
            <w:vAlign w:val="bottom"/>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5"/>
                <w:szCs w:val="15"/>
                <w:color w:val="auto"/>
              </w:rPr>
            </w:pPr>
          </w:p>
        </w:tc>
      </w:tr>
      <w:tr>
        <w:trPr>
          <w:trHeight w:val="453"/>
        </w:trPr>
        <w:tc>
          <w:tcPr>
            <w:tcW w:w="120" w:type="dxa"/>
            <w:vAlign w:val="bottom"/>
          </w:tcPr>
          <w:p>
            <w:pPr>
              <w:spacing w:after="0"/>
              <w:rPr>
                <w:sz w:val="24"/>
                <w:szCs w:val="24"/>
                <w:color w:val="auto"/>
              </w:rPr>
            </w:pPr>
          </w:p>
        </w:tc>
        <w:tc>
          <w:tcPr>
            <w:tcW w:w="4120" w:type="dxa"/>
            <w:vAlign w:val="bottom"/>
            <w:tcBorders>
              <w:top w:val="single" w:sz="8" w:color="0000EE"/>
            </w:tcBorders>
            <w:gridSpan w:val="2"/>
          </w:tcPr>
          <w:p>
            <w:pPr>
              <w:spacing w:after="0"/>
              <w:rPr>
                <w:sz w:val="24"/>
                <w:szCs w:val="24"/>
                <w:color w:val="auto"/>
              </w:rPr>
            </w:pPr>
          </w:p>
        </w:tc>
        <w:tc>
          <w:tcPr>
            <w:tcW w:w="2140" w:type="dxa"/>
            <w:vAlign w:val="bottom"/>
          </w:tcPr>
          <w:p>
            <w:pPr>
              <w:jc w:val="right"/>
              <w:ind w:right="990"/>
              <w:spacing w:after="0"/>
              <w:rPr>
                <w:sz w:val="20"/>
                <w:szCs w:val="20"/>
                <w:color w:val="auto"/>
              </w:rPr>
            </w:pPr>
            <w:r>
              <w:rPr>
                <w:rFonts w:ascii="Arial" w:cs="Arial" w:eastAsia="Arial" w:hAnsi="Arial"/>
                <w:sz w:val="18"/>
                <w:szCs w:val="18"/>
                <w:color w:val="auto"/>
              </w:rPr>
              <w:t>- 78 -</w:t>
            </w:r>
          </w:p>
        </w:tc>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8"/>
        </w:trPr>
        <w:tc>
          <w:tcPr>
            <w:tcW w:w="120" w:type="dxa"/>
            <w:vAlign w:val="bottom"/>
            <w:shd w:val="clear" w:color="auto" w:fill="CCEEFF"/>
          </w:tcPr>
          <w:p>
            <w:pPr>
              <w:spacing w:after="0"/>
              <w:rPr>
                <w:sz w:val="19"/>
                <w:szCs w:val="19"/>
                <w:color w:val="auto"/>
              </w:rPr>
            </w:pPr>
          </w:p>
        </w:tc>
        <w:tc>
          <w:tcPr>
            <w:tcW w:w="4800" w:type="dxa"/>
            <w:vAlign w:val="bottom"/>
            <w:gridSpan w:val="7"/>
            <w:shd w:val="clear" w:color="auto" w:fill="CCEEFF"/>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Note 2 – Summary of Significant Accounting Policies</w:t>
              </w:r>
            </w:hyperlink>
          </w:p>
        </w:tc>
        <w:tc>
          <w:tcPr>
            <w:tcW w:w="5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Note 3</w:t>
              </w:r>
            </w:hyperlink>
          </w:p>
        </w:tc>
        <w:tc>
          <w:tcPr>
            <w:tcW w:w="3380" w:type="dxa"/>
            <w:vAlign w:val="bottom"/>
            <w:tcBorders>
              <w:top w:val="single" w:sz="8" w:color="0000EE"/>
            </w:tcBorders>
            <w:gridSpan w:val="4"/>
          </w:tcPr>
          <w:p>
            <w:pPr>
              <w:ind w:left="2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 Earnings Per Share</w:t>
              </w:r>
            </w:hyperlink>
          </w:p>
        </w:tc>
        <w:tc>
          <w:tcPr>
            <w:tcW w:w="920" w:type="dxa"/>
            <w:vAlign w:val="bottom"/>
            <w:tcBorders>
              <w:top w:val="single" w:sz="8" w:color="CCEEFF"/>
            </w:tcBorders>
            <w:gridSpan w:val="2"/>
          </w:tcPr>
          <w:p>
            <w:pPr>
              <w:spacing w:after="0"/>
              <w:rPr>
                <w:sz w:val="15"/>
                <w:szCs w:val="15"/>
                <w:color w:val="auto"/>
              </w:rPr>
            </w:pPr>
          </w:p>
        </w:tc>
        <w:tc>
          <w:tcPr>
            <w:tcW w:w="52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Note 4</w:t>
              </w:r>
            </w:hyperlink>
          </w:p>
        </w:tc>
        <w:tc>
          <w:tcPr>
            <w:tcW w:w="1940" w:type="dxa"/>
            <w:vAlign w:val="bottom"/>
            <w:tcBorders>
              <w:bottom w:val="single" w:sz="8" w:color="0000EE"/>
            </w:tcBorders>
            <w:gridSpan w:val="2"/>
            <w:shd w:val="clear" w:color="auto" w:fill="CCEEFF"/>
          </w:tcPr>
          <w:p>
            <w:pPr>
              <w:ind w:left="20"/>
              <w:spacing w:after="0" w:line="176" w:lineRule="exact"/>
              <w:rPr>
                <w:rFonts w:ascii="Arial" w:cs="Arial" w:eastAsia="Arial" w:hAnsi="Arial"/>
                <w:sz w:val="18"/>
                <w:szCs w:val="18"/>
                <w:color w:val="0000EE"/>
                <w:w w:val="87"/>
              </w:rPr>
            </w:pPr>
            <w:hyperlink w:anchor="page105">
              <w:r>
                <w:rPr>
                  <w:rFonts w:ascii="Arial" w:cs="Arial" w:eastAsia="Arial" w:hAnsi="Arial"/>
                  <w:sz w:val="18"/>
                  <w:szCs w:val="18"/>
                  <w:color w:val="0000EE"/>
                  <w:w w:val="87"/>
                </w:rPr>
                <w:t>– Real Estate Transactions</w:t>
              </w:r>
            </w:hyperlink>
          </w:p>
        </w:tc>
        <w:tc>
          <w:tcPr>
            <w:tcW w:w="2360" w:type="dxa"/>
            <w:vAlign w:val="bottom"/>
            <w:tcBorders>
              <w:bottom w:val="single" w:sz="8" w:color="CCEEFF"/>
            </w:tcBorders>
            <w:gridSpan w:val="4"/>
            <w:shd w:val="clear" w:color="auto" w:fill="CCEEFF"/>
          </w:tcPr>
          <w:p>
            <w:pPr>
              <w:spacing w:after="0"/>
              <w:rPr>
                <w:sz w:val="17"/>
                <w:szCs w:val="17"/>
                <w:color w:val="auto"/>
              </w:rPr>
            </w:pPr>
          </w:p>
        </w:tc>
        <w:tc>
          <w:tcPr>
            <w:tcW w:w="5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Note 5</w:t>
              </w:r>
            </w:hyperlink>
          </w:p>
        </w:tc>
        <w:tc>
          <w:tcPr>
            <w:tcW w:w="4300" w:type="dxa"/>
            <w:vAlign w:val="bottom"/>
            <w:gridSpan w:val="6"/>
          </w:tcPr>
          <w:p>
            <w:pPr>
              <w:ind w:left="2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 Properties and Equipments</w:t>
              </w:r>
            </w:hyperlink>
          </w:p>
        </w:tc>
        <w:tc>
          <w:tcPr>
            <w:tcW w:w="5200" w:type="dxa"/>
            <w:vAlign w:val="bottom"/>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Note 6</w:t>
              </w:r>
            </w:hyperlink>
          </w:p>
        </w:tc>
        <w:tc>
          <w:tcPr>
            <w:tcW w:w="3460" w:type="dxa"/>
            <w:vAlign w:val="bottom"/>
            <w:tcBorders>
              <w:bottom w:val="single" w:sz="8" w:color="0000EE"/>
            </w:tcBorders>
            <w:gridSpan w:val="5"/>
            <w:shd w:val="clear" w:color="auto" w:fill="CCEEFF"/>
          </w:tcPr>
          <w:p>
            <w:pPr>
              <w:ind w:left="20"/>
              <w:spacing w:after="0" w:line="17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 Investments in Unconsolidated Joint Ventures</w:t>
              </w:r>
            </w:hyperlink>
          </w:p>
        </w:tc>
        <w:tc>
          <w:tcPr>
            <w:tcW w:w="840" w:type="dxa"/>
            <w:vAlign w:val="bottom"/>
            <w:tcBorders>
              <w:bottom w:val="single" w:sz="8" w:color="CCEEFF"/>
            </w:tcBorders>
            <w:shd w:val="clear" w:color="auto" w:fill="CCEEFF"/>
          </w:tcPr>
          <w:p>
            <w:pPr>
              <w:spacing w:after="0"/>
              <w:rPr>
                <w:sz w:val="17"/>
                <w:szCs w:val="17"/>
                <w:color w:val="auto"/>
              </w:rPr>
            </w:pPr>
          </w:p>
        </w:tc>
        <w:tc>
          <w:tcPr>
            <w:tcW w:w="5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r>
      <w:tr>
        <w:trPr>
          <w:trHeight w:val="432"/>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00" w:type="dxa"/>
            <w:vAlign w:val="bottom"/>
            <w:gridSpan w:val="6"/>
          </w:tcPr>
          <w:p>
            <w:pPr>
              <w:ind w:left="4200"/>
              <w:spacing w:after="0"/>
              <w:rPr>
                <w:sz w:val="20"/>
                <w:szCs w:val="20"/>
                <w:color w:val="auto"/>
              </w:rPr>
            </w:pPr>
            <w:r>
              <w:rPr>
                <w:rFonts w:ascii="Arial" w:cs="Arial" w:eastAsia="Arial" w:hAnsi="Arial"/>
                <w:sz w:val="18"/>
                <w:szCs w:val="18"/>
                <w:color w:val="auto"/>
              </w:rPr>
              <w:t>-</w:t>
            </w:r>
          </w:p>
        </w:tc>
        <w:tc>
          <w:tcPr>
            <w:tcW w:w="5200" w:type="dxa"/>
            <w:vAlign w:val="bottom"/>
          </w:tcPr>
          <w:p>
            <w:pPr>
              <w:jc w:val="right"/>
              <w:ind w:right="4730"/>
              <w:spacing w:after="0"/>
              <w:rPr>
                <w:sz w:val="20"/>
                <w:szCs w:val="20"/>
                <w:color w:val="auto"/>
              </w:rPr>
            </w:pPr>
            <w:r>
              <w:rPr>
                <w:rFonts w:ascii="Arial" w:cs="Arial" w:eastAsia="Arial" w:hAnsi="Arial"/>
                <w:sz w:val="18"/>
                <w:szCs w:val="18"/>
                <w:color w:val="auto"/>
              </w:rPr>
              <w:t>79 -</w:t>
            </w: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5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00" w:type="dxa"/>
            <w:vAlign w:val="bottom"/>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Note 7</w:t>
              </w:r>
            </w:hyperlink>
          </w:p>
        </w:tc>
        <w:tc>
          <w:tcPr>
            <w:tcW w:w="5840" w:type="dxa"/>
            <w:vAlign w:val="bottom"/>
            <w:gridSpan w:val="4"/>
          </w:tcPr>
          <w:p>
            <w:pPr>
              <w:ind w:left="20"/>
              <w:spacing w:after="0"/>
              <w:rPr>
                <w:rFonts w:ascii="Arial" w:cs="Arial" w:eastAsia="Arial" w:hAnsi="Arial"/>
                <w:sz w:val="18"/>
                <w:szCs w:val="18"/>
                <w:color w:val="0000EE"/>
              </w:rPr>
            </w:pPr>
            <w:hyperlink w:anchor="page107">
              <w:r>
                <w:rPr>
                  <w:rFonts w:ascii="Arial" w:cs="Arial" w:eastAsia="Arial" w:hAnsi="Arial"/>
                  <w:sz w:val="18"/>
                  <w:szCs w:val="18"/>
                  <w:color w:val="0000EE"/>
                </w:rPr>
                <w:t>– Goodwill and Intangible Assets</w:t>
              </w:r>
            </w:hyperlink>
          </w:p>
        </w:tc>
        <w:tc>
          <w:tcPr>
            <w:tcW w:w="36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Note 8</w:t>
              </w:r>
            </w:hyperlink>
          </w:p>
        </w:tc>
        <w:tc>
          <w:tcPr>
            <w:tcW w:w="584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 Prepaid and Other Assets</w:t>
              </w:r>
            </w:hyperlink>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r>
      <w:tr>
        <w:trPr>
          <w:trHeight w:val="176"/>
        </w:trPr>
        <w:tc>
          <w:tcPr>
            <w:tcW w:w="120" w:type="dxa"/>
            <w:vAlign w:val="bottom"/>
            <w:tcBorders>
              <w:top w:val="single" w:sz="8" w:color="CCEEFF"/>
            </w:tcBorders>
          </w:tcPr>
          <w:p>
            <w:pPr>
              <w:spacing w:after="0"/>
              <w:rPr>
                <w:sz w:val="15"/>
                <w:szCs w:val="15"/>
                <w:color w:val="auto"/>
              </w:rPr>
            </w:pPr>
          </w:p>
        </w:tc>
        <w:tc>
          <w:tcPr>
            <w:tcW w:w="5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Note 9</w:t>
              </w:r>
            </w:hyperlink>
          </w:p>
        </w:tc>
        <w:tc>
          <w:tcPr>
            <w:tcW w:w="1160" w:type="dxa"/>
            <w:vAlign w:val="bottom"/>
            <w:tcBorders>
              <w:top w:val="single" w:sz="8" w:color="0000EE"/>
              <w:bottom w:val="single" w:sz="8" w:color="0000EE"/>
            </w:tcBorders>
          </w:tcPr>
          <w:p>
            <w:pPr>
              <w:ind w:left="20"/>
              <w:spacing w:after="0" w:line="176" w:lineRule="exact"/>
              <w:rPr>
                <w:rFonts w:ascii="Arial" w:cs="Arial" w:eastAsia="Arial" w:hAnsi="Arial"/>
                <w:sz w:val="18"/>
                <w:szCs w:val="18"/>
                <w:color w:val="0000EE"/>
                <w:w w:val="87"/>
              </w:rPr>
            </w:pPr>
            <w:hyperlink w:anchor="page108">
              <w:r>
                <w:rPr>
                  <w:rFonts w:ascii="Arial" w:cs="Arial" w:eastAsia="Arial" w:hAnsi="Arial"/>
                  <w:sz w:val="18"/>
                  <w:szCs w:val="18"/>
                  <w:color w:val="0000EE"/>
                  <w:w w:val="87"/>
                </w:rPr>
                <w:t>– Income Taxes</w:t>
              </w:r>
            </w:hyperlink>
          </w:p>
        </w:tc>
        <w:tc>
          <w:tcPr>
            <w:tcW w:w="820" w:type="dxa"/>
            <w:vAlign w:val="bottom"/>
            <w:tcBorders>
              <w:top w:val="single" w:sz="8" w:color="0000EE"/>
            </w:tcBorders>
          </w:tcPr>
          <w:p>
            <w:pPr>
              <w:spacing w:after="0"/>
              <w:rPr>
                <w:sz w:val="15"/>
                <w:szCs w:val="15"/>
                <w:color w:val="auto"/>
              </w:rPr>
            </w:pPr>
          </w:p>
        </w:tc>
        <w:tc>
          <w:tcPr>
            <w:tcW w:w="3860" w:type="dxa"/>
            <w:vAlign w:val="bottom"/>
            <w:tcBorders>
              <w:top w:val="single" w:sz="8" w:color="CCEEFF"/>
            </w:tcBorders>
            <w:gridSpan w:val="2"/>
          </w:tcPr>
          <w:p>
            <w:pPr>
              <w:spacing w:after="0"/>
              <w:rPr>
                <w:sz w:val="15"/>
                <w:szCs w:val="15"/>
                <w:color w:val="auto"/>
              </w:rPr>
            </w:pPr>
          </w:p>
        </w:tc>
        <w:tc>
          <w:tcPr>
            <w:tcW w:w="36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Note 10 – Borrowings</w:t>
              </w:r>
            </w:hyperlink>
          </w:p>
        </w:tc>
        <w:tc>
          <w:tcPr>
            <w:tcW w:w="3200" w:type="dxa"/>
            <w:vAlign w:val="bottom"/>
            <w:tcBorders>
              <w:bottom w:val="single" w:sz="8" w:color="CCEEFF"/>
            </w:tcBorders>
            <w:gridSpan w:val="2"/>
            <w:shd w:val="clear" w:color="auto" w:fill="CCEEFF"/>
          </w:tcPr>
          <w:p>
            <w:pPr>
              <w:spacing w:after="0"/>
              <w:rPr>
                <w:sz w:val="19"/>
                <w:szCs w:val="19"/>
                <w:color w:val="auto"/>
              </w:rPr>
            </w:pPr>
          </w:p>
        </w:tc>
        <w:tc>
          <w:tcPr>
            <w:tcW w:w="52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r>
      <w:tr>
        <w:trPr>
          <w:trHeight w:val="176"/>
        </w:trPr>
        <w:tc>
          <w:tcPr>
            <w:tcW w:w="120" w:type="dxa"/>
            <w:vAlign w:val="bottom"/>
          </w:tcPr>
          <w:p>
            <w:pPr>
              <w:spacing w:after="0"/>
              <w:rPr>
                <w:sz w:val="15"/>
                <w:szCs w:val="15"/>
                <w:color w:val="auto"/>
              </w:rPr>
            </w:pPr>
          </w:p>
        </w:tc>
        <w:tc>
          <w:tcPr>
            <w:tcW w:w="4800" w:type="dxa"/>
            <w:vAlign w:val="bottom"/>
            <w:gridSpan w:val="3"/>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Note 11 – Pension and Other Liabilities</w:t>
              </w:r>
            </w:hyperlink>
          </w:p>
        </w:tc>
        <w:tc>
          <w:tcPr>
            <w:tcW w:w="5200" w:type="dxa"/>
            <w:vAlign w:val="bottom"/>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5"/>
                <w:szCs w:val="15"/>
                <w:color w:val="auto"/>
              </w:rPr>
            </w:pPr>
          </w:p>
        </w:tc>
      </w:tr>
      <w:tr>
        <w:trPr>
          <w:trHeight w:val="453"/>
        </w:trPr>
        <w:tc>
          <w:tcPr>
            <w:tcW w:w="120" w:type="dxa"/>
            <w:vAlign w:val="bottom"/>
          </w:tcPr>
          <w:p>
            <w:pPr>
              <w:spacing w:after="0"/>
              <w:rPr>
                <w:sz w:val="24"/>
                <w:szCs w:val="24"/>
                <w:color w:val="auto"/>
              </w:rPr>
            </w:pPr>
          </w:p>
        </w:tc>
        <w:tc>
          <w:tcPr>
            <w:tcW w:w="2840" w:type="dxa"/>
            <w:vAlign w:val="bottom"/>
            <w:tcBorders>
              <w:top w:val="single" w:sz="8" w:color="0000EE"/>
            </w:tcBorders>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5200" w:type="dxa"/>
            <w:vAlign w:val="bottom"/>
          </w:tcPr>
          <w:p>
            <w:pPr>
              <w:jc w:val="right"/>
              <w:ind w:right="4730"/>
              <w:spacing w:after="0"/>
              <w:rPr>
                <w:sz w:val="20"/>
                <w:szCs w:val="20"/>
                <w:color w:val="auto"/>
              </w:rPr>
            </w:pPr>
            <w:r>
              <w:rPr>
                <w:rFonts w:ascii="Arial" w:cs="Arial" w:eastAsia="Arial" w:hAnsi="Arial"/>
                <w:sz w:val="18"/>
                <w:szCs w:val="18"/>
                <w:color w:val="auto"/>
              </w:rPr>
              <w:t>80 -</w:t>
            </w: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5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7"/>
        </w:trPr>
        <w:tc>
          <w:tcPr>
            <w:tcW w:w="120" w:type="dxa"/>
            <w:vAlign w:val="bottom"/>
            <w:shd w:val="clear" w:color="auto" w:fill="CCEEFF"/>
          </w:tcPr>
          <w:p>
            <w:pPr>
              <w:spacing w:after="0"/>
              <w:rPr>
                <w:sz w:val="19"/>
                <w:szCs w:val="19"/>
                <w:color w:val="auto"/>
              </w:rPr>
            </w:pPr>
          </w:p>
        </w:tc>
        <w:tc>
          <w:tcPr>
            <w:tcW w:w="4800" w:type="dxa"/>
            <w:vAlign w:val="bottom"/>
            <w:gridSpan w:val="8"/>
            <w:shd w:val="clear" w:color="auto" w:fill="CCEEFF"/>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Note 12 – Commitments and Contingencies</w:t>
              </w:r>
            </w:hyperlink>
          </w:p>
        </w:tc>
        <w:tc>
          <w:tcPr>
            <w:tcW w:w="5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31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Note 13 – Noncontrolling Interests</w:t>
              </w:r>
            </w:hyperlink>
          </w:p>
        </w:tc>
        <w:tc>
          <w:tcPr>
            <w:tcW w:w="1660" w:type="dxa"/>
            <w:vAlign w:val="bottom"/>
            <w:tcBorders>
              <w:top w:val="single" w:sz="8" w:color="CCEEFF"/>
            </w:tcBorders>
            <w:gridSpan w:val="3"/>
          </w:tcPr>
          <w:p>
            <w:pPr>
              <w:spacing w:after="0"/>
              <w:rPr>
                <w:sz w:val="15"/>
                <w:szCs w:val="15"/>
                <w:color w:val="auto"/>
              </w:rPr>
            </w:pPr>
          </w:p>
        </w:tc>
        <w:tc>
          <w:tcPr>
            <w:tcW w:w="52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121">
              <w:r>
                <w:rPr>
                  <w:rFonts w:ascii="Arial" w:cs="Arial" w:eastAsia="Arial" w:hAnsi="Arial"/>
                  <w:sz w:val="18"/>
                  <w:szCs w:val="18"/>
                  <w:color w:val="0000EE"/>
                  <w:w w:val="91"/>
                </w:rPr>
                <w:t>Note 14</w:t>
              </w:r>
            </w:hyperlink>
          </w:p>
        </w:tc>
        <w:tc>
          <w:tcPr>
            <w:tcW w:w="374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86"/>
              </w:rPr>
            </w:pPr>
            <w:hyperlink w:anchor="page121">
              <w:r>
                <w:rPr>
                  <w:rFonts w:ascii="Arial" w:cs="Arial" w:eastAsia="Arial" w:hAnsi="Arial"/>
                  <w:sz w:val="18"/>
                  <w:szCs w:val="18"/>
                  <w:color w:val="0000EE"/>
                  <w:w w:val="86"/>
                </w:rPr>
                <w:t>– Share-based Compensation and Repurchase Plans</w:t>
              </w:r>
            </w:hyperlink>
          </w:p>
        </w:tc>
        <w:tc>
          <w:tcPr>
            <w:tcW w:w="460" w:type="dxa"/>
            <w:vAlign w:val="bottom"/>
            <w:tcBorders>
              <w:bottom w:val="single" w:sz="8" w:color="CCEEFF"/>
            </w:tcBorders>
            <w:shd w:val="clear" w:color="auto" w:fill="CCEEFF"/>
          </w:tcPr>
          <w:p>
            <w:pPr>
              <w:spacing w:after="0"/>
              <w:rPr>
                <w:sz w:val="17"/>
                <w:szCs w:val="17"/>
                <w:color w:val="auto"/>
              </w:rPr>
            </w:pPr>
          </w:p>
        </w:tc>
        <w:tc>
          <w:tcPr>
            <w:tcW w:w="5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600" w:type="dxa"/>
            <w:vAlign w:val="bottom"/>
          </w:tcPr>
          <w:p>
            <w:pPr>
              <w:spacing w:after="0" w:line="176"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Note 15</w:t>
              </w:r>
            </w:hyperlink>
          </w:p>
        </w:tc>
        <w:tc>
          <w:tcPr>
            <w:tcW w:w="4200" w:type="dxa"/>
            <w:vAlign w:val="bottom"/>
            <w:gridSpan w:val="7"/>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 Accumulated Other Comprehensive Income</w:t>
              </w:r>
            </w:hyperlink>
          </w:p>
        </w:tc>
        <w:tc>
          <w:tcPr>
            <w:tcW w:w="5200" w:type="dxa"/>
            <w:vAlign w:val="bottom"/>
          </w:tcPr>
          <w:p>
            <w:pPr>
              <w:jc w:val="right"/>
              <w:spacing w:after="0" w:line="17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76"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Note 16</w:t>
              </w:r>
            </w:hyperlink>
          </w:p>
        </w:tc>
        <w:tc>
          <w:tcPr>
            <w:tcW w:w="420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 Fair Value Measurements</w:t>
              </w:r>
            </w:hyperlink>
          </w:p>
        </w:tc>
        <w:tc>
          <w:tcPr>
            <w:tcW w:w="5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line="176" w:lineRule="exact"/>
              <w:rPr>
                <w:rFonts w:ascii="Arial" w:cs="Arial" w:eastAsia="Arial" w:hAnsi="Arial"/>
                <w:sz w:val="18"/>
                <w:szCs w:val="18"/>
                <w:color w:val="0000EE"/>
                <w:w w:val="91"/>
              </w:rPr>
            </w:pPr>
            <w:hyperlink w:anchor="page125">
              <w:r>
                <w:rPr>
                  <w:rFonts w:ascii="Arial" w:cs="Arial" w:eastAsia="Arial" w:hAnsi="Arial"/>
                  <w:sz w:val="18"/>
                  <w:szCs w:val="18"/>
                  <w:color w:val="0000EE"/>
                  <w:w w:val="91"/>
                </w:rPr>
                <w:t>Note 17</w:t>
              </w:r>
            </w:hyperlink>
          </w:p>
        </w:tc>
        <w:tc>
          <w:tcPr>
            <w:tcW w:w="1980" w:type="dxa"/>
            <w:vAlign w:val="bottom"/>
            <w:tcBorders>
              <w:top w:val="single" w:sz="8" w:color="0000EE"/>
            </w:tcBorders>
            <w:gridSpan w:val="3"/>
          </w:tcPr>
          <w:p>
            <w:pPr>
              <w:ind w:left="2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 Hedge Accounting</w:t>
              </w:r>
            </w:hyperlink>
          </w:p>
        </w:tc>
        <w:tc>
          <w:tcPr>
            <w:tcW w:w="2220" w:type="dxa"/>
            <w:vAlign w:val="bottom"/>
            <w:tcBorders>
              <w:top w:val="single" w:sz="8" w:color="CCEEFF"/>
            </w:tcBorders>
            <w:gridSpan w:val="4"/>
          </w:tcPr>
          <w:p>
            <w:pPr>
              <w:spacing w:after="0"/>
              <w:rPr>
                <w:sz w:val="15"/>
                <w:szCs w:val="15"/>
                <w:color w:val="auto"/>
              </w:rPr>
            </w:pPr>
          </w:p>
        </w:tc>
        <w:tc>
          <w:tcPr>
            <w:tcW w:w="520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453"/>
        </w:trPr>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2700" w:type="dxa"/>
            <w:vAlign w:val="bottom"/>
            <w:gridSpan w:val="6"/>
          </w:tcPr>
          <w:p>
            <w:pPr>
              <w:jc w:val="right"/>
              <w:ind w:right="40"/>
              <w:spacing w:after="0"/>
              <w:rPr>
                <w:sz w:val="20"/>
                <w:szCs w:val="20"/>
                <w:color w:val="auto"/>
              </w:rPr>
            </w:pPr>
            <w:r>
              <w:rPr>
                <w:rFonts w:ascii="Arial" w:cs="Arial" w:eastAsia="Arial" w:hAnsi="Arial"/>
                <w:sz w:val="18"/>
                <w:szCs w:val="18"/>
                <w:color w:val="auto"/>
              </w:rPr>
              <w:t>-</w:t>
            </w:r>
          </w:p>
        </w:tc>
        <w:tc>
          <w:tcPr>
            <w:tcW w:w="5200" w:type="dxa"/>
            <w:vAlign w:val="bottom"/>
          </w:tcPr>
          <w:p>
            <w:pPr>
              <w:jc w:val="right"/>
              <w:ind w:right="4730"/>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5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28"/>
        </w:trPr>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Note 18 – Leases</w:t>
              </w:r>
            </w:hyperlink>
          </w:p>
        </w:tc>
        <w:tc>
          <w:tcPr>
            <w:tcW w:w="6700" w:type="dxa"/>
            <w:vAlign w:val="bottom"/>
            <w:tcBorders>
              <w:bottom w:val="single" w:sz="8" w:color="CCEEFF"/>
            </w:tcBorders>
            <w:gridSpan w:val="5"/>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r>
      <w:tr>
        <w:trPr>
          <w:trHeight w:val="176"/>
        </w:trPr>
        <w:tc>
          <w:tcPr>
            <w:tcW w:w="120" w:type="dxa"/>
            <w:vAlign w:val="bottom"/>
          </w:tcPr>
          <w:p>
            <w:pPr>
              <w:spacing w:after="0"/>
              <w:rPr>
                <w:sz w:val="15"/>
                <w:szCs w:val="15"/>
                <w:color w:val="auto"/>
              </w:rPr>
            </w:pPr>
          </w:p>
        </w:tc>
        <w:tc>
          <w:tcPr>
            <w:tcW w:w="600" w:type="dxa"/>
            <w:vAlign w:val="bottom"/>
          </w:tcPr>
          <w:p>
            <w:pPr>
              <w:spacing w:after="0" w:line="176" w:lineRule="exact"/>
              <w:rPr>
                <w:rFonts w:ascii="Arial" w:cs="Arial" w:eastAsia="Arial" w:hAnsi="Arial"/>
                <w:sz w:val="18"/>
                <w:szCs w:val="18"/>
                <w:color w:val="0000EE"/>
                <w:w w:val="91"/>
              </w:rPr>
            </w:pPr>
            <w:hyperlink w:anchor="page127">
              <w:r>
                <w:rPr>
                  <w:rFonts w:ascii="Arial" w:cs="Arial" w:eastAsia="Arial" w:hAnsi="Arial"/>
                  <w:sz w:val="18"/>
                  <w:szCs w:val="18"/>
                  <w:color w:val="0000EE"/>
                  <w:w w:val="91"/>
                </w:rPr>
                <w:t>Note 19</w:t>
              </w:r>
            </w:hyperlink>
          </w:p>
        </w:tc>
        <w:tc>
          <w:tcPr>
            <w:tcW w:w="7340" w:type="dxa"/>
            <w:vAlign w:val="bottom"/>
            <w:gridSpan w:val="6"/>
          </w:tcPr>
          <w:p>
            <w:pPr>
              <w:ind w:left="20"/>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 Related Party Transactions</w:t>
              </w:r>
            </w:hyperlink>
          </w:p>
        </w:tc>
        <w:tc>
          <w:tcPr>
            <w:tcW w:w="2060" w:type="dxa"/>
            <w:vAlign w:val="bottom"/>
          </w:tcPr>
          <w:p>
            <w:pPr>
              <w:jc w:val="right"/>
              <w:spacing w:after="0" w:line="176"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129">
              <w:r>
                <w:rPr>
                  <w:rFonts w:ascii="Arial" w:cs="Arial" w:eastAsia="Arial" w:hAnsi="Arial"/>
                  <w:sz w:val="18"/>
                  <w:szCs w:val="18"/>
                  <w:color w:val="0000EE"/>
                  <w:w w:val="91"/>
                </w:rPr>
                <w:t>Note 20</w:t>
              </w:r>
            </w:hyperlink>
          </w:p>
        </w:tc>
        <w:tc>
          <w:tcPr>
            <w:tcW w:w="5600" w:type="dxa"/>
            <w:vAlign w:val="bottom"/>
            <w:tcBorders>
              <w:bottom w:val="single" w:sz="8" w:color="0000EE"/>
            </w:tcBorders>
            <w:gridSpan w:val="5"/>
            <w:shd w:val="clear" w:color="auto" w:fill="CCEEFF"/>
          </w:tcPr>
          <w:p>
            <w:pPr>
              <w:ind w:left="20"/>
              <w:spacing w:after="0" w:line="176" w:lineRule="exact"/>
              <w:rPr>
                <w:rFonts w:ascii="Arial" w:cs="Arial" w:eastAsia="Arial" w:hAnsi="Arial"/>
                <w:sz w:val="18"/>
                <w:szCs w:val="18"/>
                <w:color w:val="0000EE"/>
                <w:w w:val="88"/>
              </w:rPr>
            </w:pPr>
            <w:hyperlink w:anchor="page129">
              <w:r>
                <w:rPr>
                  <w:rFonts w:ascii="Arial" w:cs="Arial" w:eastAsia="Arial" w:hAnsi="Arial"/>
                  <w:sz w:val="18"/>
                  <w:szCs w:val="18"/>
                  <w:color w:val="0000EE"/>
                  <w:w w:val="88"/>
                </w:rPr>
                <w:t>– Insurance Recoveries on Impairment and Related Losses due to Earthquake</w:t>
              </w:r>
            </w:hyperlink>
          </w:p>
        </w:tc>
        <w:tc>
          <w:tcPr>
            <w:tcW w:w="17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600" w:type="dxa"/>
            <w:vAlign w:val="bottom"/>
          </w:tcPr>
          <w:p>
            <w:pPr>
              <w:spacing w:after="0" w:line="176" w:lineRule="exact"/>
              <w:rPr>
                <w:rFonts w:ascii="Arial" w:cs="Arial" w:eastAsia="Arial" w:hAnsi="Arial"/>
                <w:sz w:val="18"/>
                <w:szCs w:val="18"/>
                <w:color w:val="0000EE"/>
                <w:w w:val="91"/>
              </w:rPr>
            </w:pPr>
            <w:hyperlink w:anchor="page130">
              <w:r>
                <w:rPr>
                  <w:rFonts w:ascii="Arial" w:cs="Arial" w:eastAsia="Arial" w:hAnsi="Arial"/>
                  <w:sz w:val="18"/>
                  <w:szCs w:val="18"/>
                  <w:color w:val="0000EE"/>
                  <w:w w:val="91"/>
                </w:rPr>
                <w:t>Note 21</w:t>
              </w:r>
            </w:hyperlink>
          </w:p>
        </w:tc>
        <w:tc>
          <w:tcPr>
            <w:tcW w:w="7340" w:type="dxa"/>
            <w:vAlign w:val="bottom"/>
            <w:gridSpan w:val="6"/>
          </w:tcPr>
          <w:p>
            <w:pPr>
              <w:ind w:left="20"/>
              <w:spacing w:after="0" w:line="176" w:lineRule="exact"/>
              <w:rPr>
                <w:rFonts w:ascii="Arial" w:cs="Arial" w:eastAsia="Arial" w:hAnsi="Arial"/>
                <w:sz w:val="18"/>
                <w:szCs w:val="18"/>
                <w:color w:val="0000EE"/>
              </w:rPr>
            </w:pPr>
            <w:hyperlink w:anchor="page130">
              <w:r>
                <w:rPr>
                  <w:rFonts w:ascii="Arial" w:cs="Arial" w:eastAsia="Arial" w:hAnsi="Arial"/>
                  <w:sz w:val="18"/>
                  <w:szCs w:val="18"/>
                  <w:color w:val="0000EE"/>
                </w:rPr>
                <w:t>– Unaudited Quarterly Financial Information</w:t>
              </w:r>
            </w:hyperlink>
          </w:p>
        </w:tc>
        <w:tc>
          <w:tcPr>
            <w:tcW w:w="2060" w:type="dxa"/>
            <w:vAlign w:val="bottom"/>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130">
              <w:r>
                <w:rPr>
                  <w:rFonts w:ascii="Arial" w:cs="Arial" w:eastAsia="Arial" w:hAnsi="Arial"/>
                  <w:sz w:val="18"/>
                  <w:szCs w:val="18"/>
                  <w:color w:val="0000EE"/>
                  <w:w w:val="91"/>
                </w:rPr>
                <w:t>Note 22</w:t>
              </w:r>
            </w:hyperlink>
          </w:p>
        </w:tc>
        <w:tc>
          <w:tcPr>
            <w:tcW w:w="1520" w:type="dxa"/>
            <w:vAlign w:val="bottom"/>
            <w:tcBorders>
              <w:bottom w:val="single" w:sz="8" w:color="0000EE"/>
            </w:tcBorders>
            <w:gridSpan w:val="2"/>
            <w:shd w:val="clear" w:color="auto" w:fill="CCEEFF"/>
          </w:tcPr>
          <w:p>
            <w:pPr>
              <w:ind w:left="20"/>
              <w:spacing w:after="0" w:line="176" w:lineRule="exact"/>
              <w:rPr>
                <w:rFonts w:ascii="Arial" w:cs="Arial" w:eastAsia="Arial" w:hAnsi="Arial"/>
                <w:sz w:val="18"/>
                <w:szCs w:val="18"/>
                <w:color w:val="0000EE"/>
                <w:w w:val="86"/>
              </w:rPr>
            </w:pPr>
            <w:hyperlink w:anchor="page130">
              <w:r>
                <w:rPr>
                  <w:rFonts w:ascii="Arial" w:cs="Arial" w:eastAsia="Arial" w:hAnsi="Arial"/>
                  <w:sz w:val="18"/>
                  <w:szCs w:val="18"/>
                  <w:color w:val="0000EE"/>
                  <w:w w:val="86"/>
                </w:rPr>
                <w:t>– Subsequent Events</w:t>
              </w:r>
            </w:hyperlink>
          </w:p>
        </w:tc>
        <w:tc>
          <w:tcPr>
            <w:tcW w:w="5820" w:type="dxa"/>
            <w:vAlign w:val="bottom"/>
            <w:tcBorders>
              <w:bottom w:val="single" w:sz="8" w:color="CCEEFF"/>
            </w:tcBorders>
            <w:gridSpan w:val="4"/>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r>
      <w:tr>
        <w:trPr>
          <w:trHeight w:val="432"/>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gridSpan w:val="5"/>
          </w:tcPr>
          <w:p>
            <w:pPr>
              <w:ind w:left="4100"/>
              <w:spacing w:after="0"/>
              <w:rPr>
                <w:sz w:val="20"/>
                <w:szCs w:val="20"/>
                <w:color w:val="auto"/>
              </w:rPr>
            </w:pPr>
            <w:r>
              <w:rPr>
                <w:rFonts w:ascii="Arial" w:cs="Arial" w:eastAsia="Arial" w:hAnsi="Arial"/>
                <w:sz w:val="18"/>
                <w:szCs w:val="18"/>
                <w:color w:val="auto"/>
              </w:rPr>
              <w:t>- 82 -</w:t>
            </w:r>
          </w:p>
        </w:tc>
        <w:tc>
          <w:tcPr>
            <w:tcW w:w="1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20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83" w:name="page84"/>
    <w:bookmarkEnd w:id="83"/>
    <w:p>
      <w:pPr>
        <w:spacing w:after="0"/>
        <w:tabs>
          <w:tab w:leader="none" w:pos="9660" w:val="left"/>
        </w:tabs>
        <w:rPr>
          <w:rFonts w:ascii="Arial" w:cs="Arial" w:eastAsia="Arial" w:hAnsi="Arial"/>
          <w:sz w:val="18"/>
          <w:szCs w:val="18"/>
          <w:color w:val="0000EE"/>
        </w:rPr>
      </w:pPr>
      <w:hyperlink w:anchor="page131">
        <w:r>
          <w:rPr>
            <w:rFonts w:ascii="Arial" w:cs="Arial" w:eastAsia="Arial" w:hAnsi="Arial"/>
            <w:sz w:val="18"/>
            <w:szCs w:val="18"/>
            <w:u w:val="single" w:color="auto"/>
            <w:color w:val="0000EE"/>
          </w:rPr>
          <w:t>Schedule II – Valuation and Qualifying Accounts</w:t>
        </w:r>
      </w:hyperlink>
      <w:r>
        <w:rPr>
          <w:rFonts w:ascii="Arial" w:cs="Arial" w:eastAsia="Arial" w:hAnsi="Arial"/>
          <w:sz w:val="18"/>
          <w:szCs w:val="18"/>
          <w:color w:val="0000EE"/>
        </w:rPr>
        <w:tab/>
      </w:r>
      <w:r>
        <w:rPr>
          <w:rFonts w:ascii="Arial" w:cs="Arial" w:eastAsia="Arial" w:hAnsi="Arial"/>
          <w:sz w:val="15"/>
          <w:szCs w:val="15"/>
          <w:color w:val="0000EE"/>
        </w:rPr>
        <w:t>112</w:t>
      </w:r>
    </w:p>
    <w:p>
      <w:pPr>
        <w:sectPr>
          <w:pgSz w:w="11900" w:h="16838" w:orient="portrait"/>
          <w:cols w:equalWidth="0" w:num="1">
            <w:col w:w="9940"/>
          </w:cols>
          <w:pgMar w:left="1020" w:top="125" w:right="9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70485</wp:posOffset>
            </wp:positionV>
            <wp:extent cx="6465570"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40"/>
          </w:cols>
          <w:pgMar w:left="1020" w:top="125" w:right="939" w:bottom="1440" w:gutter="0" w:footer="0" w:header="0"/>
          <w:type w:val="continuous"/>
        </w:sectPr>
      </w:pPr>
    </w:p>
    <w:bookmarkStart w:id="84" w:name="page85"/>
    <w:bookmarkEnd w:id="84"/>
    <w:p>
      <w:pPr>
        <w:ind w:left="660"/>
        <w:spacing w:after="0"/>
        <w:rPr>
          <w:sz w:val="20"/>
          <w:szCs w:val="20"/>
          <w:color w:val="auto"/>
        </w:rPr>
      </w:pPr>
      <w:r>
        <w:rPr>
          <w:rFonts w:ascii="Arial" w:cs="Arial" w:eastAsia="Arial" w:hAnsi="Arial"/>
          <w:sz w:val="22"/>
          <w:szCs w:val="22"/>
          <w:b w:val="1"/>
          <w:bCs w:val="1"/>
          <w:u w:val="single" w:color="auto"/>
          <w:color w:val="auto"/>
        </w:rPr>
        <w:t>MANAGEMENT'S REPORT ON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Reading International, Inc.</w:t>
      </w:r>
    </w:p>
    <w:p>
      <w:pPr>
        <w:spacing w:after="0" w:line="222"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Securities Exchange Act Rules 13a-15(f) and 15d-15(f).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Management, including our Chief Executive Officer and Chief Financial Officer, conducted an evaluation of the effectiveness of our internal control over financial reporting based on the criteria established in 2013 Internal Control—Integrated Framework issued by the Committee of Sponsoring Organizations (COSO) of the Treadway Commission. Based on this assessment, our management believes that the Company’s internal control over financial reporting is effective as of December 31, 2018.</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Grant Thornton LLP, an independent registered public accounting firm, as stated in their report, which is included herein</w:t>
      </w:r>
      <w:r>
        <w:rPr>
          <w:rFonts w:ascii="Arial" w:cs="Arial" w:eastAsia="Arial" w:hAnsi="Arial"/>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jc w:val="right"/>
              <w:ind w:right="3160"/>
              <w:spacing w:after="0"/>
              <w:rPr>
                <w:sz w:val="20"/>
                <w:szCs w:val="20"/>
                <w:color w:val="auto"/>
              </w:rPr>
            </w:pPr>
            <w:r>
              <w:rPr>
                <w:rFonts w:ascii="Arial" w:cs="Arial" w:eastAsia="Arial" w:hAnsi="Arial"/>
                <w:sz w:val="18"/>
                <w:szCs w:val="18"/>
                <w:color w:val="auto"/>
                <w:w w:val="99"/>
              </w:rPr>
              <w:t xml:space="preserve">By: </w:t>
            </w:r>
            <w:r>
              <w:rPr>
                <w:rFonts w:ascii="Arial" w:cs="Arial" w:eastAsia="Arial" w:hAnsi="Arial"/>
                <w:sz w:val="18"/>
                <w:szCs w:val="18"/>
                <w:i w:val="1"/>
                <w:iCs w:val="1"/>
                <w:color w:val="auto"/>
                <w:w w:val="99"/>
              </w:rPr>
              <w:t>/s/ Ellen M. Cotter</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/s/Gilbert Avanes</w:t>
            </w:r>
          </w:p>
        </w:tc>
      </w:tr>
      <w:tr>
        <w:trPr>
          <w:trHeight w:val="222"/>
        </w:trPr>
        <w:tc>
          <w:tcPr>
            <w:tcW w:w="420" w:type="dxa"/>
            <w:vAlign w:val="bottom"/>
          </w:tcPr>
          <w:p>
            <w:pPr>
              <w:spacing w:after="0"/>
              <w:rPr>
                <w:sz w:val="19"/>
                <w:szCs w:val="19"/>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Ellen M. Cotter</w:t>
            </w:r>
          </w:p>
        </w:tc>
        <w:tc>
          <w:tcPr>
            <w:tcW w:w="3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Gilbert Avanes</w:t>
            </w:r>
          </w:p>
        </w:tc>
        <w:tc>
          <w:tcPr>
            <w:tcW w:w="342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54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42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March 18, 2019</w:t>
            </w:r>
          </w:p>
        </w:tc>
        <w:tc>
          <w:tcPr>
            <w:tcW w:w="54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March 18, 2019</w:t>
            </w:r>
          </w:p>
        </w:tc>
      </w:tr>
      <w:tr>
        <w:trPr>
          <w:trHeight w:val="648"/>
        </w:trPr>
        <w:tc>
          <w:tcPr>
            <w:tcW w:w="49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84 -</w:t>
            </w:r>
          </w:p>
        </w:tc>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08"/>
        </w:trPr>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r>
      <w:tr>
        <w:trPr>
          <w:trHeight w:val="20"/>
        </w:trPr>
        <w:tc>
          <w:tcPr>
            <w:tcW w:w="4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Reading International,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on the financial statements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audited the accompanying consolidated balance sheets of Reading International, Inc. and subsidiaries (the “Company”) as of December 31, 2018 and 2017, the related consolidated statements of comprehensive income, changes in shareholders’ equity, and cash flows for each of the three years in the period ended December 31, 2018, and the related notes and schedules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(“COSO”), and our report</w:t>
      </w:r>
      <w:r>
        <w:rPr>
          <w:rFonts w:ascii="Arial" w:cs="Arial" w:eastAsia="Arial" w:hAnsi="Arial"/>
          <w:sz w:val="18"/>
          <w:szCs w:val="18"/>
          <w:i w:val="1"/>
          <w:iCs w:val="1"/>
          <w:color w:val="auto"/>
        </w:rPr>
        <w:t xml:space="preserve"> </w:t>
      </w:r>
      <w:r>
        <w:rPr>
          <w:rFonts w:ascii="Arial" w:cs="Arial" w:eastAsia="Arial" w:hAnsi="Arial"/>
          <w:sz w:val="18"/>
          <w:szCs w:val="18"/>
          <w:color w:val="auto"/>
        </w:rPr>
        <w:t>dated March 18, 2019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Reading International,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on internal control over financial reporting</w:t>
      </w:r>
    </w:p>
    <w:p>
      <w:pPr>
        <w:spacing w:after="0" w:line="22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Reading International, Inc. and subsidiaries (the “Company”) as of December 31, 2018,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COSO.</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2018, and our report dated March 18, 2019 expressed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for opinion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Discussion and Analysis Report of Reading International Inc.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 and limitations of internal control over financial reporting</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87" w:name="page88"/>
    <w:bookmarkEnd w:id="87"/>
    <w:p>
      <w:pPr>
        <w:jc w:val="center"/>
        <w:ind w:right="4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 as of December 31, 2018 and 2017</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(U.S. dollars in thousands, except share information)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60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20" w:type="dxa"/>
            <w:vAlign w:val="bottom"/>
          </w:tcPr>
          <w:p>
            <w:pPr>
              <w:spacing w:after="0"/>
              <w:rPr>
                <w:sz w:val="19"/>
                <w:szCs w:val="19"/>
                <w:color w:val="auto"/>
              </w:rPr>
            </w:pPr>
          </w:p>
        </w:tc>
      </w:tr>
      <w:tr>
        <w:trPr>
          <w:trHeight w:val="230"/>
        </w:trPr>
        <w:tc>
          <w:tcPr>
            <w:tcW w:w="5180" w:type="dxa"/>
            <w:vAlign w:val="bottom"/>
          </w:tcPr>
          <w:p>
            <w:pPr>
              <w:ind w:left="100"/>
              <w:spacing w:after="0"/>
              <w:rPr>
                <w:sz w:val="20"/>
                <w:szCs w:val="20"/>
                <w:color w:val="auto"/>
              </w:rPr>
            </w:pPr>
            <w:r>
              <w:rPr>
                <w:rFonts w:ascii="Arial" w:cs="Arial" w:eastAsia="Arial" w:hAnsi="Arial"/>
                <w:sz w:val="18"/>
                <w:szCs w:val="18"/>
                <w:color w:val="auto"/>
              </w:rPr>
              <w:t>Receivables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8,045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13,050</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0" w:type="dxa"/>
            <w:vAlign w:val="bottom"/>
          </w:tcPr>
          <w:p>
            <w:pPr>
              <w:spacing w:after="0"/>
              <w:rPr>
                <w:sz w:val="19"/>
                <w:szCs w:val="19"/>
                <w:color w:val="auto"/>
              </w:rPr>
            </w:pPr>
          </w:p>
        </w:tc>
      </w:tr>
      <w:tr>
        <w:trPr>
          <w:trHeight w:val="230"/>
        </w:trPr>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Prepaid and other current assets</w:t>
            </w:r>
          </w:p>
        </w:tc>
        <w:tc>
          <w:tcPr>
            <w:tcW w:w="21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20" w:type="dxa"/>
            <w:vAlign w:val="bottom"/>
          </w:tcPr>
          <w:p>
            <w:pPr>
              <w:spacing w:after="0"/>
              <w:rPr>
                <w:sz w:val="19"/>
                <w:szCs w:val="19"/>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33,475</w:t>
            </w:r>
          </w:p>
        </w:tc>
        <w:tc>
          <w:tcPr>
            <w:tcW w:w="20" w:type="dxa"/>
            <w:vAlign w:val="bottom"/>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Operating properties, net</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257,667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264,724</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development properties, net</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61,254</w:t>
            </w:r>
          </w:p>
        </w:tc>
        <w:tc>
          <w:tcPr>
            <w:tcW w:w="20" w:type="dxa"/>
            <w:vAlign w:val="bottom"/>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Investment in unconsolidated joint ventures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5,304</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20,276</w:t>
            </w:r>
          </w:p>
        </w:tc>
        <w:tc>
          <w:tcPr>
            <w:tcW w:w="20" w:type="dxa"/>
            <w:vAlign w:val="bottom"/>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7,369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8,542</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w:t>
            </w:r>
          </w:p>
        </w:tc>
        <w:tc>
          <w:tcPr>
            <w:tcW w:w="20" w:type="dxa"/>
            <w:vAlign w:val="bottom"/>
          </w:tcPr>
          <w:p>
            <w:pPr>
              <w:spacing w:after="0"/>
              <w:rPr>
                <w:sz w:val="19"/>
                <w:szCs w:val="19"/>
                <w:color w:val="auto"/>
              </w:rPr>
            </w:pPr>
          </w:p>
        </w:tc>
      </w:tr>
      <w:tr>
        <w:trPr>
          <w:trHeight w:val="23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1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20" w:type="dxa"/>
            <w:vAlign w:val="bottom"/>
          </w:tcPr>
          <w:p>
            <w:pPr>
              <w:spacing w:after="0"/>
              <w:rPr>
                <w:sz w:val="19"/>
                <w:szCs w:val="19"/>
                <w:color w:val="auto"/>
              </w:rPr>
            </w:pPr>
          </w:p>
        </w:tc>
      </w:tr>
      <w:tr>
        <w:trPr>
          <w:trHeight w:val="217"/>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439,028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423,403</w:t>
            </w:r>
          </w:p>
        </w:tc>
        <w:tc>
          <w:tcPr>
            <w:tcW w:w="2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260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26,154</w:t>
            </w:r>
          </w:p>
        </w:tc>
        <w:tc>
          <w:tcPr>
            <w:tcW w:w="80" w:type="dxa"/>
            <w:vAlign w:val="bottom"/>
          </w:tcPr>
          <w:p>
            <w:pPr>
              <w:spacing w:after="0"/>
              <w:rPr>
                <w:sz w:val="19"/>
                <w:szCs w:val="19"/>
                <w:color w:val="auto"/>
              </w:rPr>
            </w:pP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34,359</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Film rent payable</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20" w:type="dxa"/>
            <w:vAlign w:val="bottom"/>
          </w:tcPr>
          <w:p>
            <w:pPr>
              <w:spacing w:after="0"/>
              <w:rPr>
                <w:sz w:val="19"/>
                <w:szCs w:val="19"/>
                <w:color w:val="auto"/>
              </w:rPr>
            </w:pPr>
          </w:p>
        </w:tc>
      </w:tr>
      <w:tr>
        <w:trPr>
          <w:trHeight w:val="230"/>
        </w:trPr>
        <w:tc>
          <w:tcPr>
            <w:tcW w:w="5180" w:type="dxa"/>
            <w:vAlign w:val="bottom"/>
          </w:tcPr>
          <w:p>
            <w:pPr>
              <w:ind w:left="100"/>
              <w:spacing w:after="0"/>
              <w:rPr>
                <w:sz w:val="20"/>
                <w:szCs w:val="20"/>
                <w:color w:val="auto"/>
              </w:rPr>
            </w:pPr>
            <w:r>
              <w:rPr>
                <w:rFonts w:ascii="Arial" w:cs="Arial" w:eastAsia="Arial" w:hAnsi="Arial"/>
                <w:sz w:val="18"/>
                <w:szCs w:val="18"/>
                <w:color w:val="auto"/>
              </w:rPr>
              <w:t>Debt – current portion</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30,393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8,109</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Derivative financial instruments - current portion</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80" w:type="dxa"/>
            <w:vAlign w:val="bottom"/>
          </w:tcPr>
          <w:p>
            <w:pPr>
              <w:ind w:left="100"/>
              <w:spacing w:after="0"/>
              <w:rPr>
                <w:sz w:val="20"/>
                <w:szCs w:val="20"/>
                <w:color w:val="auto"/>
              </w:rPr>
            </w:pPr>
            <w:r>
              <w:rPr>
                <w:rFonts w:ascii="Arial" w:cs="Arial" w:eastAsia="Arial" w:hAnsi="Arial"/>
                <w:sz w:val="18"/>
                <w:szCs w:val="18"/>
                <w:color w:val="auto"/>
              </w:rPr>
              <w:t>Taxes payable</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2,938</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current revenue</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20" w:type="dxa"/>
            <w:vAlign w:val="bottom"/>
          </w:tcPr>
          <w:p>
            <w:pPr>
              <w:spacing w:after="0"/>
              <w:rPr>
                <w:sz w:val="19"/>
                <w:szCs w:val="19"/>
                <w:color w:val="auto"/>
              </w:rPr>
            </w:pPr>
          </w:p>
        </w:tc>
      </w:tr>
      <w:tr>
        <w:trPr>
          <w:trHeight w:val="230"/>
        </w:trPr>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current liabilities</w:t>
            </w:r>
          </w:p>
        </w:tc>
        <w:tc>
          <w:tcPr>
            <w:tcW w:w="21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20" w:type="dxa"/>
            <w:vAlign w:val="bottom"/>
          </w:tcPr>
          <w:p>
            <w:pPr>
              <w:spacing w:after="0"/>
              <w:rPr>
                <w:sz w:val="19"/>
                <w:szCs w:val="19"/>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20" w:type="dxa"/>
            <w:vAlign w:val="bottom"/>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Debt – long-term portion</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106,286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94,862</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 non-current portion</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Subordinated debt</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26,061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27,554</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Noncurrent tax liabilities</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12,274</w:t>
            </w:r>
          </w:p>
        </w:tc>
        <w:tc>
          <w:tcPr>
            <w:tcW w:w="20" w:type="dxa"/>
            <w:vAlign w:val="bottom"/>
          </w:tcPr>
          <w:p>
            <w:pPr>
              <w:spacing w:after="0"/>
              <w:rPr>
                <w:sz w:val="19"/>
                <w:szCs w:val="19"/>
                <w:color w:val="auto"/>
              </w:rPr>
            </w:pPr>
          </w:p>
        </w:tc>
      </w:tr>
      <w:tr>
        <w:trPr>
          <w:trHeight w:val="23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1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28,931</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26,649</w:t>
            </w:r>
          </w:p>
        </w:tc>
        <w:tc>
          <w:tcPr>
            <w:tcW w:w="20" w:type="dxa"/>
            <w:vAlign w:val="bottom"/>
          </w:tcPr>
          <w:p>
            <w:pPr>
              <w:spacing w:after="0"/>
              <w:rPr>
                <w:sz w:val="19"/>
                <w:szCs w:val="19"/>
                <w:color w:val="auto"/>
              </w:rPr>
            </w:pPr>
          </w:p>
        </w:tc>
      </w:tr>
      <w:tr>
        <w:trPr>
          <w:trHeight w:val="210"/>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258,481</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241,785</w:t>
            </w:r>
          </w:p>
        </w:tc>
        <w:tc>
          <w:tcPr>
            <w:tcW w:w="20" w:type="dxa"/>
            <w:vAlign w:val="bottom"/>
          </w:tcPr>
          <w:p>
            <w:pPr>
              <w:spacing w:after="0"/>
              <w:rPr>
                <w:sz w:val="18"/>
                <w:szCs w:val="18"/>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80" w:type="dxa"/>
            <w:vAlign w:val="bottom"/>
            <w:gridSpan w:val="4"/>
          </w:tcPr>
          <w:p>
            <w:pPr>
              <w:spacing w:after="0"/>
              <w:rPr>
                <w:sz w:val="20"/>
                <w:szCs w:val="20"/>
                <w:color w:val="auto"/>
              </w:rPr>
            </w:pPr>
            <w:r>
              <w:rPr>
                <w:rFonts w:ascii="Arial" w:cs="Arial" w:eastAsia="Arial" w:hAnsi="Arial"/>
                <w:sz w:val="18"/>
                <w:szCs w:val="18"/>
                <w:color w:val="auto"/>
              </w:rPr>
              <w:t>Class A non-voting common shares, par value $0.01, 100,000,000 shares authorized,</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80" w:type="dxa"/>
            <w:vAlign w:val="bottom"/>
            <w:gridSpan w:val="4"/>
          </w:tcPr>
          <w:p>
            <w:pPr>
              <w:ind w:left="100"/>
              <w:spacing w:after="0"/>
              <w:rPr>
                <w:sz w:val="20"/>
                <w:szCs w:val="20"/>
                <w:color w:val="auto"/>
              </w:rPr>
            </w:pPr>
            <w:r>
              <w:rPr>
                <w:rFonts w:ascii="Arial" w:cs="Arial" w:eastAsia="Arial" w:hAnsi="Arial"/>
                <w:sz w:val="18"/>
                <w:szCs w:val="18"/>
                <w:color w:val="auto"/>
              </w:rPr>
              <w:t>33,112,337 issued and 21,194,748 outstanding at December 31, 2018 and 33,019,565</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tcPr>
          <w:p>
            <w:pPr>
              <w:ind w:left="100"/>
              <w:spacing w:after="0"/>
              <w:rPr>
                <w:sz w:val="20"/>
                <w:szCs w:val="20"/>
                <w:color w:val="auto"/>
              </w:rPr>
            </w:pPr>
            <w:r>
              <w:rPr>
                <w:rFonts w:ascii="Arial" w:cs="Arial" w:eastAsia="Arial" w:hAnsi="Arial"/>
                <w:sz w:val="18"/>
                <w:szCs w:val="18"/>
                <w:color w:val="auto"/>
              </w:rPr>
              <w:t>issued and 21,251,291 outstanding at December 31, 2017</w:t>
            </w:r>
          </w:p>
        </w:tc>
        <w:tc>
          <w:tcPr>
            <w:tcW w:w="260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0"/>
                <w:szCs w:val="20"/>
                <w:color w:val="auto"/>
              </w:rPr>
            </w:pP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0"/>
                <w:szCs w:val="20"/>
                <w:color w:val="auto"/>
              </w:rPr>
            </w:pPr>
          </w:p>
        </w:tc>
      </w:tr>
      <w:tr>
        <w:trPr>
          <w:trHeight w:val="230"/>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voting common shares, par value $0.01, 20,000,000 shares authorized and</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1,680,590 issued and outstanding at December 31, 2018 and 2017</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Nonvoting preferred shares, par value $0.01, 12,000 shares authorized and no issued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tcPr>
          <w:p>
            <w:pPr>
              <w:ind w:left="100"/>
              <w:spacing w:after="0"/>
              <w:rPr>
                <w:sz w:val="20"/>
                <w:szCs w:val="20"/>
                <w:color w:val="auto"/>
              </w:rPr>
            </w:pPr>
            <w:r>
              <w:rPr>
                <w:rFonts w:ascii="Arial" w:cs="Arial" w:eastAsia="Arial" w:hAnsi="Arial"/>
                <w:sz w:val="18"/>
                <w:szCs w:val="18"/>
                <w:color w:val="auto"/>
              </w:rPr>
              <w:t>or outstanding shares at December 31, 2018 and 2017</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145,898</w:t>
            </w:r>
          </w:p>
        </w:tc>
        <w:tc>
          <w:tcPr>
            <w:tcW w:w="20" w:type="dxa"/>
            <w:vAlign w:val="bottom"/>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Retained earnings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47,616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33,056</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at cost</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(25,222)</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(22,906)</w:t>
            </w:r>
          </w:p>
        </w:tc>
        <w:tc>
          <w:tcPr>
            <w:tcW w:w="20" w:type="dxa"/>
            <w:vAlign w:val="bottom"/>
          </w:tcPr>
          <w:p>
            <w:pPr>
              <w:spacing w:after="0"/>
              <w:rPr>
                <w:sz w:val="19"/>
                <w:szCs w:val="19"/>
                <w:color w:val="auto"/>
              </w:rPr>
            </w:pPr>
          </w:p>
        </w:tc>
      </w:tr>
      <w:tr>
        <w:trPr>
          <w:trHeight w:val="23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20,991</w:t>
            </w:r>
          </w:p>
        </w:tc>
        <w:tc>
          <w:tcPr>
            <w:tcW w:w="20" w:type="dxa"/>
            <w:vAlign w:val="bottom"/>
          </w:tcPr>
          <w:p>
            <w:pPr>
              <w:spacing w:after="0"/>
              <w:rPr>
                <w:sz w:val="19"/>
                <w:szCs w:val="19"/>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Total Reading International, Inc. ("RDI") Stockholders’ Equity</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177,287</w:t>
            </w:r>
          </w:p>
        </w:tc>
        <w:tc>
          <w:tcPr>
            <w:tcW w:w="20" w:type="dxa"/>
            <w:vAlign w:val="bottom"/>
          </w:tcPr>
          <w:p>
            <w:pPr>
              <w:spacing w:after="0"/>
              <w:rPr>
                <w:sz w:val="18"/>
                <w:szCs w:val="18"/>
                <w:color w:val="auto"/>
              </w:rPr>
            </w:pPr>
          </w:p>
        </w:tc>
      </w:tr>
      <w:tr>
        <w:trPr>
          <w:trHeight w:val="23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1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20" w:type="dxa"/>
            <w:vAlign w:val="bottom"/>
          </w:tcPr>
          <w:p>
            <w:pPr>
              <w:spacing w:after="0"/>
              <w:rPr>
                <w:sz w:val="19"/>
                <w:szCs w:val="19"/>
                <w:color w:val="auto"/>
              </w:rPr>
            </w:pPr>
          </w:p>
        </w:tc>
      </w:tr>
      <w:tr>
        <w:trPr>
          <w:trHeight w:val="210"/>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1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180,547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181,618</w:t>
            </w:r>
          </w:p>
        </w:tc>
        <w:tc>
          <w:tcPr>
            <w:tcW w:w="20" w:type="dxa"/>
            <w:vAlign w:val="bottom"/>
          </w:tcPr>
          <w:p>
            <w:pPr>
              <w:spacing w:after="0"/>
              <w:rPr>
                <w:sz w:val="18"/>
                <w:szCs w:val="18"/>
                <w:color w:val="auto"/>
              </w:rPr>
            </w:pPr>
          </w:p>
        </w:tc>
      </w:tr>
      <w:tr>
        <w:trPr>
          <w:trHeight w:val="217"/>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439,028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423,403</w:t>
            </w:r>
          </w:p>
        </w:tc>
        <w:tc>
          <w:tcPr>
            <w:tcW w:w="20" w:type="dxa"/>
            <w:vAlign w:val="bottom"/>
          </w:tcPr>
          <w:p>
            <w:pPr>
              <w:spacing w:after="0"/>
              <w:rPr>
                <w:sz w:val="18"/>
                <w:szCs w:val="18"/>
                <w:color w:val="auto"/>
              </w:rPr>
            </w:pPr>
          </w:p>
        </w:tc>
      </w:tr>
      <w:tr>
        <w:trPr>
          <w:trHeight w:val="380"/>
        </w:trPr>
        <w:tc>
          <w:tcPr>
            <w:tcW w:w="7780" w:type="dxa"/>
            <w:vAlign w:val="bottom"/>
            <w:gridSpan w:val="4"/>
          </w:tcPr>
          <w:p>
            <w:pPr>
              <w:ind w:left="2500"/>
              <w:spacing w:after="0"/>
              <w:rPr>
                <w:sz w:val="20"/>
                <w:szCs w:val="20"/>
                <w:color w:val="auto"/>
              </w:rPr>
            </w:pPr>
            <w:r>
              <w:rPr>
                <w:rFonts w:ascii="Arial" w:cs="Arial" w:eastAsia="Arial" w:hAnsi="Arial"/>
                <w:sz w:val="14"/>
                <w:szCs w:val="14"/>
                <w:i w:val="1"/>
                <w:iCs w:val="1"/>
                <w:color w:val="auto"/>
                <w:w w:val="96"/>
              </w:rPr>
              <w:t>The accompanying Notes are an integral part of the Consolidated Financial Statements.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7"/>
        </w:trPr>
        <w:tc>
          <w:tcPr>
            <w:tcW w:w="5180" w:type="dxa"/>
            <w:vAlign w:val="bottom"/>
          </w:tcPr>
          <w:p>
            <w:pPr>
              <w:ind w:left="4820"/>
              <w:spacing w:after="0"/>
              <w:rPr>
                <w:sz w:val="20"/>
                <w:szCs w:val="20"/>
                <w:color w:val="auto"/>
              </w:rPr>
            </w:pPr>
            <w:r>
              <w:rPr>
                <w:rFonts w:ascii="Arial" w:cs="Arial" w:eastAsia="Arial" w:hAnsi="Arial"/>
                <w:sz w:val="18"/>
                <w:szCs w:val="18"/>
                <w:color w:val="auto"/>
              </w:rPr>
              <w:t>- 87</w:t>
            </w:r>
          </w:p>
        </w:tc>
        <w:tc>
          <w:tcPr>
            <w:tcW w:w="2160" w:type="dxa"/>
            <w:vAlign w:val="bottom"/>
          </w:tcPr>
          <w:p>
            <w:pPr>
              <w:jc w:val="right"/>
              <w:ind w:right="19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1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518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7" w:right="85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for the Three Years Ended December 31, 2018</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7"/>
                <w:szCs w:val="7"/>
                <w:b w:val="1"/>
                <w:bCs w:val="1"/>
                <w:color w:val="auto"/>
              </w:rPr>
              <w:t>(1)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Cinema</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294,177</w:t>
            </w:r>
          </w:p>
        </w:tc>
        <w:tc>
          <w:tcPr>
            <w:tcW w:w="8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263,464</w:t>
            </w:r>
          </w:p>
        </w:tc>
        <w:tc>
          <w:tcPr>
            <w:tcW w:w="8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256,922</w:t>
            </w:r>
          </w:p>
        </w:tc>
      </w:tr>
      <w:tr>
        <w:trPr>
          <w:trHeight w:val="216"/>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13,944</w:t>
            </w:r>
          </w:p>
        </w:tc>
      </w:tr>
      <w:tr>
        <w:trPr>
          <w:trHeight w:val="210"/>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309,385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279,879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270,866</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Cinema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(225,791)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(207,447)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(198,523)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(22,275)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(16,942)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(26,906)</w:t>
            </w:r>
          </w:p>
        </w:tc>
      </w:tr>
      <w:tr>
        <w:trPr>
          <w:trHeight w:val="210"/>
        </w:trPr>
        <w:tc>
          <w:tcPr>
            <w:tcW w:w="5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(285,307)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(259,173)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(250,162)</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20,704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(6,194)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Casualty gain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 / gain on sale of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Income before taxes and earnings of unconsolidated joint ventures</w:t>
            </w: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16,944</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33,677</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12,831</w:t>
            </w:r>
          </w:p>
        </w:tc>
      </w:tr>
      <w:tr>
        <w:trPr>
          <w:trHeight w:val="216"/>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earnings of unconsolidated joint ventures</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10"/>
        </w:trPr>
        <w:tc>
          <w:tcPr>
            <w:tcW w:w="59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17,918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34,492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13,830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r>
      <w:tr>
        <w:trPr>
          <w:trHeight w:val="210"/>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14,498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9,692</w:t>
            </w:r>
          </w:p>
        </w:tc>
      </w:tr>
      <w:tr>
        <w:trPr>
          <w:trHeight w:val="216"/>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7"/>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RDI controlling interests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31,101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9,678</w:t>
            </w:r>
          </w:p>
        </w:tc>
      </w:tr>
      <w:tr>
        <w:trPr>
          <w:trHeight w:val="236"/>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income per share attributable to RDI controlling interests</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r>
      <w:tr>
        <w:trPr>
          <w:trHeight w:val="210"/>
        </w:trPr>
        <w:tc>
          <w:tcPr>
            <w:tcW w:w="59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Diluted income per share attributable to RDI controlling interests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0.62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0.41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outstanding–basic</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22,991,277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23,041,190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23,320,048</w:t>
            </w: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number of shares outstanding–diluted</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23,208,991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23,247,969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23,521,157</w:t>
            </w:r>
          </w:p>
        </w:tc>
      </w:tr>
    </w:tbl>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136" w:lineRule="exact"/>
        <w:rPr>
          <w:sz w:val="20"/>
          <w:szCs w:val="20"/>
          <w:color w:val="auto"/>
        </w:rPr>
      </w:pPr>
    </w:p>
    <w:p>
      <w:pPr>
        <w:ind w:left="640" w:right="1040" w:hanging="320"/>
        <w:spacing w:after="0" w:line="253" w:lineRule="auto"/>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Certain prior year balances have been reclassified to conform to the 2017 presentation (see Note 2 – </w:t>
      </w:r>
      <w:r>
        <w:rPr>
          <w:rFonts w:ascii="Arial" w:cs="Arial" w:eastAsia="Arial" w:hAnsi="Arial"/>
          <w:sz w:val="14"/>
          <w:szCs w:val="14"/>
          <w:i w:val="1"/>
          <w:iCs w:val="1"/>
          <w:color w:val="auto"/>
        </w:rPr>
        <w:t>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Reclassifications</w:t>
      </w:r>
      <w:r>
        <w:rPr>
          <w:rFonts w:ascii="Arial" w:cs="Arial" w:eastAsia="Arial" w:hAnsi="Arial"/>
          <w:sz w:val="14"/>
          <w:szCs w:val="14"/>
          <w:color w:val="auto"/>
        </w:rPr>
        <w:t>).</w:t>
      </w:r>
    </w:p>
    <w:p>
      <w:pPr>
        <w:spacing w:after="0" w:line="326" w:lineRule="exact"/>
        <w:rPr>
          <w:rFonts w:ascii="Arial" w:cs="Arial" w:eastAsia="Arial" w:hAnsi="Arial"/>
          <w:sz w:val="14"/>
          <w:szCs w:val="14"/>
          <w:color w:val="auto"/>
        </w:rPr>
      </w:pPr>
    </w:p>
    <w:p>
      <w:pPr>
        <w:ind w:left="4960" w:hanging="146"/>
        <w:spacing w:after="0"/>
        <w:tabs>
          <w:tab w:leader="none" w:pos="4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6" w:right="87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for the Three Years Ended December 31, 2018</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7"/>
                <w:szCs w:val="7"/>
                <w:b w:val="1"/>
                <w:bCs w:val="1"/>
                <w:color w:val="auto"/>
              </w:rPr>
              <w:t>(1)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(14,903)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cash flow hedges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5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7"/>
              </w:rPr>
              <w:t>Comprehensive (loss) income attributable to Reading International, Inc.</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40,017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9,948</w:t>
            </w:r>
          </w:p>
        </w:tc>
      </w:tr>
    </w:tbl>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r>
        <w:rPr>
          <w:rFonts w:ascii="Arial" w:cs="Arial" w:eastAsia="Arial" w:hAnsi="Arial"/>
          <w:sz w:val="14"/>
          <w:szCs w:val="14"/>
          <w:color w:val="auto"/>
        </w:rPr>
        <w:t>.</w:t>
      </w:r>
    </w:p>
    <w:p>
      <w:pPr>
        <w:spacing w:after="0" w:line="204" w:lineRule="exact"/>
        <w:rPr>
          <w:sz w:val="20"/>
          <w:szCs w:val="20"/>
          <w:color w:val="auto"/>
        </w:rPr>
      </w:pPr>
    </w:p>
    <w:p>
      <w:pPr>
        <w:ind w:left="640" w:right="1040" w:hanging="320"/>
        <w:spacing w:after="0" w:line="253" w:lineRule="auto"/>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Certain prior year balances have been reclassified to conform to the 2017 presentation (see Note 2 – </w:t>
      </w:r>
      <w:r>
        <w:rPr>
          <w:rFonts w:ascii="Arial" w:cs="Arial" w:eastAsia="Arial" w:hAnsi="Arial"/>
          <w:sz w:val="14"/>
          <w:szCs w:val="14"/>
          <w:i w:val="1"/>
          <w:iCs w:val="1"/>
          <w:color w:val="auto"/>
        </w:rPr>
        <w:t>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Reclassifications</w:t>
      </w:r>
      <w:r>
        <w:rPr>
          <w:rFonts w:ascii="Arial" w:cs="Arial" w:eastAsia="Arial" w:hAnsi="Arial"/>
          <w:sz w:val="14"/>
          <w:szCs w:val="14"/>
          <w:color w:val="auto"/>
        </w:rPr>
        <w: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0" w:lineRule="exact"/>
        <w:rPr>
          <w:rFonts w:ascii="Arial" w:cs="Arial" w:eastAsia="Arial" w:hAnsi="Arial"/>
          <w:sz w:val="14"/>
          <w:szCs w:val="14"/>
          <w:color w:val="auto"/>
        </w:rPr>
      </w:pPr>
    </w:p>
    <w:p>
      <w:pPr>
        <w:ind w:left="4960" w:hanging="146"/>
        <w:spacing w:after="0"/>
        <w:tabs>
          <w:tab w:leader="none" w:pos="4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30" w:right="87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 for the Three Years Ended December 31, 2018</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117"/>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5"/>
              </w:rPr>
              <w:t>Reading</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8"/>
        </w:trPr>
        <w:tc>
          <w:tcPr>
            <w:tcW w:w="216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Class A</w:t>
            </w:r>
          </w:p>
        </w:tc>
        <w:tc>
          <w:tcPr>
            <w:tcW w:w="50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Class A</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Class B</w:t>
            </w:r>
          </w:p>
        </w:tc>
        <w:tc>
          <w:tcPr>
            <w:tcW w:w="5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6"/>
              </w:rPr>
              <w:t>Class B</w:t>
            </w: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5"/>
                <w:szCs w:val="15"/>
                <w:color w:val="auto"/>
              </w:rPr>
            </w:pPr>
          </w:p>
        </w:tc>
        <w:tc>
          <w:tcPr>
            <w:tcW w:w="70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Earnings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ind w:right="117"/>
              <w:spacing w:after="0"/>
              <w:rPr>
                <w:sz w:val="20"/>
                <w:szCs w:val="20"/>
                <w:color w:val="auto"/>
              </w:rPr>
            </w:pPr>
            <w:r>
              <w:rPr>
                <w:rFonts w:ascii="Arial" w:cs="Arial" w:eastAsia="Arial" w:hAnsi="Arial"/>
                <w:sz w:val="13"/>
                <w:szCs w:val="13"/>
                <w:b w:val="1"/>
                <w:bCs w:val="1"/>
                <w:color w:val="auto"/>
                <w:w w:val="92"/>
              </w:rPr>
              <w:t>Other</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International Inc.</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17"/>
              <w:spacing w:after="0"/>
              <w:rPr>
                <w:sz w:val="20"/>
                <w:szCs w:val="20"/>
                <w:color w:val="auto"/>
              </w:rPr>
            </w:pPr>
            <w:r>
              <w:rPr>
                <w:rFonts w:ascii="Arial" w:cs="Arial" w:eastAsia="Arial" w:hAnsi="Arial"/>
                <w:sz w:val="13"/>
                <w:szCs w:val="13"/>
                <w:b w:val="1"/>
                <w:bCs w:val="1"/>
                <w:color w:val="auto"/>
              </w:rPr>
              <w:t>Total</w:t>
            </w:r>
          </w:p>
        </w:tc>
      </w:tr>
      <w:tr>
        <w:trPr>
          <w:trHeight w:val="135"/>
        </w:trPr>
        <w:tc>
          <w:tcPr>
            <w:tcW w:w="216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16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Voting</w:t>
            </w:r>
          </w:p>
        </w:tc>
        <w:tc>
          <w:tcPr>
            <w:tcW w:w="80" w:type="dxa"/>
            <w:vAlign w:val="bottom"/>
          </w:tcPr>
          <w:p>
            <w:pPr>
              <w:spacing w:after="0"/>
              <w:rPr>
                <w:sz w:val="11"/>
                <w:szCs w:val="11"/>
                <w:color w:val="auto"/>
              </w:rPr>
            </w:pPr>
          </w:p>
        </w:tc>
        <w:tc>
          <w:tcPr>
            <w:tcW w:w="420" w:type="dxa"/>
            <w:vAlign w:val="bottom"/>
            <w:tcBorders>
              <w:right w:val="single" w:sz="8" w:color="auto"/>
            </w:tcBorders>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Par</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Voting</w:t>
            </w:r>
          </w:p>
        </w:tc>
        <w:tc>
          <w:tcPr>
            <w:tcW w:w="100" w:type="dxa"/>
            <w:vAlign w:val="bottom"/>
          </w:tcPr>
          <w:p>
            <w:pPr>
              <w:spacing w:after="0"/>
              <w:rPr>
                <w:sz w:val="11"/>
                <w:szCs w:val="11"/>
                <w:color w:val="auto"/>
              </w:rPr>
            </w:pPr>
          </w:p>
        </w:tc>
        <w:tc>
          <w:tcPr>
            <w:tcW w:w="44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2"/>
              </w:rPr>
              <w:t>Paid-In</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(Accumulated</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4"/>
              </w:rPr>
              <w:t>Treasury</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8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4"/>
              </w:rPr>
              <w:t>Noncontrolling</w:t>
            </w:r>
          </w:p>
        </w:tc>
        <w:tc>
          <w:tcPr>
            <w:tcW w:w="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8"/>
              </w:rPr>
              <w:t>Stockholders’</w:t>
            </w:r>
          </w:p>
        </w:tc>
      </w:tr>
      <w:tr>
        <w:trPr>
          <w:trHeight w:val="153"/>
        </w:trPr>
        <w:tc>
          <w:tcPr>
            <w:tcW w:w="216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Value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Shares</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Income/(Loss)</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Equity</w:t>
            </w:r>
          </w:p>
        </w:tc>
      </w:tr>
      <w:tr>
        <w:trPr>
          <w:trHeight w:val="136"/>
        </w:trPr>
        <w:tc>
          <w:tcPr>
            <w:tcW w:w="216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At January 1, 2016</w:t>
            </w:r>
          </w:p>
        </w:tc>
        <w:tc>
          <w:tcPr>
            <w:tcW w:w="58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21,654</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229</w:t>
            </w:r>
          </w:p>
        </w:tc>
        <w:tc>
          <w:tcPr>
            <w:tcW w:w="700" w:type="dxa"/>
            <w:vAlign w:val="bottom"/>
            <w:tcBorders>
              <w:bottom w:val="single" w:sz="8" w:color="auto"/>
              <w:right w:val="single" w:sz="8" w:color="auto"/>
            </w:tcBorders>
            <w:shd w:val="clear" w:color="auto" w:fill="CCEEFF"/>
          </w:tcPr>
          <w:p>
            <w:pPr>
              <w:ind w:left="380"/>
              <w:spacing w:after="0" w:line="129" w:lineRule="exact"/>
              <w:rPr>
                <w:sz w:val="20"/>
                <w:szCs w:val="20"/>
                <w:color w:val="auto"/>
              </w:rPr>
            </w:pPr>
            <w:r>
              <w:rPr>
                <w:rFonts w:ascii="Arial" w:cs="Arial" w:eastAsia="Arial" w:hAnsi="Arial"/>
                <w:sz w:val="13"/>
                <w:szCs w:val="13"/>
                <w:b w:val="1"/>
                <w:bCs w:val="1"/>
                <w:color w:val="auto"/>
                <w:w w:val="85"/>
              </w:rPr>
              <w:t>1,680</w:t>
            </w:r>
          </w:p>
        </w:tc>
        <w:tc>
          <w:tcPr>
            <w:tcW w:w="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bottom w:val="single" w:sz="8" w:color="auto"/>
              <w:right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b w:val="1"/>
                <w:bCs w:val="1"/>
                <w:color w:val="auto"/>
                <w:w w:val="96"/>
              </w:rPr>
              <w:t>17</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143,815</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(7,723)</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9"/>
              </w:rPr>
              <w:t>(13,524)</w:t>
            </w:r>
          </w:p>
        </w:tc>
        <w:tc>
          <w:tcPr>
            <w:tcW w:w="20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11,806</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134,620</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4,331</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138,951</w:t>
            </w:r>
          </w:p>
        </w:tc>
      </w:tr>
      <w:tr>
        <w:trPr>
          <w:trHeight w:val="216"/>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Net income</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9,678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9,678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9,692</w:t>
            </w:r>
          </w:p>
        </w:tc>
      </w:tr>
      <w:tr>
        <w:trPr>
          <w:trHeight w:val="216"/>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w w:val="91"/>
              </w:rPr>
              <w:t>Other comprehensive income (loss), net</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r>
      <w:tr>
        <w:trPr>
          <w:trHeight w:val="216"/>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Share-based compensation expense</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609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609</w:t>
            </w:r>
          </w:p>
        </w:tc>
      </w:tr>
      <w:tr>
        <w:trPr>
          <w:trHeight w:val="216"/>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 repurchase plan</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(2,850)</w:t>
            </w:r>
          </w:p>
        </w:tc>
      </w:tr>
      <w:tr>
        <w:trPr>
          <w:trHeight w:val="121"/>
        </w:trPr>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w w:val="91"/>
              </w:rPr>
              <w:t>Class A common stock issued for share-</w:t>
            </w:r>
          </w:p>
        </w:tc>
        <w:tc>
          <w:tcPr>
            <w:tcW w:w="5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based bonuses and options exercised</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rPr>
              <w:t>2</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145</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147</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147</w:t>
            </w:r>
          </w:p>
        </w:tc>
      </w:tr>
      <w:tr>
        <w:trPr>
          <w:trHeight w:val="121"/>
        </w:trPr>
        <w:tc>
          <w:tcPr>
            <w:tcW w:w="216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In-kind exchange of shares for the</w:t>
            </w:r>
          </w:p>
        </w:tc>
        <w:tc>
          <w:tcPr>
            <w:tcW w:w="5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exercise of options, net issued</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21"/>
        </w:trPr>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Contributions from noncontrolling</w:t>
            </w:r>
          </w:p>
        </w:tc>
        <w:tc>
          <w:tcPr>
            <w:tcW w:w="5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shareholders</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268</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268</w:t>
            </w:r>
          </w:p>
        </w:tc>
      </w:tr>
      <w:tr>
        <w:trPr>
          <w:trHeight w:val="121"/>
        </w:trPr>
        <w:tc>
          <w:tcPr>
            <w:tcW w:w="216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Distributions to noncontrolling</w:t>
            </w:r>
          </w:p>
        </w:tc>
        <w:tc>
          <w:tcPr>
            <w:tcW w:w="5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2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shareholders</w:t>
            </w: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w:t>
            </w:r>
          </w:p>
        </w:tc>
      </w:tr>
      <w:tr>
        <w:trPr>
          <w:trHeight w:val="136"/>
        </w:trPr>
        <w:tc>
          <w:tcPr>
            <w:tcW w:w="21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At December 31, 2016</w:t>
            </w:r>
          </w:p>
        </w:tc>
        <w:tc>
          <w:tcPr>
            <w:tcW w:w="580" w:type="dxa"/>
            <w:vAlign w:val="bottom"/>
            <w:tcBorders>
              <w:bottom w:val="single" w:sz="8" w:color="auto"/>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21,498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bottom w:val="single" w:sz="8" w:color="auto"/>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230</w:t>
            </w:r>
          </w:p>
        </w:tc>
        <w:tc>
          <w:tcPr>
            <w:tcW w:w="700" w:type="dxa"/>
            <w:vAlign w:val="bottom"/>
            <w:tcBorders>
              <w:bottom w:val="single" w:sz="8" w:color="auto"/>
              <w:right w:val="single" w:sz="8" w:color="auto"/>
            </w:tcBorders>
          </w:tcPr>
          <w:p>
            <w:pPr>
              <w:ind w:left="380"/>
              <w:spacing w:after="0" w:line="129" w:lineRule="exact"/>
              <w:rPr>
                <w:sz w:val="20"/>
                <w:szCs w:val="20"/>
                <w:color w:val="auto"/>
              </w:rPr>
            </w:pPr>
            <w:r>
              <w:rPr>
                <w:rFonts w:ascii="Arial" w:cs="Arial" w:eastAsia="Arial" w:hAnsi="Arial"/>
                <w:sz w:val="13"/>
                <w:szCs w:val="13"/>
                <w:b w:val="1"/>
                <w:bCs w:val="1"/>
                <w:color w:val="auto"/>
                <w:w w:val="85"/>
              </w:rPr>
              <w:t>1,680</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bottom w:val="single" w:sz="8" w:color="auto"/>
              <w:right w:val="single" w:sz="8" w:color="auto"/>
            </w:tcBorders>
          </w:tcPr>
          <w:p>
            <w:pPr>
              <w:ind w:left="260"/>
              <w:spacing w:after="0" w:line="129" w:lineRule="exact"/>
              <w:rPr>
                <w:sz w:val="20"/>
                <w:szCs w:val="20"/>
                <w:color w:val="auto"/>
              </w:rPr>
            </w:pPr>
            <w:r>
              <w:rPr>
                <w:rFonts w:ascii="Arial" w:cs="Arial" w:eastAsia="Arial" w:hAnsi="Arial"/>
                <w:sz w:val="13"/>
                <w:szCs w:val="13"/>
                <w:b w:val="1"/>
                <w:bCs w:val="1"/>
                <w:color w:val="auto"/>
                <w:w w:val="96"/>
              </w:rPr>
              <w:t>17</w:t>
            </w:r>
          </w:p>
        </w:tc>
        <w:tc>
          <w:tcPr>
            <w:tcW w:w="1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144,569</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1,955</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9"/>
              </w:rPr>
              <w:t>(16,374)</w:t>
            </w:r>
          </w:p>
        </w:tc>
        <w:tc>
          <w:tcPr>
            <w:tcW w:w="20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12,075</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142,472</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4,418</w:t>
            </w:r>
          </w:p>
        </w:tc>
        <w:tc>
          <w:tcPr>
            <w:tcW w:w="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146,890</w:t>
            </w:r>
          </w:p>
        </w:tc>
      </w:tr>
      <w:tr>
        <w:trPr>
          <w:trHeight w:val="216"/>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Net income</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31,112</w:t>
            </w:r>
          </w:p>
        </w:tc>
      </w:tr>
      <w:tr>
        <w:trPr>
          <w:trHeight w:val="216"/>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Other comprehensive income, net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8,916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8,916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8,935</w:t>
            </w:r>
          </w:p>
        </w:tc>
      </w:tr>
      <w:tr>
        <w:trPr>
          <w:trHeight w:val="216"/>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16"/>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 repurchase plan</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(410)</w:t>
            </w:r>
          </w:p>
        </w:tc>
        <w:tc>
          <w:tcPr>
            <w:tcW w:w="8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(6,532)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(6,532)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(6,532)</w:t>
            </w:r>
          </w:p>
        </w:tc>
      </w:tr>
      <w:tr>
        <w:trPr>
          <w:trHeight w:val="121"/>
        </w:trPr>
        <w:tc>
          <w:tcPr>
            <w:tcW w:w="216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91"/>
              </w:rPr>
              <w:t>Class A common stock issued for share-</w:t>
            </w:r>
          </w:p>
        </w:tc>
        <w:tc>
          <w:tcPr>
            <w:tcW w:w="5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w w:val="97"/>
              </w:rPr>
              <w:t>based bonuses and options exercised</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rPr>
              <w:t>1</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r>
      <w:tr>
        <w:trPr>
          <w:trHeight w:val="121"/>
        </w:trPr>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w w:val="87"/>
              </w:rPr>
              <w:t>In-kind exchange of share for the exercise</w:t>
            </w:r>
          </w:p>
        </w:tc>
        <w:tc>
          <w:tcPr>
            <w:tcW w:w="5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of options, net issued</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Restricted Stock Units</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Contributions from noncontrolling</w:t>
            </w:r>
          </w:p>
        </w:tc>
        <w:tc>
          <w:tcPr>
            <w:tcW w:w="5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shareholders</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193</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w:t>
            </w:r>
          </w:p>
        </w:tc>
      </w:tr>
      <w:tr>
        <w:trPr>
          <w:trHeight w:val="121"/>
        </w:trPr>
        <w:tc>
          <w:tcPr>
            <w:tcW w:w="216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Distributions to noncontrolling</w:t>
            </w:r>
          </w:p>
        </w:tc>
        <w:tc>
          <w:tcPr>
            <w:tcW w:w="5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2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shareholders</w:t>
            </w: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r>
      <w:tr>
        <w:trPr>
          <w:trHeight w:val="136"/>
        </w:trPr>
        <w:tc>
          <w:tcPr>
            <w:tcW w:w="21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At December 31, 2017</w:t>
            </w:r>
          </w:p>
        </w:tc>
        <w:tc>
          <w:tcPr>
            <w:tcW w:w="580" w:type="dxa"/>
            <w:vAlign w:val="bottom"/>
            <w:tcBorders>
              <w:bottom w:val="single" w:sz="8" w:color="auto"/>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21,251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bottom w:val="single" w:sz="8" w:color="auto"/>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231</w:t>
            </w:r>
          </w:p>
        </w:tc>
        <w:tc>
          <w:tcPr>
            <w:tcW w:w="700" w:type="dxa"/>
            <w:vAlign w:val="bottom"/>
            <w:tcBorders>
              <w:bottom w:val="single" w:sz="8" w:color="auto"/>
              <w:right w:val="single" w:sz="8" w:color="auto"/>
            </w:tcBorders>
          </w:tcPr>
          <w:p>
            <w:pPr>
              <w:ind w:left="380"/>
              <w:spacing w:after="0" w:line="129" w:lineRule="exact"/>
              <w:rPr>
                <w:sz w:val="20"/>
                <w:szCs w:val="20"/>
                <w:color w:val="auto"/>
              </w:rPr>
            </w:pPr>
            <w:r>
              <w:rPr>
                <w:rFonts w:ascii="Arial" w:cs="Arial" w:eastAsia="Arial" w:hAnsi="Arial"/>
                <w:sz w:val="13"/>
                <w:szCs w:val="13"/>
                <w:b w:val="1"/>
                <w:bCs w:val="1"/>
                <w:color w:val="auto"/>
                <w:w w:val="85"/>
              </w:rPr>
              <w:t>1,680</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bottom w:val="single" w:sz="8" w:color="auto"/>
              <w:right w:val="single" w:sz="8" w:color="auto"/>
            </w:tcBorders>
          </w:tcPr>
          <w:p>
            <w:pPr>
              <w:ind w:left="260"/>
              <w:spacing w:after="0" w:line="129" w:lineRule="exact"/>
              <w:rPr>
                <w:sz w:val="20"/>
                <w:szCs w:val="20"/>
                <w:color w:val="auto"/>
              </w:rPr>
            </w:pPr>
            <w:r>
              <w:rPr>
                <w:rFonts w:ascii="Arial" w:cs="Arial" w:eastAsia="Arial" w:hAnsi="Arial"/>
                <w:sz w:val="13"/>
                <w:szCs w:val="13"/>
                <w:b w:val="1"/>
                <w:bCs w:val="1"/>
                <w:color w:val="auto"/>
                <w:w w:val="96"/>
              </w:rPr>
              <w:t>17</w:t>
            </w:r>
          </w:p>
        </w:tc>
        <w:tc>
          <w:tcPr>
            <w:tcW w:w="1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145,898</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33,056</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9"/>
              </w:rPr>
              <w:t>(22,906)</w:t>
            </w:r>
          </w:p>
        </w:tc>
        <w:tc>
          <w:tcPr>
            <w:tcW w:w="20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20,991</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177,287</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4,331</w:t>
            </w:r>
          </w:p>
        </w:tc>
        <w:tc>
          <w:tcPr>
            <w:tcW w:w="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181,618</w:t>
            </w:r>
          </w:p>
        </w:tc>
      </w:tr>
      <w:tr>
        <w:trPr>
          <w:trHeight w:val="216"/>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Net income</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14,498</w:t>
            </w:r>
          </w:p>
        </w:tc>
      </w:tr>
      <w:tr>
        <w:trPr>
          <w:trHeight w:val="121"/>
        </w:trPr>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w w:val="88"/>
              </w:rPr>
              <w:t>Adjustments to opening retained earnings</w:t>
            </w:r>
          </w:p>
        </w:tc>
        <w:tc>
          <w:tcPr>
            <w:tcW w:w="5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on adoption of ASC 606</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194</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192</w:t>
            </w:r>
          </w:p>
        </w:tc>
      </w:tr>
      <w:tr>
        <w:trPr>
          <w:trHeight w:val="216"/>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Other comprehensive income, net</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(14,891)</w:t>
            </w:r>
          </w:p>
        </w:tc>
      </w:tr>
      <w:tr>
        <w:trPr>
          <w:trHeight w:val="216"/>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Share-based compensation expense</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1,458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1,458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1,458</w:t>
            </w:r>
          </w:p>
        </w:tc>
      </w:tr>
      <w:tr>
        <w:trPr>
          <w:trHeight w:val="216"/>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 repurchase plan</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w:t>
            </w:r>
          </w:p>
        </w:tc>
      </w:tr>
      <w:tr>
        <w:trPr>
          <w:trHeight w:val="121"/>
        </w:trPr>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w w:val="91"/>
              </w:rPr>
              <w:t>Class A common stock issued for share-</w:t>
            </w:r>
          </w:p>
        </w:tc>
        <w:tc>
          <w:tcPr>
            <w:tcW w:w="5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based bonuses and options exercised</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219</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219</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21"/>
        </w:trPr>
        <w:tc>
          <w:tcPr>
            <w:tcW w:w="216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87"/>
              </w:rPr>
              <w:t>In-kind exchange of share for the exercise</w:t>
            </w:r>
          </w:p>
        </w:tc>
        <w:tc>
          <w:tcPr>
            <w:tcW w:w="5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of options, net issued</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rPr>
              <w:t>1</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216"/>
        </w:trPr>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Restricted Stock Units</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4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21"/>
        </w:trPr>
        <w:tc>
          <w:tcPr>
            <w:tcW w:w="216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Contributions from noncontrolling</w:t>
            </w:r>
          </w:p>
        </w:tc>
        <w:tc>
          <w:tcPr>
            <w:tcW w:w="5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2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shareholders</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21"/>
        </w:trPr>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Distributions to noncontrolling</w:t>
            </w:r>
          </w:p>
        </w:tc>
        <w:tc>
          <w:tcPr>
            <w:tcW w:w="5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shareholders</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7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3"/>
                <w:szCs w:val="13"/>
                <w:color w:val="auto"/>
                <w:w w:val="76"/>
              </w:rPr>
              <w:t>—</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w:t>
            </w:r>
          </w:p>
        </w:tc>
      </w:tr>
      <w:tr>
        <w:trPr>
          <w:trHeight w:val="136"/>
        </w:trPr>
        <w:tc>
          <w:tcPr>
            <w:tcW w:w="216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At December 31, 2018</w:t>
            </w:r>
          </w:p>
        </w:tc>
        <w:tc>
          <w:tcPr>
            <w:tcW w:w="58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21,195</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232</w:t>
            </w:r>
          </w:p>
        </w:tc>
        <w:tc>
          <w:tcPr>
            <w:tcW w:w="700" w:type="dxa"/>
            <w:vAlign w:val="bottom"/>
            <w:tcBorders>
              <w:bottom w:val="single" w:sz="8" w:color="auto"/>
              <w:right w:val="single" w:sz="8" w:color="auto"/>
            </w:tcBorders>
            <w:shd w:val="clear" w:color="auto" w:fill="CCEEFF"/>
          </w:tcPr>
          <w:p>
            <w:pPr>
              <w:ind w:left="380"/>
              <w:spacing w:after="0" w:line="129" w:lineRule="exact"/>
              <w:rPr>
                <w:sz w:val="20"/>
                <w:szCs w:val="20"/>
                <w:color w:val="auto"/>
              </w:rPr>
            </w:pPr>
            <w:r>
              <w:rPr>
                <w:rFonts w:ascii="Arial" w:cs="Arial" w:eastAsia="Arial" w:hAnsi="Arial"/>
                <w:sz w:val="13"/>
                <w:szCs w:val="13"/>
                <w:b w:val="1"/>
                <w:bCs w:val="1"/>
                <w:color w:val="auto"/>
                <w:w w:val="85"/>
              </w:rPr>
              <w:t>1,680</w:t>
            </w:r>
          </w:p>
        </w:tc>
        <w:tc>
          <w:tcPr>
            <w:tcW w:w="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bottom w:val="single" w:sz="8" w:color="auto"/>
              <w:right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b w:val="1"/>
                <w:bCs w:val="1"/>
                <w:color w:val="auto"/>
                <w:w w:val="96"/>
              </w:rPr>
              <w:t>17</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147,452</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47,616</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9"/>
              </w:rPr>
              <w:t>(25,222)</w:t>
            </w:r>
          </w:p>
        </w:tc>
        <w:tc>
          <w:tcPr>
            <w:tcW w:w="20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6,115</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176,210</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4,337</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180,547</w:t>
            </w:r>
          </w:p>
        </w:tc>
      </w:tr>
    </w:tbl>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6" w:right="87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for the Three Years Ended December 31, 2018</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(U.S. dollars in thousands)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14,498</w:t>
            </w:r>
          </w:p>
        </w:tc>
        <w:tc>
          <w:tcPr>
            <w:tcW w:w="8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31,112</w:t>
            </w:r>
          </w:p>
        </w:tc>
        <w:tc>
          <w:tcPr>
            <w:tcW w:w="80" w:type="dxa"/>
            <w:vAlign w:val="bottom"/>
          </w:tcPr>
          <w:p>
            <w:pPr>
              <w:spacing w:after="0"/>
              <w:rPr>
                <w:sz w:val="18"/>
                <w:szCs w:val="18"/>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9,692</w:t>
            </w:r>
          </w:p>
        </w:tc>
      </w:tr>
      <w:tr>
        <w:trPr>
          <w:trHeight w:val="216"/>
        </w:trPr>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6"/>
              </w:rPr>
              <w:t>Adjustments to reconcile net income to net cash flows from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100"/>
              <w:spacing w:after="0"/>
              <w:rPr>
                <w:sz w:val="20"/>
                <w:szCs w:val="20"/>
                <w:color w:val="auto"/>
              </w:rPr>
            </w:pPr>
            <w:r>
              <w:rPr>
                <w:rFonts w:ascii="Arial" w:cs="Arial" w:eastAsia="Arial" w:hAnsi="Arial"/>
                <w:sz w:val="18"/>
                <w:szCs w:val="18"/>
                <w:color w:val="auto"/>
              </w:rPr>
              <w:t>Equity earnings of unconsolidated joint ventures</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Distributions of earnings from unconsolidated joint ventures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16"/>
        </w:trPr>
        <w:tc>
          <w:tcPr>
            <w:tcW w:w="6160" w:type="dxa"/>
            <w:vAlign w:val="bottom"/>
            <w:gridSpan w:val="2"/>
          </w:tcPr>
          <w:p>
            <w:pPr>
              <w:ind w:left="100"/>
              <w:spacing w:after="0"/>
              <w:rPr>
                <w:sz w:val="20"/>
                <w:szCs w:val="20"/>
                <w:color w:val="auto"/>
              </w:rPr>
            </w:pPr>
            <w:r>
              <w:rPr>
                <w:rFonts w:ascii="Arial" w:cs="Arial" w:eastAsia="Arial" w:hAnsi="Arial"/>
                <w:sz w:val="18"/>
                <w:szCs w:val="18"/>
                <w:color w:val="auto"/>
              </w:rPr>
              <w:t>Gain recognized on foreign currency transactions</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 (gain) on sale of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6160" w:type="dxa"/>
            <w:vAlign w:val="bottom"/>
            <w:gridSpan w:val="2"/>
          </w:tcPr>
          <w:p>
            <w:pPr>
              <w:ind w:left="100"/>
              <w:spacing w:after="0"/>
              <w:rPr>
                <w:sz w:val="20"/>
                <w:szCs w:val="20"/>
                <w:color w:val="auto"/>
              </w:rPr>
            </w:pPr>
            <w:r>
              <w:rPr>
                <w:rFonts w:ascii="Arial" w:cs="Arial" w:eastAsia="Arial" w:hAnsi="Arial"/>
                <w:sz w:val="18"/>
                <w:szCs w:val="18"/>
                <w:color w:val="auto"/>
              </w:rPr>
              <w:t>Interest on hedged derivatives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in net deferred tax assets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r>
      <w:tr>
        <w:trPr>
          <w:trHeight w:val="216"/>
        </w:trPr>
        <w:tc>
          <w:tcPr>
            <w:tcW w:w="616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15,689</w:t>
            </w:r>
          </w:p>
        </w:tc>
      </w:tr>
      <w:tr>
        <w:trPr>
          <w:trHeight w:val="216"/>
        </w:trPr>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amortization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16"/>
        </w:trPr>
        <w:tc>
          <w:tcPr>
            <w:tcW w:w="6160" w:type="dxa"/>
            <w:vAlign w:val="bottom"/>
            <w:gridSpan w:val="2"/>
          </w:tcPr>
          <w:p>
            <w:pPr>
              <w:ind w:left="100"/>
              <w:spacing w:after="0"/>
              <w:rPr>
                <w:sz w:val="20"/>
                <w:szCs w:val="20"/>
                <w:color w:val="auto"/>
              </w:rPr>
            </w:pPr>
            <w:r>
              <w:rPr>
                <w:rFonts w:ascii="Arial" w:cs="Arial" w:eastAsia="Arial" w:hAnsi="Arial"/>
                <w:sz w:val="18"/>
                <w:szCs w:val="18"/>
                <w:color w:val="auto"/>
              </w:rPr>
              <w:t>Casualty (gain) loss</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(9,217)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16"/>
        </w:trPr>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6160" w:type="dxa"/>
            <w:vAlign w:val="bottom"/>
            <w:gridSpan w:val="2"/>
          </w:tcPr>
          <w:p>
            <w:pPr>
              <w:ind w:left="100"/>
              <w:spacing w:after="0"/>
              <w:rPr>
                <w:sz w:val="20"/>
                <w:szCs w:val="20"/>
                <w:color w:val="auto"/>
              </w:rPr>
            </w:pPr>
            <w:r>
              <w:rPr>
                <w:rFonts w:ascii="Arial" w:cs="Arial" w:eastAsia="Arial" w:hAnsi="Arial"/>
                <w:sz w:val="18"/>
                <w:szCs w:val="18"/>
                <w:i w:val="1"/>
                <w:iCs w:val="1"/>
                <w:color w:val="auto"/>
              </w:rPr>
              <w:t>Net changes in operating assets and liabilities: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16"/>
        </w:trPr>
        <w:tc>
          <w:tcPr>
            <w:tcW w:w="6160" w:type="dxa"/>
            <w:vAlign w:val="bottom"/>
            <w:gridSpan w:val="2"/>
          </w:tcPr>
          <w:p>
            <w:pPr>
              <w:ind w:left="320"/>
              <w:spacing w:after="0"/>
              <w:rPr>
                <w:sz w:val="20"/>
                <w:szCs w:val="20"/>
                <w:color w:val="auto"/>
              </w:rPr>
            </w:pPr>
            <w:r>
              <w:rPr>
                <w:rFonts w:ascii="Arial" w:cs="Arial" w:eastAsia="Arial" w:hAnsi="Arial"/>
                <w:sz w:val="18"/>
                <w:szCs w:val="18"/>
                <w:color w:val="auto"/>
              </w:rPr>
              <w:t>Prepaid and other assets</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16"/>
        </w:trPr>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Payments for accrued pension</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gridSpan w:val="2"/>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2,843</w:t>
            </w:r>
          </w:p>
        </w:tc>
      </w:tr>
      <w:tr>
        <w:trPr>
          <w:trHeight w:val="216"/>
        </w:trPr>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Film rent payable</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16"/>
        </w:trPr>
        <w:tc>
          <w:tcPr>
            <w:tcW w:w="6160" w:type="dxa"/>
            <w:vAlign w:val="bottom"/>
            <w:gridSpan w:val="2"/>
          </w:tcPr>
          <w:p>
            <w:pPr>
              <w:ind w:left="32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16"/>
        </w:trPr>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revenue and other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r>
      <w:tr>
        <w:trPr>
          <w:trHeight w:val="210"/>
        </w:trPr>
        <w:tc>
          <w:tcPr>
            <w:tcW w:w="5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32,645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23,851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30,188</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Purchases of and additions to operating and investment properties</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(63,529)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(65,903)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(49,166)</w:t>
            </w: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restricted cash</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Demolition costs of operating property</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Disposal of investment in unconsolidated joint ventures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Distributions from unconsolidated joint ventures</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settlement on insurance claim</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Proceeds from sale of properties</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10"/>
        </w:trPr>
        <w:tc>
          <w:tcPr>
            <w:tcW w:w="5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(42,861)</w:t>
            </w:r>
          </w:p>
        </w:tc>
      </w:tr>
      <w:tr>
        <w:trPr>
          <w:trHeight w:val="210"/>
        </w:trPr>
        <w:tc>
          <w:tcPr>
            <w:tcW w:w="59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Repayment of long-term borrowings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(106,449)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(63,748)</w:t>
            </w:r>
          </w:p>
        </w:tc>
      </w:tr>
      <w:tr>
        <w:trPr>
          <w:trHeight w:val="216"/>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91,030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81,616</w:t>
            </w: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Capitalized borrowing costs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r>
      <w:tr>
        <w:trPr>
          <w:trHeight w:val="216"/>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Repurchase of Class A nonvoting common stock</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(6,532)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(2,850)</w:t>
            </w: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stock option exercises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Noncontrolling interest contributions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 distributions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10"/>
        </w:trPr>
        <w:tc>
          <w:tcPr>
            <w:tcW w:w="5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(22,055)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11,246</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on cash</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19,702</w:t>
            </w:r>
          </w:p>
        </w:tc>
      </w:tr>
      <w:tr>
        <w:trPr>
          <w:trHeight w:val="217"/>
        </w:trPr>
        <w:tc>
          <w:tcPr>
            <w:tcW w:w="5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19,017</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Interest paid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8,035</w:t>
            </w:r>
          </w:p>
        </w:tc>
        <w:tc>
          <w:tcPr>
            <w:tcW w:w="8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4,880</w:t>
            </w:r>
          </w:p>
        </w:tc>
        <w:tc>
          <w:tcPr>
            <w:tcW w:w="80" w:type="dxa"/>
            <w:vAlign w:val="bottom"/>
          </w:tcPr>
          <w:p>
            <w:pPr>
              <w:spacing w:after="0"/>
              <w:rPr>
                <w:sz w:val="18"/>
                <w:szCs w:val="18"/>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5,948</w:t>
            </w: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taxes paid,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Non-Cash Transactions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make-good accrual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In-kind exchange of stock for the exercise of options, net</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Additions to operating and investing properties through accrued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r>
        <w:rPr>
          <w:rFonts w:ascii="Arial" w:cs="Arial" w:eastAsia="Arial" w:hAnsi="Arial"/>
          <w:sz w:val="14"/>
          <w:szCs w:val="14"/>
          <w:color w:val="auto"/>
        </w:rPr>
        <w:t>.</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3" w:right="87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and for Three Years Ended December 31, 2018</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________________________________________________________________________________________________________</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DESCRIPTION OF BUSINESS AND 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Reading International, Inc., a Nevada corporation (“RDI” and collectively with our consolidated subsidiaries and corporate predecessors, the “Company”, “Reading” and “we”, “us”, or “our”), was incorporated in 1999. Our businesses consist primarily of:</w:t>
      </w:r>
    </w:p>
    <w:p>
      <w:pPr>
        <w:spacing w:after="0" w:line="25" w:lineRule="exact"/>
        <w:rPr>
          <w:sz w:val="20"/>
          <w:szCs w:val="20"/>
          <w:color w:val="auto"/>
        </w:rPr>
      </w:pPr>
    </w:p>
    <w:p>
      <w:pPr>
        <w:ind w:left="640" w:hanging="320"/>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operation, development and ownership of multiplex cinemas in the United States, Australia, and New Zealand; and,</w:t>
      </w:r>
    </w:p>
    <w:p>
      <w:pPr>
        <w:spacing w:after="0" w:line="103" w:lineRule="exact"/>
        <w:rPr>
          <w:rFonts w:ascii="Arial" w:cs="Arial" w:eastAsia="Arial" w:hAnsi="Arial"/>
          <w:sz w:val="18"/>
          <w:szCs w:val="18"/>
          <w:color w:val="auto"/>
        </w:rPr>
      </w:pPr>
    </w:p>
    <w:p>
      <w:pPr>
        <w:ind w:left="640" w:right="540" w:hanging="320"/>
        <w:spacing w:after="0" w:line="277"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development, ownership, operation and/or rental of retail, commercial and live venue real estate assets in Australia, New Zealand, and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business is comprised of two operating segments, as follows: (i) cinema exhibition and (ii) real estate. Each of these segments has discrete and separate financial information and for which operating results are evaluated regularly by our Chief Executive Officer, the chief operating decision-maker of the Company. As part of our real estate segment, we have acquired, and continue to hold, raw land in urban and suburban centers in New Zealand, Australia and the United States.</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tables below summarize the results of operations for each of our business segments. Operating expense includes costs associated with the day-to-day operations of the cinemas and the management of rental properties, including our live theater assets.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2018</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2017</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17"/>
        </w:trPr>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w w:val="94"/>
              </w:rPr>
              <w:t>Real</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w w:val="87"/>
              </w:rPr>
              <w:t>Real</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197"/>
              <w:spacing w:after="0" w:line="117" w:lineRule="exact"/>
              <w:rPr>
                <w:sz w:val="20"/>
                <w:szCs w:val="20"/>
                <w:color w:val="auto"/>
              </w:rPr>
            </w:pPr>
            <w:r>
              <w:rPr>
                <w:rFonts w:ascii="Arial" w:cs="Arial" w:eastAsia="Arial" w:hAnsi="Arial"/>
                <w:sz w:val="13"/>
                <w:szCs w:val="13"/>
                <w:b w:val="1"/>
                <w:bCs w:val="1"/>
                <w:color w:val="auto"/>
              </w:rPr>
              <w:t>Real</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60"/>
        </w:trPr>
        <w:tc>
          <w:tcPr>
            <w:tcW w:w="21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Cinema</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Estate</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Cinema</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7"/>
              </w:rPr>
              <w:t>Estate</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7"/>
              </w:rPr>
              <w:t>Cinema</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7"/>
              </w:rPr>
              <w:t>Estate</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203"/>
        </w:trPr>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 Third party</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309,385</w:t>
            </w:r>
          </w:p>
        </w:tc>
        <w:tc>
          <w:tcPr>
            <w:tcW w:w="2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263,464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279,879</w:t>
            </w:r>
          </w:p>
        </w:tc>
        <w:tc>
          <w:tcPr>
            <w:tcW w:w="20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256,922</w:t>
            </w:r>
          </w:p>
        </w:tc>
        <w:tc>
          <w:tcPr>
            <w:tcW w:w="24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13,944</w:t>
            </w:r>
          </w:p>
        </w:tc>
        <w:tc>
          <w:tcPr>
            <w:tcW w:w="2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270,866</w:t>
            </w:r>
          </w:p>
        </w:tc>
      </w:tr>
      <w:tr>
        <w:trPr>
          <w:trHeight w:val="216"/>
        </w:trPr>
        <w:tc>
          <w:tcPr>
            <w:tcW w:w="2220" w:type="dxa"/>
            <w:vAlign w:val="bottom"/>
            <w:gridSpan w:val="2"/>
          </w:tcPr>
          <w:p>
            <w:pPr>
              <w:ind w:left="100"/>
              <w:spacing w:after="0"/>
              <w:rPr>
                <w:sz w:val="20"/>
                <w:szCs w:val="20"/>
                <w:color w:val="auto"/>
              </w:rPr>
            </w:pPr>
            <w:r>
              <w:rPr>
                <w:rFonts w:ascii="Arial" w:cs="Arial" w:eastAsia="Arial" w:hAnsi="Arial"/>
                <w:sz w:val="13"/>
                <w:szCs w:val="13"/>
                <w:color w:val="auto"/>
              </w:rPr>
              <w:t xml:space="preserve">Inter-segment Revenue </w:t>
            </w:r>
            <w:r>
              <w:rPr>
                <w:rFonts w:ascii="Arial" w:cs="Arial" w:eastAsia="Arial" w:hAnsi="Arial"/>
                <w:sz w:val="14"/>
                <w:szCs w:val="14"/>
                <w:color w:val="auto"/>
                <w:vertAlign w:val="superscript"/>
              </w:rPr>
              <w:t>(1)</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9,027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7,366</w:t>
            </w:r>
          </w:p>
        </w:tc>
      </w:tr>
      <w:tr>
        <w:trPr>
          <w:trHeight w:val="210"/>
        </w:trPr>
        <w:tc>
          <w:tcPr>
            <w:tcW w:w="2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Segment Revenue</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294,177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24,235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318,412</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263,464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23,988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287,452</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256,922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21,310</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278,232</w:t>
            </w:r>
          </w:p>
        </w:tc>
      </w:tr>
      <w:tr>
        <w:trPr>
          <w:trHeight w:val="216"/>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Operating expense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21"/>
        </w:trPr>
        <w:tc>
          <w:tcPr>
            <w:tcW w:w="22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Cost of services and products -</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49"/>
        </w:trPr>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party</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(225,791)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(9,904)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(235,695)</w:t>
            </w: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(207,447)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(9,436)</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(216,883)</w:t>
            </w: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(198,523)</w:t>
            </w:r>
          </w:p>
        </w:tc>
        <w:tc>
          <w:tcPr>
            <w:tcW w:w="10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(9,044)</w:t>
            </w:r>
          </w:p>
        </w:tc>
        <w:tc>
          <w:tcPr>
            <w:tcW w:w="8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(207,567)</w:t>
            </w:r>
          </w:p>
        </w:tc>
      </w:tr>
      <w:tr>
        <w:trPr>
          <w:trHeight w:val="216"/>
        </w:trPr>
        <w:tc>
          <w:tcPr>
            <w:tcW w:w="2220" w:type="dxa"/>
            <w:vAlign w:val="bottom"/>
            <w:gridSpan w:val="2"/>
          </w:tcPr>
          <w:p>
            <w:pPr>
              <w:ind w:left="100"/>
              <w:spacing w:after="0"/>
              <w:rPr>
                <w:sz w:val="20"/>
                <w:szCs w:val="20"/>
                <w:color w:val="auto"/>
              </w:rPr>
            </w:pPr>
            <w:r>
              <w:rPr>
                <w:rFonts w:ascii="Arial" w:cs="Arial" w:eastAsia="Arial" w:hAnsi="Arial"/>
                <w:sz w:val="13"/>
                <w:szCs w:val="13"/>
                <w:color w:val="auto"/>
              </w:rPr>
              <w:t xml:space="preserve">Inter-segment Cost of services </w:t>
            </w:r>
            <w:r>
              <w:rPr>
                <w:rFonts w:ascii="Arial" w:cs="Arial" w:eastAsia="Arial" w:hAnsi="Arial"/>
                <w:sz w:val="14"/>
                <w:szCs w:val="14"/>
                <w:color w:val="auto"/>
                <w:vertAlign w:val="superscript"/>
              </w:rPr>
              <w:t>(1)</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(9,027)</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(9,027)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(7,573)</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(7,366)</w:t>
            </w:r>
          </w:p>
        </w:tc>
      </w:tr>
      <w:tr>
        <w:trPr>
          <w:trHeight w:val="101"/>
        </w:trPr>
        <w:tc>
          <w:tcPr>
            <w:tcW w:w="2220" w:type="dxa"/>
            <w:vAlign w:val="bottom"/>
            <w:tcBorders>
              <w:top w:val="single" w:sz="8" w:color="CCEEFF"/>
            </w:tcBorders>
            <w:gridSpan w:val="2"/>
            <w:shd w:val="clear" w:color="auto" w:fill="CCEEFF"/>
          </w:tcPr>
          <w:p>
            <w:pPr>
              <w:ind w:left="100"/>
              <w:spacing w:after="0" w:line="101" w:lineRule="exact"/>
              <w:rPr>
                <w:sz w:val="20"/>
                <w:szCs w:val="20"/>
                <w:color w:val="auto"/>
              </w:rPr>
            </w:pPr>
            <w:r>
              <w:rPr>
                <w:rFonts w:ascii="Arial" w:cs="Arial" w:eastAsia="Arial" w:hAnsi="Arial"/>
                <w:sz w:val="11"/>
                <w:szCs w:val="11"/>
                <w:color w:val="auto"/>
              </w:rPr>
              <w:t>Total of services and products</w:t>
            </w:r>
          </w:p>
        </w:tc>
        <w:tc>
          <w:tcPr>
            <w:tcW w:w="1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left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left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left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left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r>
      <w:tr>
        <w:trPr>
          <w:trHeight w:val="135"/>
        </w:trPr>
        <w:tc>
          <w:tcPr>
            <w:tcW w:w="2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(excluding depreciation and</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49"/>
        </w:trPr>
        <w:tc>
          <w:tcPr>
            <w:tcW w:w="2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(234,818)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(9,904)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(244,722)</w:t>
            </w: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(215,020)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(9,436)</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(224,456)</w:t>
            </w: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(205,889)</w:t>
            </w:r>
          </w:p>
        </w:tc>
        <w:tc>
          <w:tcPr>
            <w:tcW w:w="10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(9,044)</w:t>
            </w:r>
          </w:p>
        </w:tc>
        <w:tc>
          <w:tcPr>
            <w:tcW w:w="8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(214,933)</w:t>
            </w:r>
          </w:p>
        </w:tc>
      </w:tr>
      <w:tr>
        <w:trPr>
          <w:trHeight w:val="216"/>
        </w:trPr>
        <w:tc>
          <w:tcPr>
            <w:tcW w:w="222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(16,314)</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(5,567)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(21,881)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(12,213)</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(4,256)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(15,294)</w:t>
            </w:r>
          </w:p>
        </w:tc>
      </w:tr>
      <w:tr>
        <w:trPr>
          <w:trHeight w:val="216"/>
        </w:trPr>
        <w:tc>
          <w:tcPr>
            <w:tcW w:w="2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General and administrative expense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(2,326)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(6,050)</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(3,261)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(5,401)</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(3,763)</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(5,185)</w:t>
            </w:r>
          </w:p>
        </w:tc>
      </w:tr>
      <w:tr>
        <w:trPr>
          <w:trHeight w:val="20"/>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10"/>
        </w:trPr>
        <w:tc>
          <w:tcPr>
            <w:tcW w:w="2220" w:type="dxa"/>
            <w:vAlign w:val="bottom"/>
            <w:gridSpan w:val="2"/>
          </w:tcPr>
          <w:p>
            <w:pPr>
              <w:spacing w:after="0"/>
              <w:rPr>
                <w:sz w:val="20"/>
                <w:szCs w:val="20"/>
                <w:color w:val="auto"/>
              </w:rPr>
            </w:pPr>
            <w:r>
              <w:rPr>
                <w:rFonts w:ascii="Arial" w:cs="Arial" w:eastAsia="Arial" w:hAnsi="Arial"/>
                <w:sz w:val="13"/>
                <w:szCs w:val="13"/>
                <w:color w:val="auto"/>
              </w:rPr>
              <w:t>Total operating expense</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(254,856)</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(17,797)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(272,653)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(230,494)</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(15,832)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(246,326)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(221,424)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(13,988)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(235,412)</w:t>
            </w:r>
          </w:p>
        </w:tc>
      </w:tr>
      <w:tr>
        <w:trPr>
          <w:trHeight w:val="20"/>
        </w:trPr>
        <w:tc>
          <w:tcPr>
            <w:tcW w:w="2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83"/>
        </w:trPr>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Segment operating income</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39,321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6,438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45,759</w:t>
            </w:r>
          </w:p>
        </w:tc>
        <w:tc>
          <w:tcPr>
            <w:tcW w:w="2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32,970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41,126</w:t>
            </w:r>
          </w:p>
        </w:tc>
        <w:tc>
          <w:tcPr>
            <w:tcW w:w="20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35,498</w:t>
            </w:r>
          </w:p>
        </w:tc>
        <w:tc>
          <w:tcPr>
            <w:tcW w:w="24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7,322</w:t>
            </w:r>
          </w:p>
        </w:tc>
        <w:tc>
          <w:tcPr>
            <w:tcW w:w="2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42,820</w:t>
            </w:r>
          </w:p>
        </w:tc>
      </w:tr>
      <w:tr>
        <w:trPr>
          <w:trHeight w:val="27"/>
        </w:trPr>
        <w:tc>
          <w:tcPr>
            <w:tcW w:w="2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130" w:lineRule="exact"/>
        <w:rPr>
          <w:sz w:val="20"/>
          <w:szCs w:val="20"/>
          <w:color w:val="auto"/>
        </w:rPr>
      </w:pPr>
    </w:p>
    <w:p>
      <w:pPr>
        <w:ind w:left="640" w:right="60" w:hanging="320"/>
        <w:spacing w:after="0" w:line="253"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Inter-segment Revenues and Cost of services relates to the internal charge between the two segments where the cinema operates within real estate owned within the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operating income to income before income taxes is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Unallocated corporate expense: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General and administrative expense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(21,287)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(19,947)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(21,721)</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Equity earnings of unconsolidated joint ventures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Casualty gain (loss)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7"/>
        </w:trPr>
        <w:tc>
          <w:tcPr>
            <w:tcW w:w="49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13,830</w:t>
            </w:r>
          </w:p>
        </w:tc>
        <w:tc>
          <w:tcPr>
            <w:tcW w:w="20" w:type="dxa"/>
            <w:vAlign w:val="bottom"/>
          </w:tcPr>
          <w:p>
            <w:pPr>
              <w:spacing w:after="0"/>
              <w:rPr>
                <w:sz w:val="18"/>
                <w:szCs w:val="18"/>
                <w:color w:val="auto"/>
              </w:rPr>
            </w:pPr>
          </w:p>
        </w:tc>
      </w:tr>
      <w:tr>
        <w:trPr>
          <w:trHeight w:val="648"/>
        </w:trPr>
        <w:tc>
          <w:tcPr>
            <w:tcW w:w="4920" w:type="dxa"/>
            <w:vAlign w:val="bottom"/>
          </w:tcPr>
          <w:p>
            <w:pPr>
              <w:ind w:left="48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90"/>
              <w:spacing w:after="0"/>
              <w:rPr>
                <w:sz w:val="20"/>
                <w:szCs w:val="20"/>
                <w:color w:val="auto"/>
              </w:rPr>
            </w:pPr>
            <w:r>
              <w:rPr>
                <w:rFonts w:ascii="Arial" w:cs="Arial" w:eastAsia="Arial" w:hAnsi="Arial"/>
                <w:sz w:val="18"/>
                <w:szCs w:val="18"/>
                <w:color w:val="auto"/>
              </w:rPr>
              <w:t>92 -</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9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9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33" w:right="859" w:bottom="1440" w:gutter="0" w:footer="0" w:header="0"/>
        </w:sectPr>
      </w:pPr>
    </w:p>
    <w:bookmarkStart w:id="93" w:name="page94"/>
    <w:bookmarkEnd w:id="93"/>
    <w:p>
      <w:pPr>
        <w:ind w:right="100"/>
        <w:spacing w:after="0" w:line="277" w:lineRule="auto"/>
        <w:rPr>
          <w:sz w:val="20"/>
          <w:szCs w:val="20"/>
          <w:color w:val="auto"/>
        </w:rPr>
      </w:pPr>
      <w:r>
        <w:rPr>
          <w:rFonts w:ascii="Arial" w:cs="Arial" w:eastAsia="Arial" w:hAnsi="Arial"/>
          <w:sz w:val="18"/>
          <w:szCs w:val="18"/>
          <w:color w:val="auto"/>
        </w:rPr>
        <w:t>Assuming cash and cash equivalents are accounted for as corporate assets, total assets by business segment and by country are presented as follows: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210"/>
        </w:trPr>
        <w:tc>
          <w:tcPr>
            <w:tcW w:w="7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segment: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Cinema</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138,850</w:t>
            </w:r>
          </w:p>
        </w:tc>
        <w:tc>
          <w:tcPr>
            <w:tcW w:w="140" w:type="dxa"/>
            <w:vAlign w:val="bottom"/>
          </w:tcPr>
          <w:p>
            <w:pPr>
              <w:spacing w:after="0"/>
              <w:rPr>
                <w:sz w:val="18"/>
                <w:szCs w:val="18"/>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135,184</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249,622</w:t>
            </w: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38,597</w:t>
            </w:r>
          </w:p>
        </w:tc>
      </w:tr>
      <w:tr>
        <w:trPr>
          <w:trHeight w:val="230"/>
        </w:trPr>
        <w:tc>
          <w:tcPr>
            <w:tcW w:w="7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439,028</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423,403</w:t>
            </w:r>
          </w:p>
        </w:tc>
      </w:tr>
      <w:tr>
        <w:trPr>
          <w:trHeight w:val="203"/>
        </w:trPr>
        <w:tc>
          <w:tcPr>
            <w:tcW w:w="7340" w:type="dxa"/>
            <w:vAlign w:val="bottom"/>
          </w:tcPr>
          <w:p>
            <w:pPr>
              <w:spacing w:after="0" w:line="203" w:lineRule="exact"/>
              <w:rPr>
                <w:sz w:val="20"/>
                <w:szCs w:val="20"/>
                <w:color w:val="auto"/>
              </w:rPr>
            </w:pPr>
            <w:r>
              <w:rPr>
                <w:rFonts w:ascii="Arial" w:cs="Arial" w:eastAsia="Arial" w:hAnsi="Arial"/>
                <w:sz w:val="18"/>
                <w:szCs w:val="18"/>
                <w:b w:val="1"/>
                <w:bCs w:val="1"/>
                <w:color w:val="auto"/>
              </w:rPr>
              <w:t>By country:</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220,777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188,639</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156,768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169,412</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65,352</w:t>
            </w:r>
          </w:p>
        </w:tc>
      </w:tr>
      <w:tr>
        <w:trPr>
          <w:trHeight w:val="217"/>
        </w:trPr>
        <w:tc>
          <w:tcPr>
            <w:tcW w:w="7340" w:type="dxa"/>
            <w:vAlign w:val="bottom"/>
          </w:tcPr>
          <w:p>
            <w:pPr>
              <w:ind w:left="1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439,028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423,403</w:t>
            </w:r>
          </w:p>
        </w:tc>
      </w:tr>
    </w:tbl>
    <w:p>
      <w:pPr>
        <w:spacing w:after="0" w:line="197" w:lineRule="exact"/>
        <w:rPr>
          <w:sz w:val="20"/>
          <w:szCs w:val="20"/>
          <w:color w:val="auto"/>
        </w:rPr>
      </w:pPr>
    </w:p>
    <w:p>
      <w:pPr>
        <w:ind w:left="640" w:hanging="320"/>
        <w:spacing w:after="0"/>
        <w:tabs>
          <w:tab w:leader="none" w:pos="6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Corporate Assets includes cash and cash equivalents of $13.1 million and $13.7 million as of December 31, 2018 and 2017,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properties by country: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210"/>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Australia</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132,624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143,200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29,333</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32,341</w:t>
            </w:r>
          </w:p>
        </w:tc>
      </w:tr>
      <w:tr>
        <w:trPr>
          <w:trHeight w:val="217"/>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operating property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257,667</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264,724</w:t>
            </w:r>
          </w:p>
        </w:tc>
      </w:tr>
      <w:tr>
        <w:trPr>
          <w:trHeight w:val="432"/>
        </w:trPr>
        <w:tc>
          <w:tcPr>
            <w:tcW w:w="7340" w:type="dxa"/>
            <w:vAlign w:val="bottom"/>
            <w:gridSpan w:val="4"/>
          </w:tcPr>
          <w:p>
            <w:pPr>
              <w:spacing w:after="0"/>
              <w:rPr>
                <w:sz w:val="20"/>
                <w:szCs w:val="20"/>
                <w:color w:val="auto"/>
              </w:rPr>
            </w:pPr>
            <w:r>
              <w:rPr>
                <w:rFonts w:ascii="Arial" w:cs="Arial" w:eastAsia="Arial" w:hAnsi="Arial"/>
                <w:sz w:val="18"/>
                <w:szCs w:val="18"/>
                <w:color w:val="auto"/>
                <w:w w:val="95"/>
              </w:rPr>
              <w:t>The table below summarizes capital expenditures for the three years ended December 31, 2018: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80"/>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Segment capital expenditures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49,023</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capital expenditures</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7"/>
        </w:trPr>
        <w:tc>
          <w:tcPr>
            <w:tcW w:w="5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capital expenditures</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56,827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76,708</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49,166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Consolidation</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consolidated financial statements have been prepared in accordance with accounting principles generally accepted in the United States of America (“US GAAP”). These consolidated financial statements include the accounts of our wholly-owned subsidiaries, which are RDGE, CRG, and CDL. We have also consolidated the following entities that are not wholly-owned for which we have control:</w:t>
      </w:r>
    </w:p>
    <w:p>
      <w:pPr>
        <w:spacing w:after="0" w:line="25" w:lineRule="exact"/>
        <w:rPr>
          <w:sz w:val="20"/>
          <w:szCs w:val="20"/>
          <w:color w:val="auto"/>
        </w:rPr>
      </w:pPr>
    </w:p>
    <w:p>
      <w:pPr>
        <w:ind w:left="640" w:right="420" w:hanging="320"/>
        <w:spacing w:after="0" w:line="198" w:lineRule="auto"/>
        <w:tabs>
          <w:tab w:leader="none" w:pos="64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Australia Country Cinemas Pty, Limited, a company in which we own a 75% interest and whose only assets are our leasehold cinemas in Townsville and Dubbo, Australia;</w:t>
      </w:r>
    </w:p>
    <w:p>
      <w:pPr>
        <w:spacing w:after="0" w:line="80" w:lineRule="exact"/>
        <w:rPr>
          <w:rFonts w:ascii="Arial" w:cs="Arial" w:eastAsia="Arial" w:hAnsi="Arial"/>
          <w:sz w:val="29"/>
          <w:szCs w:val="29"/>
          <w:color w:val="auto"/>
          <w:vertAlign w:val="superscript"/>
        </w:rPr>
      </w:pPr>
    </w:p>
    <w:p>
      <w:pPr>
        <w:ind w:left="640" w:right="180" w:hanging="320"/>
        <w:spacing w:after="0" w:line="198" w:lineRule="auto"/>
        <w:tabs>
          <w:tab w:leader="none" w:pos="64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Sutton Hill Properties, LLC (“SHP”), a company based in New York in which we own a 75% interest and whose only asset is the fee interest in the Cinemas 1,2,3; and,</w:t>
      </w:r>
    </w:p>
    <w:p>
      <w:pPr>
        <w:spacing w:after="0" w:line="80" w:lineRule="exact"/>
        <w:rPr>
          <w:rFonts w:ascii="Arial" w:cs="Arial" w:eastAsia="Arial" w:hAnsi="Arial"/>
          <w:sz w:val="29"/>
          <w:szCs w:val="29"/>
          <w:color w:val="auto"/>
          <w:vertAlign w:val="superscript"/>
        </w:rPr>
      </w:pPr>
    </w:p>
    <w:p>
      <w:pPr>
        <w:ind w:left="640" w:hanging="320"/>
        <w:spacing w:after="0" w:line="198" w:lineRule="auto"/>
        <w:tabs>
          <w:tab w:leader="none" w:pos="64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Shadow View Land and Farming, LLC in which we own a 50% controlling membership interest and whose only asset is a 202-acre land parcel in Coachella, California.</w:t>
      </w:r>
    </w:p>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w:t>
      </w:r>
    </w:p>
    <w:p>
      <w:pPr>
        <w:ind w:left="640" w:hanging="320"/>
        <w:spacing w:after="0" w:line="232" w:lineRule="auto"/>
        <w:tabs>
          <w:tab w:leader="none" w:pos="640" w:val="left"/>
        </w:tabs>
        <w:numPr>
          <w:ilvl w:val="0"/>
          <w:numId w:val="70"/>
        </w:numPr>
        <w:rPr>
          <w:rFonts w:ascii="Arial" w:cs="Arial" w:eastAsia="Arial" w:hAnsi="Arial"/>
          <w:sz w:val="26"/>
          <w:szCs w:val="26"/>
          <w:color w:val="auto"/>
          <w:vertAlign w:val="superscript"/>
        </w:rPr>
      </w:pPr>
      <w:r>
        <w:rPr>
          <w:rFonts w:ascii="Arial" w:cs="Arial" w:eastAsia="Arial" w:hAnsi="Arial"/>
          <w:sz w:val="16"/>
          <w:szCs w:val="16"/>
          <w:color w:val="auto"/>
        </w:rPr>
        <w:t>33.3% undivided interest in the unincorporated joint venture that owns the Mt. Gravatt cinema in a suburb of Brisbane, Australia;</w:t>
      </w:r>
    </w:p>
    <w:p>
      <w:pPr>
        <w:spacing w:after="0" w:line="97" w:lineRule="exact"/>
        <w:rPr>
          <w:rFonts w:ascii="Arial" w:cs="Arial" w:eastAsia="Arial" w:hAnsi="Arial"/>
          <w:sz w:val="26"/>
          <w:szCs w:val="26"/>
          <w:color w:val="auto"/>
          <w:vertAlign w:val="superscript"/>
        </w:rPr>
      </w:pPr>
    </w:p>
    <w:p>
      <w:pPr>
        <w:ind w:left="640" w:hanging="320"/>
        <w:spacing w:after="0" w:line="186" w:lineRule="auto"/>
        <w:tabs>
          <w:tab w:leader="none" w:pos="640" w:val="left"/>
        </w:tabs>
        <w:numPr>
          <w:ilvl w:val="0"/>
          <w:numId w:val="70"/>
        </w:numPr>
        <w:rPr>
          <w:rFonts w:ascii="Arial" w:cs="Arial" w:eastAsia="Arial" w:hAnsi="Arial"/>
          <w:sz w:val="24"/>
          <w:szCs w:val="24"/>
          <w:color w:val="auto"/>
          <w:vertAlign w:val="superscript"/>
        </w:rPr>
      </w:pPr>
      <w:r>
        <w:rPr>
          <w:rFonts w:ascii="Arial" w:cs="Arial" w:eastAsia="Arial" w:hAnsi="Arial"/>
          <w:sz w:val="15"/>
          <w:szCs w:val="15"/>
          <w:color w:val="auto"/>
        </w:rPr>
        <w:t>50% undivided interest in the unincorporated joint venture that owns Rialto Cinemas.</w:t>
      </w:r>
    </w:p>
    <w:p>
      <w:pPr>
        <w:spacing w:after="0" w:line="200" w:lineRule="exact"/>
        <w:rPr>
          <w:rFonts w:ascii="Arial" w:cs="Arial" w:eastAsia="Arial" w:hAnsi="Arial"/>
          <w:sz w:val="24"/>
          <w:szCs w:val="24"/>
          <w:color w:val="auto"/>
          <w:vertAlign w:val="superscript"/>
        </w:rPr>
      </w:pPr>
    </w:p>
    <w:p>
      <w:pPr>
        <w:spacing w:after="0" w:line="218" w:lineRule="exact"/>
        <w:rPr>
          <w:rFonts w:ascii="Arial" w:cs="Arial" w:eastAsia="Arial" w:hAnsi="Arial"/>
          <w:sz w:val="24"/>
          <w:szCs w:val="24"/>
          <w:color w:val="auto"/>
          <w:vertAlign w:val="superscript"/>
        </w:rPr>
      </w:pPr>
    </w:p>
    <w:p>
      <w:pPr>
        <w:ind w:left="4960" w:hanging="146"/>
        <w:spacing w:after="0"/>
        <w:tabs>
          <w:tab w:leader="none" w:pos="4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94" w:name="page95"/>
    <w:bookmarkEnd w:id="94"/>
    <w:p>
      <w:pPr>
        <w:ind w:right="420"/>
        <w:spacing w:after="0" w:line="277" w:lineRule="auto"/>
        <w:rPr>
          <w:sz w:val="20"/>
          <w:szCs w:val="20"/>
          <w:color w:val="auto"/>
        </w:rPr>
      </w:pPr>
      <w:r>
        <w:rPr>
          <w:rFonts w:ascii="Arial" w:cs="Arial" w:eastAsia="Arial" w:hAnsi="Arial"/>
          <w:sz w:val="18"/>
          <w:szCs w:val="18"/>
          <w:color w:val="auto"/>
        </w:rPr>
        <w:t>We consider that we have control over our partially-owned subsidiaries and joint venture interests (collectively “investee”) when these conditions exist:</w:t>
      </w:r>
    </w:p>
    <w:p>
      <w:pPr>
        <w:spacing w:after="0" w:line="170" w:lineRule="exact"/>
        <w:rPr>
          <w:sz w:val="20"/>
          <w:szCs w:val="20"/>
          <w:color w:val="auto"/>
        </w:rPr>
      </w:pPr>
    </w:p>
    <w:p>
      <w:pPr>
        <w:ind w:left="640" w:hanging="320"/>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own a majority of the voting rights or interests of the investee (typically above 50%), or</w:t>
      </w:r>
    </w:p>
    <w:p>
      <w:pPr>
        <w:spacing w:after="0" w:line="23" w:lineRule="exact"/>
        <w:rPr>
          <w:rFonts w:ascii="Arial" w:cs="Arial" w:eastAsia="Arial" w:hAnsi="Arial"/>
          <w:sz w:val="18"/>
          <w:szCs w:val="18"/>
          <w:color w:val="auto"/>
        </w:rPr>
      </w:pPr>
    </w:p>
    <w:p>
      <w:pPr>
        <w:ind w:left="640" w:right="340" w:hanging="320"/>
        <w:spacing w:after="0" w:line="323" w:lineRule="auto"/>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case when we own less than the majority voting rights or interests, we have the power over the investee when the voting rights or interests are sufficient to give it the practical ability to direct the relevant activities of the investee unilaterally.</w:t>
      </w:r>
    </w:p>
    <w:p>
      <w:pPr>
        <w:spacing w:after="0" w:line="1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considers all relevant facts and circumstances in assessing whether or not our voting rights in the investee are sufficient to give it power, including:</w:t>
      </w:r>
    </w:p>
    <w:p>
      <w:pPr>
        <w:spacing w:after="0" w:line="170" w:lineRule="exact"/>
        <w:rPr>
          <w:sz w:val="20"/>
          <w:szCs w:val="20"/>
          <w:color w:val="auto"/>
        </w:rPr>
      </w:pPr>
    </w:p>
    <w:p>
      <w:pPr>
        <w:ind w:left="640" w:hanging="320"/>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size of our voting rights and interests relative to the size and dispersion of holdings of other vote holders;</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potential voting rights and interests held by us;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rights and interests arising from other contractual arrangements; 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additional other relevant facts.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the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footnotes thereto. Hence, actual results may differ from those estimates. Significant estimates and assumptions include, but are not limited to:</w:t>
      </w:r>
    </w:p>
    <w:p>
      <w:pPr>
        <w:spacing w:after="0" w:line="181" w:lineRule="exact"/>
        <w:rPr>
          <w:sz w:val="20"/>
          <w:szCs w:val="20"/>
          <w:color w:val="auto"/>
        </w:rPr>
      </w:pPr>
    </w:p>
    <w:p>
      <w:pPr>
        <w:ind w:left="640" w:hanging="320"/>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projections we make regarding the recoverability and impairment of our assets (including goodwill and intangibles);</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valuations of our derivative instruments;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allocation of insurance proceeds to various recoverable components;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recoverability of our deferred tax; 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estimation of gift card and gift certificate breakage where we have concluded that the likelihood of redemption is remote.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640" w:hanging="320"/>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Cinema Exhibition Segment (all net of related taxes):</w:t>
      </w:r>
    </w:p>
    <w:p>
      <w:pPr>
        <w:spacing w:after="0" w:line="104" w:lineRule="exact"/>
        <w:rPr>
          <w:sz w:val="20"/>
          <w:szCs w:val="20"/>
          <w:color w:val="auto"/>
        </w:rPr>
      </w:pPr>
    </w:p>
    <w:p>
      <w:pPr>
        <w:ind w:left="640" w:right="160" w:hanging="320"/>
        <w:spacing w:after="0" w:line="207" w:lineRule="auto"/>
        <w:tabs>
          <w:tab w:leader="none" w:pos="640" w:val="left"/>
        </w:tabs>
        <w:numPr>
          <w:ilvl w:val="0"/>
          <w:numId w:val="75"/>
        </w:numPr>
        <w:rPr>
          <w:rFonts w:ascii="Arial" w:cs="Arial" w:eastAsia="Arial" w:hAnsi="Arial"/>
          <w:sz w:val="28"/>
          <w:szCs w:val="28"/>
          <w:color w:val="auto"/>
          <w:vertAlign w:val="superscript"/>
        </w:rPr>
      </w:pPr>
      <w:r>
        <w:rPr>
          <w:rFonts w:ascii="Arial" w:cs="Arial" w:eastAsia="Arial" w:hAnsi="Arial"/>
          <w:sz w:val="17"/>
          <w:szCs w:val="17"/>
          <w:i w:val="1"/>
          <w:iCs w:val="1"/>
          <w:u w:val="single" w:color="auto"/>
          <w:color w:val="auto"/>
        </w:rPr>
        <w:t>Sales of Cinema ticket (excluding bulk and advanced ticket sales) and food and beverage (“F&amp;B”) sales</w:t>
      </w:r>
      <w:r>
        <w:rPr>
          <w:rFonts w:ascii="Arial" w:cs="Arial" w:eastAsia="Arial" w:hAnsi="Arial"/>
          <w:sz w:val="17"/>
          <w:szCs w:val="17"/>
          <w:i w:val="1"/>
          <w:iCs w:val="1"/>
          <w:color w:val="auto"/>
        </w:rPr>
        <w:t xml:space="preserve"> </w:t>
      </w:r>
      <w:r>
        <w:rPr>
          <w:rFonts w:ascii="Arial" w:cs="Arial" w:eastAsia="Arial" w:hAnsi="Arial"/>
          <w:sz w:val="17"/>
          <w:szCs w:val="17"/>
          <w:color w:val="auto"/>
        </w:rPr>
        <w:t>– recognized when sold</w:t>
      </w:r>
      <w:r>
        <w:rPr>
          <w:rFonts w:ascii="Arial" w:cs="Arial" w:eastAsia="Arial" w:hAnsi="Arial"/>
          <w:sz w:val="17"/>
          <w:szCs w:val="17"/>
          <w:i w:val="1"/>
          <w:iCs w:val="1"/>
          <w:color w:val="auto"/>
        </w:rPr>
        <w:t xml:space="preserve"> </w:t>
      </w:r>
      <w:r>
        <w:rPr>
          <w:rFonts w:ascii="Arial" w:cs="Arial" w:eastAsia="Arial" w:hAnsi="Arial"/>
          <w:sz w:val="17"/>
          <w:szCs w:val="17"/>
          <w:color w:val="auto"/>
        </w:rPr>
        <w:t>and collected, either in cash or credit card at our theatre locations and through our online selling channels;</w:t>
      </w:r>
    </w:p>
    <w:p>
      <w:pPr>
        <w:spacing w:after="0" w:line="80" w:lineRule="exact"/>
        <w:rPr>
          <w:rFonts w:ascii="Arial" w:cs="Arial" w:eastAsia="Arial" w:hAnsi="Arial"/>
          <w:sz w:val="28"/>
          <w:szCs w:val="28"/>
          <w:color w:val="auto"/>
          <w:vertAlign w:val="superscript"/>
        </w:rPr>
      </w:pPr>
    </w:p>
    <w:p>
      <w:pPr>
        <w:ind w:left="640" w:right="160" w:hanging="320"/>
        <w:spacing w:after="0" w:line="198" w:lineRule="auto"/>
        <w:tabs>
          <w:tab w:leader="none" w:pos="64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Sales of Bulk and Advanced Cinema Ticket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 deferred and recognized as revenue when the promised performance or movie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ticket has been purchased for is shown;</w:t>
      </w:r>
    </w:p>
    <w:p>
      <w:pPr>
        <w:spacing w:after="0" w:line="80" w:lineRule="exact"/>
        <w:rPr>
          <w:rFonts w:ascii="Arial" w:cs="Arial" w:eastAsia="Arial" w:hAnsi="Arial"/>
          <w:sz w:val="29"/>
          <w:szCs w:val="29"/>
          <w:color w:val="auto"/>
          <w:vertAlign w:val="superscript"/>
        </w:rPr>
      </w:pPr>
    </w:p>
    <w:p>
      <w:pPr>
        <w:ind w:left="640" w:right="340" w:hanging="320"/>
        <w:spacing w:after="0" w:line="198" w:lineRule="auto"/>
        <w:tabs>
          <w:tab w:leader="none" w:pos="64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Gift Cards and Gift Certificate Sales</w:t>
      </w:r>
      <w:r>
        <w:rPr>
          <w:rFonts w:ascii="Arial" w:cs="Arial" w:eastAsia="Arial" w:hAnsi="Arial"/>
          <w:sz w:val="18"/>
          <w:szCs w:val="18"/>
          <w:i w:val="1"/>
          <w:iCs w:val="1"/>
          <w:color w:val="auto"/>
        </w:rPr>
        <w:t xml:space="preserve"> </w:t>
      </w:r>
      <w:r>
        <w:rPr>
          <w:rFonts w:ascii="Arial" w:cs="Arial" w:eastAsia="Arial" w:hAnsi="Arial"/>
          <w:sz w:val="18"/>
          <w:szCs w:val="18"/>
          <w:color w:val="auto"/>
        </w:rPr>
        <w:t>– deferred and recognized as revenue when redeemed, except for the breakage portion,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80" w:lineRule="exact"/>
        <w:rPr>
          <w:rFonts w:ascii="Arial" w:cs="Arial" w:eastAsia="Arial" w:hAnsi="Arial"/>
          <w:sz w:val="29"/>
          <w:szCs w:val="29"/>
          <w:color w:val="auto"/>
          <w:vertAlign w:val="superscript"/>
        </w:rPr>
      </w:pPr>
    </w:p>
    <w:p>
      <w:pPr>
        <w:ind w:left="640" w:right="80" w:hanging="320"/>
        <w:spacing w:after="0" w:line="220" w:lineRule="auto"/>
        <w:tabs>
          <w:tab w:leader="none" w:pos="64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Breakage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recognized for unredeemed cards and certificates using the proportional method, whereby breakage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proportion to the pattern of rights exercised by the customer when the Company expects that it is probable that a significant revenue reversal would not occur for any estimated breakage amounts. This is based on a breakage ‘experience rate’ which is determined by historical redemption data;</w:t>
      </w:r>
    </w:p>
    <w:p>
      <w:pPr>
        <w:spacing w:after="0" w:line="83" w:lineRule="exact"/>
        <w:rPr>
          <w:rFonts w:ascii="Arial" w:cs="Arial" w:eastAsia="Arial" w:hAnsi="Arial"/>
          <w:sz w:val="29"/>
          <w:szCs w:val="29"/>
          <w:color w:val="auto"/>
          <w:vertAlign w:val="superscript"/>
        </w:rPr>
      </w:pPr>
    </w:p>
    <w:p>
      <w:pPr>
        <w:jc w:val="both"/>
        <w:ind w:left="640" w:hanging="320"/>
        <w:spacing w:after="0" w:line="220" w:lineRule="auto"/>
        <w:tabs>
          <w:tab w:leader="none" w:pos="64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Loyalty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a component of revenue from members of our loyalty programs relating to the earning of loyalty rewards is</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until such a time as members redeem rewards, or until we believe the likelihood of redemption by the member is remote. Deferral is based on the progress made toward the next reward, the fair value of that reward, and the likelihood of redemption, determined by historical redemption data, and;</w:t>
      </w:r>
    </w:p>
    <w:p>
      <w:pPr>
        <w:spacing w:after="0" w:line="83" w:lineRule="exact"/>
        <w:rPr>
          <w:rFonts w:ascii="Arial" w:cs="Arial" w:eastAsia="Arial" w:hAnsi="Arial"/>
          <w:sz w:val="29"/>
          <w:szCs w:val="29"/>
          <w:color w:val="auto"/>
          <w:vertAlign w:val="superscript"/>
        </w:rPr>
      </w:pPr>
    </w:p>
    <w:p>
      <w:pPr>
        <w:ind w:left="640" w:right="240" w:hanging="320"/>
        <w:spacing w:after="0" w:line="198" w:lineRule="auto"/>
        <w:tabs>
          <w:tab w:leader="none" w:pos="64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Advertising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recognized based on contractual arrangements or relevant admissions information, as appropriate, when</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performance obligation is satisfied.</w:t>
      </w:r>
    </w:p>
    <w:p>
      <w:pPr>
        <w:spacing w:after="0" w:line="202" w:lineRule="exact"/>
        <w:rPr>
          <w:sz w:val="20"/>
          <w:szCs w:val="20"/>
          <w:color w:val="auto"/>
        </w:rPr>
      </w:pPr>
    </w:p>
    <w:p>
      <w:pPr>
        <w:ind w:left="640" w:hanging="320"/>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Real Estate Segment:</w:t>
      </w:r>
    </w:p>
    <w:p>
      <w:pPr>
        <w:spacing w:after="0" w:line="104" w:lineRule="exact"/>
        <w:rPr>
          <w:sz w:val="20"/>
          <w:szCs w:val="20"/>
          <w:color w:val="auto"/>
        </w:rPr>
      </w:pPr>
    </w:p>
    <w:p>
      <w:pPr>
        <w:jc w:val="both"/>
        <w:ind w:left="640" w:right="200" w:hanging="320"/>
        <w:spacing w:after="0" w:line="212" w:lineRule="auto"/>
        <w:tabs>
          <w:tab w:leader="none" w:pos="640" w:val="left"/>
        </w:tabs>
        <w:numPr>
          <w:ilvl w:val="0"/>
          <w:numId w:val="77"/>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Property Rentals</w:t>
      </w:r>
      <w:r>
        <w:rPr>
          <w:rFonts w:ascii="Arial" w:cs="Arial" w:eastAsia="Arial" w:hAnsi="Arial"/>
          <w:sz w:val="18"/>
          <w:szCs w:val="18"/>
          <w:i w:val="1"/>
          <w:iCs w:val="1"/>
          <w:color w:val="auto"/>
        </w:rPr>
        <w:t xml:space="preserve"> </w:t>
      </w:r>
      <w:r>
        <w:rPr>
          <w:rFonts w:ascii="Arial" w:cs="Arial" w:eastAsia="Arial" w:hAnsi="Arial"/>
          <w:sz w:val="18"/>
          <w:szCs w:val="18"/>
          <w:color w:val="auto"/>
        </w:rPr>
        <w:t>–we contractually retain substantially all of the risks and benefits of ownership of our real estate properties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account for our tenant leases as operating leases. Accordingly, rental revenue is recognized on a straight-line basis over the lease term; and,</w:t>
      </w:r>
    </w:p>
    <w:p>
      <w:pPr>
        <w:spacing w:after="0" w:line="82" w:lineRule="exact"/>
        <w:rPr>
          <w:rFonts w:ascii="Arial" w:cs="Arial" w:eastAsia="Arial" w:hAnsi="Arial"/>
          <w:sz w:val="29"/>
          <w:szCs w:val="29"/>
          <w:color w:val="auto"/>
          <w:vertAlign w:val="superscript"/>
        </w:rPr>
      </w:pPr>
    </w:p>
    <w:p>
      <w:pPr>
        <w:ind w:left="640" w:right="380" w:hanging="320"/>
        <w:spacing w:after="0" w:line="212" w:lineRule="auto"/>
        <w:tabs>
          <w:tab w:leader="none" w:pos="640" w:val="left"/>
        </w:tabs>
        <w:numPr>
          <w:ilvl w:val="0"/>
          <w:numId w:val="77"/>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Live Theatre License Fees</w:t>
      </w:r>
      <w:r>
        <w:rPr>
          <w:rFonts w:ascii="Arial" w:cs="Arial" w:eastAsia="Arial" w:hAnsi="Arial"/>
          <w:sz w:val="18"/>
          <w:szCs w:val="18"/>
          <w:i w:val="1"/>
          <w:iCs w:val="1"/>
          <w:color w:val="auto"/>
        </w:rPr>
        <w:t xml:space="preserve"> </w:t>
      </w:r>
      <w:r>
        <w:rPr>
          <w:rFonts w:ascii="Arial" w:cs="Arial" w:eastAsia="Arial" w:hAnsi="Arial"/>
          <w:sz w:val="18"/>
          <w:szCs w:val="18"/>
          <w:color w:val="auto"/>
        </w:rPr>
        <w:t>– we have real property interest in and license theatre space to third parties for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theatrical productions. Revenue is recognized in accordance with the license agreement, and is typically recorded on a weekly basis after the performance of a show has occurred.</w:t>
      </w:r>
    </w:p>
    <w:p>
      <w:pPr>
        <w:spacing w:after="0" w:line="200" w:lineRule="exact"/>
        <w:rPr>
          <w:rFonts w:ascii="Arial" w:cs="Arial" w:eastAsia="Arial" w:hAnsi="Arial"/>
          <w:sz w:val="29"/>
          <w:szCs w:val="29"/>
          <w:color w:val="auto"/>
          <w:vertAlign w:val="superscript"/>
        </w:rPr>
      </w:pPr>
    </w:p>
    <w:p>
      <w:pPr>
        <w:spacing w:after="0" w:line="220" w:lineRule="exact"/>
        <w:rPr>
          <w:rFonts w:ascii="Arial" w:cs="Arial" w:eastAsia="Arial" w:hAnsi="Arial"/>
          <w:sz w:val="29"/>
          <w:szCs w:val="29"/>
          <w:color w:val="auto"/>
          <w:vertAlign w:val="superscript"/>
        </w:rPr>
      </w:pPr>
    </w:p>
    <w:p>
      <w:pPr>
        <w:ind w:left="4960" w:hanging="146"/>
        <w:spacing w:after="0"/>
        <w:tabs>
          <w:tab w:leader="none" w:pos="4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41" w:right="8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consider all highly liquid investments with original maturities of three months or less at the time of purchase as cash equivalents for which cost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receivables balance is composed primarily of credit card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sales tax refund receivable from our Australian taxing authorities and the management fee receivable from the managed cinemas and property damage insurance recovery proceeds. We have no history of significant bad debt losses and we have established an allowance for accounts that we deem uncollectible.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Inventory is composed of food and beverage items in our theater operations and is stated at the lower of cost (first-in, first-out method) or net realizable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Restricted Cash</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Restricted cash includes those cash accounts for which the use of funds is restricted by any contract or bank covenant. At December 31, 2018 and 2017, our restricted cash balance, included as part of prepaid and other current assets, was $1.3 million and $17,000,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 Financial Instruments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From time-to-time, we purchase interest rate derivative instruments to hedge the interest rate risk that results from the variability of our floating-rate borrowings. Our use of derivative transactions is intended to reduce long-term fluctuations in cash flows caused by market movements. Derivative instruments are recorded on the balance sheet at fair value with changes in fair value through interest expense in the Consolidated Statement of Operations or, in the case of accounting hedges, in Other Comprehensive Income and then reclassified into interest expense in the same period(s) during which the hedged transactions affect earnings. The cash flows from interest rate derivatives are classified as cashflows provided by operating activities in the Consolidated Cashflow Statement, as are the hedged transactions. As of December 31, 2018 and 2017 we have unfavorable derivative positions designated as accounting hedges of $186,000 and $nil,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Properties, net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Operating Properties consist of land, buildings and improvements, leasehold improvements, fixtures and equipment, which we use to derive operating income associated with our two 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it improves or extends the lives of the respective assets and/or provides long-term future net cash inflows, including the potential for cost savings.</w:t>
      </w:r>
    </w:p>
    <w:p>
      <w:pPr>
        <w:spacing w:after="0" w:line="1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Depreciation and amortization are provided using the straight-line method over the estimated useful lives of the assets. The estimated useful lives are generally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Building and improvements</w:t>
            </w:r>
          </w:p>
        </w:tc>
        <w:tc>
          <w:tcPr>
            <w:tcW w:w="7440" w:type="dxa"/>
            <w:vAlign w:val="bottom"/>
            <w:shd w:val="clear" w:color="auto" w:fill="CCEEFF"/>
          </w:tcPr>
          <w:p>
            <w:pPr>
              <w:ind w:left="940"/>
              <w:spacing w:after="0"/>
              <w:rPr>
                <w:sz w:val="20"/>
                <w:szCs w:val="20"/>
                <w:color w:val="auto"/>
              </w:rPr>
            </w:pPr>
            <w:r>
              <w:rPr>
                <w:rFonts w:ascii="Arial" w:cs="Arial" w:eastAsia="Arial" w:hAnsi="Arial"/>
                <w:sz w:val="14"/>
                <w:szCs w:val="14"/>
                <w:color w:val="auto"/>
              </w:rPr>
              <w:t>15 – 60 years</w:t>
            </w:r>
          </w:p>
        </w:tc>
      </w:tr>
      <w:tr>
        <w:trPr>
          <w:trHeight w:val="149"/>
        </w:trPr>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Leasehold improvements</w:t>
            </w:r>
          </w:p>
        </w:tc>
        <w:tc>
          <w:tcPr>
            <w:tcW w:w="7440" w:type="dxa"/>
            <w:vAlign w:val="bottom"/>
          </w:tcPr>
          <w:p>
            <w:pPr>
              <w:ind w:left="940"/>
              <w:spacing w:after="0" w:line="149" w:lineRule="exact"/>
              <w:rPr>
                <w:sz w:val="20"/>
                <w:szCs w:val="20"/>
                <w:color w:val="auto"/>
              </w:rPr>
            </w:pPr>
            <w:r>
              <w:rPr>
                <w:rFonts w:ascii="Arial" w:cs="Arial" w:eastAsia="Arial" w:hAnsi="Arial"/>
                <w:sz w:val="14"/>
                <w:szCs w:val="14"/>
                <w:color w:val="auto"/>
              </w:rPr>
              <w:t>Shorter of the lease term or useful life of the improvement</w:t>
            </w:r>
          </w:p>
        </w:tc>
      </w:tr>
      <w:tr>
        <w:trPr>
          <w:trHeight w:val="149"/>
        </w:trPr>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Theater equipment</w:t>
            </w:r>
          </w:p>
        </w:tc>
        <w:tc>
          <w:tcPr>
            <w:tcW w:w="744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rPr>
              <w:t>7 years</w:t>
            </w:r>
          </w:p>
        </w:tc>
      </w:tr>
      <w:tr>
        <w:trPr>
          <w:trHeight w:val="182"/>
        </w:trPr>
        <w:tc>
          <w:tcPr>
            <w:tcW w:w="2680" w:type="dxa"/>
            <w:vAlign w:val="bottom"/>
          </w:tcPr>
          <w:p>
            <w:pPr>
              <w:ind w:left="120"/>
              <w:spacing w:after="0"/>
              <w:rPr>
                <w:sz w:val="20"/>
                <w:szCs w:val="20"/>
                <w:color w:val="auto"/>
              </w:rPr>
            </w:pPr>
            <w:r>
              <w:rPr>
                <w:rFonts w:ascii="Arial" w:cs="Arial" w:eastAsia="Arial" w:hAnsi="Arial"/>
                <w:sz w:val="14"/>
                <w:szCs w:val="14"/>
                <w:color w:val="auto"/>
              </w:rPr>
              <w:t>Furniture and fixtures</w:t>
            </w:r>
          </w:p>
        </w:tc>
        <w:tc>
          <w:tcPr>
            <w:tcW w:w="7440" w:type="dxa"/>
            <w:vAlign w:val="bottom"/>
          </w:tcPr>
          <w:p>
            <w:pPr>
              <w:ind w:left="940"/>
              <w:spacing w:after="0"/>
              <w:rPr>
                <w:sz w:val="20"/>
                <w:szCs w:val="20"/>
                <w:color w:val="auto"/>
              </w:rPr>
            </w:pPr>
            <w:r>
              <w:rPr>
                <w:rFonts w:ascii="Arial" w:cs="Arial" w:eastAsia="Arial" w:hAnsi="Arial"/>
                <w:sz w:val="14"/>
                <w:szCs w:val="14"/>
                <w:color w:val="auto"/>
              </w:rPr>
              <w:t>3 – 10 years</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and Development Properties, net</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Investment and Development Properties consist of land,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this category are building and improvement costs directly associated with the development of potential cinemas (whether for sale or lease), the development of entertainment-themed centers (“ETCs”), or other improvements to real property.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96" w:name="page97"/>
    <w:bookmarkEnd w:id="96"/>
    <w:p>
      <w:pPr>
        <w:ind w:right="420"/>
        <w:spacing w:after="0" w:line="277" w:lineRule="auto"/>
        <w:rPr>
          <w:sz w:val="20"/>
          <w:szCs w:val="20"/>
          <w:color w:val="auto"/>
        </w:rPr>
      </w:pPr>
      <w:r>
        <w:rPr>
          <w:rFonts w:ascii="Arial" w:cs="Arial" w:eastAsia="Arial" w:hAnsi="Arial"/>
          <w:sz w:val="18"/>
          <w:szCs w:val="18"/>
          <w:color w:val="auto"/>
        </w:rPr>
        <w:t>curtailed. However, we do not suspend cost capitalization for brief interruptions and interruptions that are externally imposed, such as mandates from governmental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Long-Lived Assets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review internal management reports on a monthly basis as well as monitor current and potential future competition in film markets for indications of potential impairment.</w:t>
      </w:r>
    </w:p>
    <w:p>
      <w:pPr>
        <w:spacing w:after="0" w:line="170" w:lineRule="exact"/>
        <w:rPr>
          <w:sz w:val="20"/>
          <w:szCs w:val="20"/>
          <w:color w:val="auto"/>
        </w:rPr>
      </w:pPr>
    </w:p>
    <w:p>
      <w:pPr>
        <w:ind w:left="640" w:right="20" w:hanging="320"/>
        <w:spacing w:after="0" w:line="272" w:lineRule="auto"/>
        <w:tabs>
          <w:tab w:leader="none" w:pos="640" w:val="left"/>
        </w:tabs>
        <w:numPr>
          <w:ilvl w:val="0"/>
          <w:numId w:val="7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Impairment of Long-lived Assets (other than Goodwill and Intangible Assets with indefinite lives) – </w:t>
      </w:r>
      <w:r>
        <w:rPr>
          <w:rFonts w:ascii="Arial" w:cs="Arial" w:eastAsia="Arial" w:hAnsi="Arial"/>
          <w:sz w:val="17"/>
          <w:szCs w:val="17"/>
          <w:color w:val="auto"/>
        </w:rPr>
        <w:t>we evaluate our long-lived</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177" w:lineRule="exact"/>
        <w:rPr>
          <w:rFonts w:ascii="Arial" w:cs="Arial" w:eastAsia="Arial" w:hAnsi="Arial"/>
          <w:sz w:val="17"/>
          <w:szCs w:val="17"/>
          <w:i w:val="1"/>
          <w:iCs w:val="1"/>
          <w:color w:val="auto"/>
        </w:rPr>
      </w:pPr>
    </w:p>
    <w:p>
      <w:pPr>
        <w:ind w:left="640" w:right="20"/>
        <w:spacing w:after="0" w:line="276" w:lineRule="auto"/>
        <w:rPr>
          <w:rFonts w:ascii="Arial" w:cs="Arial" w:eastAsia="Arial" w:hAnsi="Arial"/>
          <w:sz w:val="17"/>
          <w:szCs w:val="17"/>
          <w:i w:val="1"/>
          <w:iCs w:val="1"/>
          <w:color w:val="auto"/>
        </w:rPr>
      </w:pPr>
      <w:r>
        <w:rPr>
          <w:rFonts w:ascii="Arial" w:cs="Arial" w:eastAsia="Arial" w:hAnsi="Arial"/>
          <w:sz w:val="17"/>
          <w:szCs w:val="17"/>
          <w:color w:val="auto"/>
        </w:rPr>
        <w:t xml:space="preserve">No impairment losses were recorded for long-lived and finite-lived intangible assets for the three years ended December 31, 2018, based on historical information and projected cash flow. We recorded a write-down of the carrying amount of our parking structure adjacent to our Courtenay Central ETC in Wellington, New Zealand due to earthquake damage during the Fourth Quarter of 2016, which was subsequently fully recovered through the final insurance settlement in May 2017. Refer to </w:t>
      </w:r>
      <w:r>
        <w:rPr>
          <w:rFonts w:ascii="Arial" w:cs="Arial" w:eastAsia="Arial" w:hAnsi="Arial"/>
          <w:sz w:val="17"/>
          <w:szCs w:val="17"/>
          <w:i w:val="1"/>
          <w:iCs w:val="1"/>
          <w:color w:val="auto"/>
        </w:rPr>
        <w:t>Note 20 – Insurance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Recoveries on Impairment and Related Losses due to Earthquake </w:t>
      </w:r>
      <w:r>
        <w:rPr>
          <w:rFonts w:ascii="Arial" w:cs="Arial" w:eastAsia="Arial" w:hAnsi="Arial"/>
          <w:sz w:val="17"/>
          <w:szCs w:val="17"/>
          <w:color w:val="auto"/>
        </w:rPr>
        <w:t>for further details.</w:t>
      </w:r>
    </w:p>
    <w:p>
      <w:pPr>
        <w:spacing w:after="0" w:line="172" w:lineRule="exact"/>
        <w:rPr>
          <w:rFonts w:ascii="Arial" w:cs="Arial" w:eastAsia="Arial" w:hAnsi="Arial"/>
          <w:sz w:val="17"/>
          <w:szCs w:val="17"/>
          <w:i w:val="1"/>
          <w:iCs w:val="1"/>
          <w:color w:val="auto"/>
        </w:rPr>
      </w:pPr>
    </w:p>
    <w:p>
      <w:pPr>
        <w:ind w:left="640" w:right="20" w:hanging="320"/>
        <w:spacing w:after="0" w:line="255" w:lineRule="auto"/>
        <w:tabs>
          <w:tab w:leader="none" w:pos="64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Impairment of Goodwill and Intangible Assets with indefinite lives – </w:t>
      </w:r>
      <w:r>
        <w:rPr>
          <w:rFonts w:ascii="Arial" w:cs="Arial" w:eastAsia="Arial" w:hAnsi="Arial"/>
          <w:sz w:val="18"/>
          <w:szCs w:val="18"/>
          <w:color w:val="auto"/>
        </w:rPr>
        <w:t>goodwill and intangible assets with indefinite useful lives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amortized, but instead, tested for impairment at least annually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93"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color w:val="auto"/>
        </w:rPr>
        <w:t>No impairment losses were recorded for goodwill and indefinite-lived intangible assets for the three years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Variable Interest Entity</w:t>
      </w:r>
    </w:p>
    <w:p>
      <w:pPr>
        <w:spacing w:after="0" w:line="21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Reading International Trust I is a VIE. It is not consolidated in our financial statements because we are not the primary beneficiary. We carry our investment in the Reading International Trust I, recorded under “</w:t>
      </w:r>
      <w:r>
        <w:rPr>
          <w:rFonts w:ascii="Arial" w:cs="Arial" w:eastAsia="Arial" w:hAnsi="Arial"/>
          <w:sz w:val="18"/>
          <w:szCs w:val="18"/>
          <w:i w:val="1"/>
          <w:iCs w:val="1"/>
          <w:color w:val="auto"/>
        </w:rPr>
        <w:t>Other Assets”</w:t>
      </w:r>
      <w:r>
        <w:rPr>
          <w:rFonts w:ascii="Arial" w:cs="Arial" w:eastAsia="Arial" w:hAnsi="Arial"/>
          <w:sz w:val="18"/>
          <w:szCs w:val="18"/>
          <w:color w:val="auto"/>
        </w:rPr>
        <w:t>,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Held for Sale</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As of December 31, 2016, we classified our landholding in Burwood, Australia as land held for sale as a result of a sale transaction on May 12, 2014, this transaction closed during December 2017. Refer to </w:t>
      </w:r>
      <w:r>
        <w:rPr>
          <w:rFonts w:ascii="Arial" w:cs="Arial" w:eastAsia="Arial" w:hAnsi="Arial"/>
          <w:sz w:val="18"/>
          <w:szCs w:val="18"/>
          <w:i w:val="1"/>
          <w:iCs w:val="1"/>
          <w:color w:val="auto"/>
        </w:rPr>
        <w:t>Note 4 – Real Estate Transactions</w:t>
      </w:r>
      <w:r>
        <w:rPr>
          <w:rFonts w:ascii="Arial" w:cs="Arial" w:eastAsia="Arial" w:hAnsi="Arial"/>
          <w:sz w:val="18"/>
          <w:szCs w:val="18"/>
          <w:color w:val="auto"/>
        </w:rPr>
        <w:t xml:space="preserve"> for details.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41" w:right="89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u w:val="single" w:color="auto"/>
          <w:color w:val="auto"/>
        </w:rPr>
        <w:t>Deferred Leasing/Financing Costs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Direct costs incurred in connection with obtaining tenants and or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 Net deferred financing costs are presented as a reduction in the associated debt account (see </w:t>
      </w:r>
      <w:r>
        <w:rPr>
          <w:rFonts w:ascii="Arial" w:cs="Arial" w:eastAsia="Arial" w:hAnsi="Arial"/>
          <w:sz w:val="18"/>
          <w:szCs w:val="18"/>
          <w:i w:val="1"/>
          <w:iCs w:val="1"/>
          <w:color w:val="auto"/>
        </w:rPr>
        <w:t>Note 10 – Borrowings</w:t>
      </w:r>
      <w:r>
        <w:rPr>
          <w:rFonts w:ascii="Arial" w:cs="Arial" w:eastAsia="Arial" w:hAnsi="Arial"/>
          <w:sz w:val="18"/>
          <w:szCs w:val="18"/>
          <w:color w:val="auto"/>
        </w:rPr>
        <w:t xml:space="preserve">) in line with our adoption of </w:t>
      </w:r>
      <w:r>
        <w:rPr>
          <w:rFonts w:ascii="Arial" w:cs="Arial" w:eastAsia="Arial" w:hAnsi="Arial"/>
          <w:sz w:val="18"/>
          <w:szCs w:val="18"/>
          <w:i w:val="1"/>
          <w:iCs w:val="1"/>
          <w:color w:val="auto"/>
        </w:rPr>
        <w:t>ASU 2015-03,</w:t>
      </w:r>
      <w:r>
        <w:rPr>
          <w:rFonts w:ascii="Arial" w:cs="Arial" w:eastAsia="Arial" w:hAnsi="Arial"/>
          <w:sz w:val="18"/>
          <w:szCs w:val="18"/>
          <w:color w:val="auto"/>
        </w:rPr>
        <w:t xml:space="preserve"> which became effective since January 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Film Rental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Film rental costs are accrued based on the applicable box office receipts and estimates of the final settlement to the film licensors.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Advertising Expense</w:t>
      </w:r>
    </w:p>
    <w:p>
      <w:pPr>
        <w:spacing w:after="0" w:line="225" w:lineRule="exact"/>
        <w:rPr>
          <w:sz w:val="20"/>
          <w:szCs w:val="20"/>
          <w:color w:val="auto"/>
        </w:rPr>
      </w:pPr>
    </w:p>
    <w:p>
      <w:pPr>
        <w:ind w:left="40" w:right="400" w:hanging="44"/>
        <w:spacing w:after="0" w:line="277" w:lineRule="auto"/>
        <w:rPr>
          <w:sz w:val="20"/>
          <w:szCs w:val="20"/>
          <w:color w:val="auto"/>
        </w:rPr>
      </w:pPr>
      <w:r>
        <w:rPr>
          <w:rFonts w:ascii="Arial" w:cs="Arial" w:eastAsia="Arial" w:hAnsi="Arial"/>
          <w:sz w:val="18"/>
          <w:szCs w:val="18"/>
          <w:color w:val="auto"/>
        </w:rPr>
        <w:t>We expense our advertising as incurred. The amount of our advertising expense was $2.4 million, $2.3 million, and $2.3 million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 majority of our cinema operations are conducted in premises under non-cancellable lease arrangements with initial base terms generally ranging between 5 to 15 years, with certain leases containing renewal options to extend the lease term to an additional term of up to 20 years. We evaluated the classification of our leases and concluded all of these arrangements as operating leases. Lease expense is recorded on a straight-line basis over the initial base terms, taking into effect any rate change clauses. Any subsequent increases or decreases in rental payments that result from factors not anticipated during lease inception or factors that are based on meeting future targets, other than indexation factors, represent contingent rentals and are fully accruable at the period the trigger event occurs.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to our vesting term). Previously recognized compensation cost shall be reversed for any forfeited award to the extent unvested at the time of forfeiture. Refer to </w:t>
      </w:r>
      <w:r>
        <w:rPr>
          <w:rFonts w:ascii="Arial" w:cs="Arial" w:eastAsia="Arial" w:hAnsi="Arial"/>
          <w:sz w:val="16"/>
          <w:szCs w:val="16"/>
          <w:i w:val="1"/>
          <w:iCs w:val="1"/>
          <w:color w:val="auto"/>
        </w:rPr>
        <w:t>Note 14 – Share-based Compensation and Repurchase Plans</w:t>
      </w:r>
      <w:r>
        <w:rPr>
          <w:rFonts w:ascii="Arial" w:cs="Arial" w:eastAsia="Arial" w:hAnsi="Arial"/>
          <w:sz w:val="16"/>
          <w:szCs w:val="16"/>
          <w:color w:val="auto"/>
        </w:rPr>
        <w:t xml:space="preserve"> for further details.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Treasury Shares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recent years, we repurchased our own Class A common shares as part of a publicly announced stock repurchase plan with no current intent for retiring those reacquired shares. We account for these repurchases using the cost method and present these as a separate line within the Stockholders’ Equity section in our consolidated balance sheets. Refer to </w:t>
      </w:r>
      <w:r>
        <w:rPr>
          <w:rFonts w:ascii="Arial" w:cs="Arial" w:eastAsia="Arial" w:hAnsi="Arial"/>
          <w:sz w:val="18"/>
          <w:szCs w:val="18"/>
          <w:i w:val="1"/>
          <w:iCs w:val="1"/>
          <w:color w:val="auto"/>
        </w:rPr>
        <w:t>Note 14 – Share-based Compensation and Repurchase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for further details of our stock buyback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Insurance Recoveries and Other Contingency Matters</w:t>
      </w:r>
    </w:p>
    <w:p>
      <w:pPr>
        <w:spacing w:after="0" w:line="225" w:lineRule="exact"/>
        <w:rPr>
          <w:sz w:val="20"/>
          <w:szCs w:val="20"/>
          <w:color w:val="auto"/>
        </w:rPr>
      </w:pPr>
    </w:p>
    <w:p>
      <w:pPr>
        <w:ind w:left="640" w:right="180" w:hanging="320"/>
        <w:spacing w:after="0" w:line="277" w:lineRule="auto"/>
        <w:tabs>
          <w:tab w:leader="none" w:pos="64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 we record any loss contingencies if there is a “probable” likelihood that the liability had been incurred,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the loss can be reasonably estimated.</w:t>
      </w:r>
    </w:p>
    <w:p>
      <w:pPr>
        <w:spacing w:after="0" w:line="170" w:lineRule="exact"/>
        <w:rPr>
          <w:rFonts w:ascii="Arial" w:cs="Arial" w:eastAsia="Arial" w:hAnsi="Arial"/>
          <w:sz w:val="18"/>
          <w:szCs w:val="18"/>
          <w:i w:val="1"/>
          <w:iCs w:val="1"/>
          <w:color w:val="auto"/>
        </w:rPr>
      </w:pPr>
    </w:p>
    <w:p>
      <w:pPr>
        <w:ind w:left="640" w:hanging="320"/>
        <w:spacing w:after="0"/>
        <w:tabs>
          <w:tab w:leader="none" w:pos="64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Gain contingencies:</w:t>
      </w:r>
    </w:p>
    <w:p>
      <w:pPr>
        <w:spacing w:after="0" w:line="104" w:lineRule="exact"/>
        <w:rPr>
          <w:sz w:val="20"/>
          <w:szCs w:val="20"/>
          <w:color w:val="auto"/>
        </w:rPr>
      </w:pPr>
    </w:p>
    <w:p>
      <w:pPr>
        <w:ind w:left="640" w:hanging="320"/>
        <w:spacing w:after="0" w:line="226" w:lineRule="auto"/>
        <w:tabs>
          <w:tab w:leader="none" w:pos="640"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u w:val="single" w:color="auto"/>
          <w:color w:val="auto"/>
        </w:rPr>
        <w:t>Insurance recoveries</w:t>
      </w:r>
      <w:r>
        <w:rPr>
          <w:rFonts w:ascii="Arial" w:cs="Arial" w:eastAsia="Arial" w:hAnsi="Arial"/>
          <w:sz w:val="18"/>
          <w:szCs w:val="18"/>
          <w:color w:val="auto"/>
        </w:rPr>
        <w:t xml:space="preserve"> – in the event we incur a loss attributable to an impairment of an asset or incurrence of 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w:t>
      </w:r>
    </w:p>
    <w:p>
      <w:pPr>
        <w:spacing w:after="0" w:line="81" w:lineRule="exact"/>
        <w:rPr>
          <w:rFonts w:ascii="Arial" w:cs="Arial" w:eastAsia="Arial" w:hAnsi="Arial"/>
          <w:sz w:val="29"/>
          <w:szCs w:val="29"/>
          <w:color w:val="auto"/>
          <w:vertAlign w:val="superscript"/>
        </w:rPr>
      </w:pPr>
    </w:p>
    <w:p>
      <w:pPr>
        <w:ind w:left="640" w:right="160" w:hanging="320"/>
        <w:spacing w:after="0" w:line="198" w:lineRule="auto"/>
        <w:tabs>
          <w:tab w:leader="none" w:pos="640"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u w:val="single" w:color="auto"/>
          <w:color w:val="auto"/>
        </w:rPr>
        <w:t>Others</w:t>
      </w:r>
      <w:r>
        <w:rPr>
          <w:rFonts w:ascii="Arial" w:cs="Arial" w:eastAsia="Arial" w:hAnsi="Arial"/>
          <w:sz w:val="18"/>
          <w:szCs w:val="18"/>
          <w:color w:val="auto"/>
        </w:rPr>
        <w:t xml:space="preserve"> – other gain contingencies typically result from legal settlements and we record those settlements in income when cash or other forms of payments are received.</w:t>
      </w:r>
    </w:p>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Legal costs relating to our litigation matters, whether we are the plaintiff or the defendant, are recorded when incurred. For the years ended December 31, 2018, 2017, and 2016, we recorded gains/(losses) relating to litigation settlement of $nil, $1.8 million, and $415,000,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41" w:right="9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u w:val="single" w:color="auto"/>
          <w:color w:val="auto"/>
        </w:rPr>
        <w:t>Translation Policy</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financial statements and transactions of our Australian and New Zealand cinema and real estate operations are recorded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2018:</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As of and</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As of and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As of and</w:t>
            </w:r>
          </w:p>
        </w:tc>
      </w:tr>
      <w:tr>
        <w:trPr>
          <w:trHeight w:val="149"/>
        </w:trPr>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the year ended</w:t>
            </w:r>
          </w:p>
        </w:tc>
      </w:tr>
      <w:tr>
        <w:trPr>
          <w:trHeight w:val="178"/>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2018</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2016</w:t>
            </w:r>
          </w:p>
        </w:tc>
      </w:tr>
      <w:tr>
        <w:trPr>
          <w:trHeight w:val="196"/>
        </w:trPr>
        <w:tc>
          <w:tcPr>
            <w:tcW w:w="76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88"/>
              </w:rPr>
              <w:t>Spot Rate</w:t>
            </w:r>
          </w:p>
        </w:tc>
        <w:tc>
          <w:tcPr>
            <w:tcW w:w="41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6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16"/>
        </w:trPr>
        <w:tc>
          <w:tcPr>
            <w:tcW w:w="4940" w:type="dxa"/>
            <w:vAlign w:val="bottom"/>
            <w:gridSpan w:val="3"/>
          </w:tcPr>
          <w:p>
            <w:pPr>
              <w:ind w:left="220"/>
              <w:spacing w:after="0"/>
              <w:rPr>
                <w:sz w:val="20"/>
                <w:szCs w:val="20"/>
                <w:color w:val="auto"/>
              </w:rPr>
            </w:pPr>
            <w:r>
              <w:rPr>
                <w:rFonts w:ascii="Arial" w:cs="Arial" w:eastAsia="Arial" w:hAnsi="Arial"/>
                <w:sz w:val="18"/>
                <w:szCs w:val="18"/>
                <w:color w:val="auto"/>
              </w:rPr>
              <w:t>Australian Dollar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0.7046</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0.7815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0.7230</w:t>
            </w:r>
          </w:p>
        </w:tc>
      </w:tr>
      <w:tr>
        <w:trPr>
          <w:trHeight w:val="216"/>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Zealand Dollar</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0.6711</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0.7100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0.6958</w:t>
            </w:r>
          </w:p>
        </w:tc>
      </w:tr>
      <w:tr>
        <w:trPr>
          <w:trHeight w:val="176"/>
        </w:trPr>
        <w:tc>
          <w:tcPr>
            <w:tcW w:w="4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Average Rate</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Australian Dollar</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0.7479</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0.7670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0.7440</w:t>
            </w:r>
          </w:p>
        </w:tc>
      </w:tr>
      <w:tr>
        <w:trPr>
          <w:trHeight w:val="230"/>
        </w:trPr>
        <w:tc>
          <w:tcPr>
            <w:tcW w:w="4940" w:type="dxa"/>
            <w:vAlign w:val="bottom"/>
            <w:gridSpan w:val="3"/>
          </w:tcPr>
          <w:p>
            <w:pPr>
              <w:ind w:left="220"/>
              <w:spacing w:after="0"/>
              <w:rPr>
                <w:sz w:val="20"/>
                <w:szCs w:val="20"/>
                <w:color w:val="auto"/>
              </w:rPr>
            </w:pPr>
            <w:r>
              <w:rPr>
                <w:rFonts w:ascii="Arial" w:cs="Arial" w:eastAsia="Arial" w:hAnsi="Arial"/>
                <w:sz w:val="18"/>
                <w:szCs w:val="18"/>
                <w:color w:val="auto"/>
              </w:rPr>
              <w:t>New Zealand Dollar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0.6930</w:t>
            </w:r>
          </w:p>
        </w:tc>
        <w:tc>
          <w:tcPr>
            <w:tcW w:w="14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0.7111</w:t>
            </w:r>
          </w:p>
        </w:tc>
        <w:tc>
          <w:tcPr>
            <w:tcW w:w="1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0.6973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and are 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 liabilities. The effect of a change in tax rates or law on deferred tax assets and liabilities is recognized in income in the period that includes the enactment date.</w:t>
      </w:r>
    </w:p>
    <w:p>
      <w:pPr>
        <w:spacing w:after="0" w:line="17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recognize deferred tax assets to the extent that we believe that these assets are more likely than not to be realized.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w:t>
      </w:r>
    </w:p>
    <w:p>
      <w:pPr>
        <w:spacing w:after="0" w:line="18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recognize tax liabilities for uncertain tax positions and adjust these liabilities when our judgment changes as a result of the evaluation of new information not previously available. We record interest and penalties related to income tax matters as part of income tax expense and in income tax related balance sheet accounts.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it is determined a change in recognition or measurement is appropriate.</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Tax Act creates a new requirement for U.S. corporations to include in U.S. taxable income certain earnings of their foreign subsidiaries, effective beginning tax year 2018. The Global Intangible Low Taxed Income (“GILTI”) framework introduces a new tax on foreign earnings of U.S. based consolidated groups. We record taxes related to GILTI as a current-period expense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presents both basic and diluted earnings per share amounts. Basic EPS is calculated by dividing net income attributable to the Company by the weighted average number of common shares outstanding during the year. Diluted EPS is based upon the weighted average number of common and common equivalent shares outstanding during the year, which is calculated using the treasury-stock method for equity-based awards. Common equivalent shares are excluded from the computation of diluted EPS in periods for which they have an anti-dilutive effect. Stock options for which the exercise price exceeds the average market price over the period are anti-dilutive and, accordingly, are excluded from the calculation.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u w:val="single" w:color="auto"/>
          <w:color w:val="auto"/>
        </w:rPr>
        <w:t>Business Acquisition Valuation and Purchase Price Allocation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recent years, our business acquisition efforts have been focused on our real estate segment. For real estate acquisitions meeting the definition of a “business”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assets acquired and the liabilities assumed are recorded at their fair values as of the acquisition date. To accomplish this, we typically obtain third 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described as follows:</w:t>
      </w:r>
    </w:p>
    <w:p>
      <w:pPr>
        <w:spacing w:after="0" w:line="178" w:lineRule="exact"/>
        <w:rPr>
          <w:sz w:val="20"/>
          <w:szCs w:val="20"/>
          <w:color w:val="auto"/>
        </w:rPr>
      </w:pPr>
    </w:p>
    <w:p>
      <w:pPr>
        <w:ind w:left="640" w:hanging="320"/>
        <w:spacing w:after="0" w:line="255" w:lineRule="auto"/>
        <w:tabs>
          <w:tab w:leader="none" w:pos="64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Tangible assets – </w:t>
      </w:r>
      <w:r>
        <w:rPr>
          <w:rFonts w:ascii="Arial" w:cs="Arial" w:eastAsia="Arial" w:hAnsi="Arial"/>
          <w:sz w:val="18"/>
          <w:szCs w:val="18"/>
          <w:color w:val="auto"/>
        </w:rPr>
        <w:t>we allocate the purchase price to the tangible assets of an acquired property (which typically includes land,</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 and site/tenant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site/tenant improvements are based on present values determined based upon the application of hypothetical leases with market rates and terms. Building and site improvements are depreciated over their remaining economic lives, while tenant improvements are depreciated over the remaining non-cancelable terms of the respective leases.</w:t>
      </w:r>
    </w:p>
    <w:p>
      <w:pPr>
        <w:spacing w:after="0" w:line="189" w:lineRule="exact"/>
        <w:rPr>
          <w:rFonts w:ascii="Arial" w:cs="Arial" w:eastAsia="Arial" w:hAnsi="Arial"/>
          <w:sz w:val="18"/>
          <w:szCs w:val="18"/>
          <w:i w:val="1"/>
          <w:iCs w:val="1"/>
          <w:color w:val="auto"/>
        </w:rPr>
      </w:pPr>
    </w:p>
    <w:p>
      <w:pPr>
        <w:ind w:left="640" w:right="60" w:hanging="320"/>
        <w:spacing w:after="0" w:line="277" w:lineRule="auto"/>
        <w:tabs>
          <w:tab w:leader="none" w:pos="640" w:val="left"/>
        </w:tabs>
        <w:numPr>
          <w:ilvl w:val="0"/>
          <w:numId w:val="81"/>
        </w:numPr>
        <w:rPr>
          <w:rFonts w:ascii="Arial" w:cs="Arial" w:eastAsia="Arial" w:hAnsi="Arial"/>
          <w:sz w:val="18"/>
          <w:szCs w:val="18"/>
          <w:i w:val="1"/>
          <w:iCs w:val="1"/>
          <w:color w:val="auto"/>
        </w:rPr>
      </w:pPr>
      <w:r>
        <w:rPr>
          <w:rFonts w:ascii="Arial" w:cs="Arial" w:eastAsia="Arial" w:hAnsi="Arial"/>
          <w:sz w:val="18"/>
          <w:szCs w:val="18"/>
          <w:color w:val="auto"/>
        </w:rPr>
        <w:t xml:space="preserve">Intangible </w:t>
      </w:r>
      <w:r>
        <w:rPr>
          <w:rFonts w:ascii="Arial" w:cs="Arial" w:eastAsia="Arial" w:hAnsi="Arial"/>
          <w:sz w:val="18"/>
          <w:szCs w:val="18"/>
          <w:i w:val="1"/>
          <w:iCs w:val="1"/>
          <w:color w:val="auto"/>
        </w:rPr>
        <w:t>assets and liabilities –</w:t>
      </w:r>
      <w:r>
        <w:rPr>
          <w:rFonts w:ascii="Arial" w:cs="Arial" w:eastAsia="Arial" w:hAnsi="Arial"/>
          <w:sz w:val="18"/>
          <w:szCs w:val="18"/>
          <w:color w:val="auto"/>
        </w:rPr>
        <w:t xml:space="preserve"> the valuation of the intangible assets and liabilities in a typical real estate acquisition is described below:</w:t>
      </w:r>
    </w:p>
    <w:p>
      <w:pPr>
        <w:spacing w:after="0" w:line="49" w:lineRule="exact"/>
        <w:rPr>
          <w:sz w:val="20"/>
          <w:szCs w:val="20"/>
          <w:color w:val="auto"/>
        </w:rPr>
      </w:pPr>
    </w:p>
    <w:p>
      <w:pPr>
        <w:ind w:left="640" w:right="140" w:hanging="320"/>
        <w:spacing w:after="0" w:line="261" w:lineRule="auto"/>
        <w:tabs>
          <w:tab w:leader="none" w:pos="640" w:val="left"/>
        </w:tabs>
        <w:numPr>
          <w:ilvl w:val="0"/>
          <w:numId w:val="82"/>
        </w:numPr>
        <w:rPr>
          <w:rFonts w:ascii="Arial" w:cs="Arial" w:eastAsia="Arial" w:hAnsi="Arial"/>
          <w:sz w:val="26"/>
          <w:szCs w:val="26"/>
          <w:color w:val="auto"/>
          <w:vertAlign w:val="superscript"/>
        </w:rPr>
      </w:pPr>
      <w:r>
        <w:rPr>
          <w:rFonts w:ascii="Arial" w:cs="Arial" w:eastAsia="Arial" w:hAnsi="Arial"/>
          <w:sz w:val="16"/>
          <w:szCs w:val="16"/>
          <w:i w:val="1"/>
          <w:iCs w:val="1"/>
          <w:color w:val="auto"/>
        </w:rPr>
        <w:t xml:space="preserve">Above-market and below-market leases </w:t>
      </w:r>
      <w:r>
        <w:rPr>
          <w:rFonts w:ascii="Arial" w:cs="Arial" w:eastAsia="Arial" w:hAnsi="Arial"/>
          <w:sz w:val="16"/>
          <w:szCs w:val="16"/>
          <w:color w:val="auto"/>
        </w:rPr>
        <w:t>– we record above-market and below-market in-place lease values for acquired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(an intangible asset) and capitalized below-market lease values (an intangible liability) over the remaining non-cancelable terms of the respective leases.</w:t>
      </w:r>
    </w:p>
    <w:p>
      <w:pPr>
        <w:spacing w:after="0" w:line="65" w:lineRule="exact"/>
        <w:rPr>
          <w:rFonts w:ascii="Arial" w:cs="Arial" w:eastAsia="Arial" w:hAnsi="Arial"/>
          <w:sz w:val="26"/>
          <w:szCs w:val="26"/>
          <w:color w:val="auto"/>
          <w:vertAlign w:val="superscript"/>
        </w:rPr>
      </w:pPr>
    </w:p>
    <w:p>
      <w:pPr>
        <w:ind w:left="640" w:right="40" w:hanging="320"/>
        <w:spacing w:after="0" w:line="269" w:lineRule="auto"/>
        <w:tabs>
          <w:tab w:leader="none" w:pos="640" w:val="left"/>
        </w:tabs>
        <w:numPr>
          <w:ilvl w:val="0"/>
          <w:numId w:val="82"/>
        </w:numPr>
        <w:rPr>
          <w:rFonts w:ascii="Arial" w:cs="Arial" w:eastAsia="Arial" w:hAnsi="Arial"/>
          <w:sz w:val="26"/>
          <w:szCs w:val="26"/>
          <w:color w:val="auto"/>
          <w:vertAlign w:val="superscript"/>
        </w:rPr>
      </w:pPr>
      <w:r>
        <w:rPr>
          <w:rFonts w:ascii="Arial" w:cs="Arial" w:eastAsia="Arial" w:hAnsi="Arial"/>
          <w:sz w:val="16"/>
          <w:szCs w:val="16"/>
          <w:i w:val="1"/>
          <w:iCs w:val="1"/>
          <w:color w:val="auto"/>
        </w:rPr>
        <w:t xml:space="preserve">Benefit of avoided costs due to existing tenancies </w:t>
      </w:r>
      <w:r>
        <w:rPr>
          <w:rFonts w:ascii="Arial" w:cs="Arial" w:eastAsia="Arial" w:hAnsi="Arial"/>
          <w:sz w:val="16"/>
          <w:szCs w:val="16"/>
          <w:color w:val="auto"/>
        </w:rPr>
        <w:t>– this typically includes (i) in-place leases (the value of avoided lease-up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(ii) leasing commissions and legal/marketing costs avoided with the leases in place. We measure the fair values of the in-place leases based on the difference between (i) the property valued with existing in-place leases adjusted to market rental rates and (ii) the property valued as if vacant. Factors considered in the fair value determination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spacing w:after="0" w:line="64" w:lineRule="exact"/>
        <w:rPr>
          <w:rFonts w:ascii="Arial" w:cs="Arial" w:eastAsia="Arial" w:hAnsi="Arial"/>
          <w:sz w:val="26"/>
          <w:szCs w:val="26"/>
          <w:color w:val="auto"/>
          <w:vertAlign w:val="superscript"/>
        </w:rPr>
      </w:pPr>
    </w:p>
    <w:p>
      <w:pPr>
        <w:ind w:left="640" w:right="160"/>
        <w:spacing w:after="0" w:line="264" w:lineRule="auto"/>
        <w:rPr>
          <w:rFonts w:ascii="Arial" w:cs="Arial" w:eastAsia="Arial" w:hAnsi="Arial"/>
          <w:sz w:val="26"/>
          <w:szCs w:val="26"/>
          <w:color w:val="auto"/>
          <w:vertAlign w:val="superscript"/>
        </w:rPr>
      </w:pPr>
      <w:r>
        <w:rPr>
          <w:rFonts w:ascii="Arial" w:cs="Arial" w:eastAsia="Arial" w:hAnsi="Arial"/>
          <w:sz w:val="18"/>
          <w:szCs w:val="18"/>
          <w:color w:val="auto"/>
        </w:rPr>
        <w:t>We amortize the value of in-place leases and unamortized leasing origination costs to expense over the remaining term of the respective leases. Should a tenant terminate its lease, the unamortized portion of the in-place lease values and leasing origination costs will be charged to expense.</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These assessments have a direct impact on revenue and net income, particularly on the depreciable base of the allocated assets which will impact the timing of expense allocation. In accordance with our adoption of </w:t>
      </w:r>
      <w:r>
        <w:rPr>
          <w:rFonts w:ascii="Arial" w:cs="Arial" w:eastAsia="Arial" w:hAnsi="Arial"/>
          <w:sz w:val="18"/>
          <w:szCs w:val="18"/>
          <w:i w:val="1"/>
          <w:iCs w:val="1"/>
          <w:color w:val="auto"/>
        </w:rPr>
        <w:t>ASU 2015-16</w:t>
      </w:r>
      <w:r>
        <w:rPr>
          <w:rFonts w:ascii="Arial" w:cs="Arial" w:eastAsia="Arial" w:hAnsi="Arial"/>
          <w:sz w:val="18"/>
          <w:szCs w:val="18"/>
          <w:color w:val="auto"/>
        </w:rPr>
        <w:t>, we record the changes in depreciation and amortization in the period we finalized our purchase price allocation.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Adopted:</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On January 1, 2018,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modified retrospective method. We recognized the cumulative effect of initially applying the new revenue standard as an adjustment to the opening balance of retained earnings. The comparative information has not been restated and continues to be reported under the accounting standards in effect for those periods. We expect the impact of the adoption of the new standard to be immaterial to our net income and cash flows from operations on an ongoing basis.</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cinema and food and beverage revenue continues to be recognized upon sale and completion of the provision of the movie or performance, or delivery of food and beverage items. Where necessary, revenue is deferred until these obligations are discharged. Property rentals continue to be recognized on a straight line basis, and live theatre license fees continue to be based on a percentage of weekly ticket sales. Under the new standard, rewards owed to and points accrued by members of our customer loyalty programs are held as deferred revenue. Revenue from unredeemed gift cards and certificates (known as “breakage” in our industry) is recognized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00" w:name="page101"/>
    <w:bookmarkEnd w:id="100"/>
    <w:p>
      <w:pPr>
        <w:ind w:right="580"/>
        <w:spacing w:after="0" w:line="277" w:lineRule="auto"/>
        <w:rPr>
          <w:sz w:val="20"/>
          <w:szCs w:val="20"/>
          <w:color w:val="auto"/>
        </w:rPr>
      </w:pPr>
      <w:r>
        <w:rPr>
          <w:rFonts w:ascii="Arial" w:cs="Arial" w:eastAsia="Arial" w:hAnsi="Arial"/>
          <w:sz w:val="18"/>
          <w:szCs w:val="18"/>
          <w:color w:val="auto"/>
        </w:rPr>
        <w:t>proportion to the pattern of rights exercised by the customer, when the Company expects that it is probable that a significant revenue reversal would not occur for any estimated breakage amounts.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The cumulative effect of the changes made to our consolidated January 1, 2018 balance sheet for the adoption of </w:t>
      </w:r>
      <w:r>
        <w:rPr>
          <w:rFonts w:ascii="Arial" w:cs="Arial" w:eastAsia="Arial" w:hAnsi="Arial"/>
          <w:sz w:val="18"/>
          <w:szCs w:val="18"/>
          <w:i w:val="1"/>
          <w:iCs w:val="1"/>
          <w:color w:val="auto"/>
        </w:rPr>
        <w:t>ASU 2014-09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w:t>
      </w:r>
      <w:r>
        <w:rPr>
          <w:rFonts w:ascii="Arial" w:cs="Arial" w:eastAsia="Arial" w:hAnsi="Arial"/>
          <w:sz w:val="18"/>
          <w:szCs w:val="18"/>
          <w:color w:val="auto"/>
        </w:rPr>
        <w:t>were as follows: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Balance at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Balance at</w:t>
            </w:r>
          </w:p>
        </w:tc>
      </w:tr>
      <w:tr>
        <w:trPr>
          <w:trHeight w:val="149"/>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due to ASU</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January 1,</w:t>
            </w:r>
          </w:p>
        </w:tc>
      </w:tr>
      <w:tr>
        <w:trPr>
          <w:trHeight w:val="178"/>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2014-09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24,746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519"/>
              <w:spacing w:after="0"/>
              <w:rPr>
                <w:sz w:val="20"/>
                <w:szCs w:val="20"/>
                <w:color w:val="auto"/>
              </w:rPr>
            </w:pPr>
            <w:r>
              <w:rPr>
                <w:rFonts w:ascii="Arial" w:cs="Arial" w:eastAsia="Arial" w:hAnsi="Arial"/>
                <w:sz w:val="18"/>
                <w:szCs w:val="18"/>
                <w:color w:val="auto"/>
                <w:w w:val="90"/>
              </w:rPr>
              <w:t>(161)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24,585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Deferred current revenue</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519"/>
              <w:spacing w:after="0"/>
              <w:rPr>
                <w:sz w:val="20"/>
                <w:szCs w:val="20"/>
                <w:color w:val="auto"/>
              </w:rPr>
            </w:pPr>
            <w:r>
              <w:rPr>
                <w:rFonts w:ascii="Arial" w:cs="Arial" w:eastAsia="Arial" w:hAnsi="Arial"/>
                <w:sz w:val="18"/>
                <w:szCs w:val="18"/>
                <w:color w:val="auto"/>
                <w:w w:val="90"/>
              </w:rPr>
              <w:t>(355)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9,495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33,056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639"/>
              <w:spacing w:after="0"/>
              <w:rPr>
                <w:sz w:val="20"/>
                <w:szCs w:val="20"/>
                <w:color w:val="auto"/>
              </w:rPr>
            </w:pPr>
            <w:r>
              <w:rPr>
                <w:rFonts w:ascii="Arial" w:cs="Arial" w:eastAsia="Arial" w:hAnsi="Arial"/>
                <w:sz w:val="18"/>
                <w:szCs w:val="18"/>
                <w:color w:val="auto"/>
                <w:w w:val="86"/>
              </w:rPr>
              <w:t>194</w:t>
            </w:r>
          </w:p>
        </w:tc>
        <w:tc>
          <w:tcPr>
            <w:tcW w:w="8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33,250</w:t>
            </w:r>
          </w:p>
        </w:tc>
      </w:tr>
    </w:tbl>
    <w:p>
      <w:pPr>
        <w:spacing w:after="0" w:line="200" w:lineRule="exact"/>
        <w:rPr>
          <w:sz w:val="20"/>
          <w:szCs w:val="20"/>
          <w:color w:val="auto"/>
        </w:rPr>
      </w:pPr>
    </w:p>
    <w:p>
      <w:pPr>
        <w:spacing w:after="0" w:line="2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our consolidated income statement and balance sheet was as follows: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2"/>
              </w:rPr>
              <w:t>Year Ended December 31, 2018</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right="218"/>
              <w:spacing w:after="0" w:line="126" w:lineRule="exact"/>
              <w:rPr>
                <w:sz w:val="20"/>
                <w:szCs w:val="20"/>
                <w:color w:val="auto"/>
              </w:rPr>
            </w:pPr>
            <w:r>
              <w:rPr>
                <w:rFonts w:ascii="Arial" w:cs="Arial" w:eastAsia="Arial" w:hAnsi="Arial"/>
                <w:sz w:val="14"/>
                <w:szCs w:val="14"/>
                <w:b w:val="1"/>
                <w:bCs w:val="1"/>
                <w:color w:val="auto"/>
                <w:w w:val="91"/>
              </w:rPr>
              <w:t>Balances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2"/>
          </w:tcPr>
          <w:p>
            <w:pPr>
              <w:jc w:val="center"/>
              <w:ind w:right="288"/>
              <w:spacing w:after="0" w:line="126" w:lineRule="exact"/>
              <w:rPr>
                <w:sz w:val="20"/>
                <w:szCs w:val="20"/>
                <w:color w:val="auto"/>
              </w:rPr>
            </w:pPr>
            <w:r>
              <w:rPr>
                <w:rFonts w:ascii="Arial" w:cs="Arial" w:eastAsia="Arial" w:hAnsi="Arial"/>
                <w:sz w:val="14"/>
                <w:szCs w:val="14"/>
                <w:b w:val="1"/>
                <w:bCs w:val="1"/>
                <w:color w:val="auto"/>
                <w:w w:val="96"/>
              </w:rPr>
              <w:t>Effect of</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As Reported,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95"/>
              </w:rPr>
              <w:t>Higher /</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5"/>
                <w:szCs w:val="15"/>
                <w:color w:val="auto"/>
              </w:rPr>
            </w:pPr>
          </w:p>
        </w:tc>
        <w:tc>
          <w:tcPr>
            <w:tcW w:w="2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ASC 606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8"/>
              </w:rPr>
              <w:t>(Lower)</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Cinema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294,177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293,970</w:t>
            </w:r>
          </w:p>
        </w:tc>
        <w:tc>
          <w:tcPr>
            <w:tcW w:w="20" w:type="dxa"/>
            <w:vAlign w:val="bottom"/>
          </w:tcPr>
          <w:p>
            <w:pPr>
              <w:spacing w:after="0"/>
              <w:rPr>
                <w:sz w:val="18"/>
                <w:szCs w:val="18"/>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(3,356)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14,498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14,641</w:t>
            </w:r>
          </w:p>
        </w:tc>
        <w:tc>
          <w:tcPr>
            <w:tcW w:w="20" w:type="dxa"/>
            <w:vAlign w:val="bottom"/>
          </w:tcPr>
          <w:p>
            <w:pPr>
              <w:spacing w:after="0"/>
              <w:rPr>
                <w:sz w:val="20"/>
                <w:szCs w:val="20"/>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77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Balances</w:t>
            </w:r>
          </w:p>
        </w:tc>
        <w:tc>
          <w:tcPr>
            <w:tcW w:w="16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Pr>
          <w:p>
            <w:pPr>
              <w:spacing w:after="0"/>
              <w:rPr>
                <w:sz w:val="12"/>
                <w:szCs w:val="12"/>
                <w:color w:val="auto"/>
              </w:rPr>
            </w:pPr>
          </w:p>
        </w:tc>
        <w:tc>
          <w:tcPr>
            <w:tcW w:w="8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Higher /</w:t>
            </w:r>
          </w:p>
        </w:tc>
        <w:tc>
          <w:tcPr>
            <w:tcW w:w="0" w:type="dxa"/>
            <w:vAlign w:val="bottom"/>
          </w:tcPr>
          <w:p>
            <w:pPr>
              <w:spacing w:after="0"/>
              <w:rPr>
                <w:sz w:val="1"/>
                <w:szCs w:val="1"/>
                <w:color w:val="auto"/>
              </w:rPr>
            </w:pPr>
          </w:p>
        </w:tc>
      </w:tr>
      <w:tr>
        <w:trPr>
          <w:trHeight w:val="178"/>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2018</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ASC 606</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(Lower)</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26,235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26,299</w:t>
            </w:r>
          </w:p>
        </w:tc>
        <w:tc>
          <w:tcPr>
            <w:tcW w:w="98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Deferred current revenue</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9,264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9,471</w:t>
            </w:r>
          </w:p>
        </w:tc>
        <w:tc>
          <w:tcPr>
            <w:tcW w:w="98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(207)</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47,616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47,473</w:t>
            </w:r>
          </w:p>
        </w:tc>
        <w:tc>
          <w:tcPr>
            <w:tcW w:w="98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Refer to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a description of our new revenue recognition policies, and to Note 1-</w:t>
      </w:r>
      <w:r>
        <w:rPr>
          <w:rFonts w:ascii="Arial" w:cs="Arial" w:eastAsia="Arial" w:hAnsi="Arial"/>
          <w:sz w:val="18"/>
          <w:szCs w:val="18"/>
          <w:i w:val="1"/>
          <w:iCs w:val="1"/>
          <w:color w:val="auto"/>
        </w:rPr>
        <w:t xml:space="preserve">Description of Business and Segment Reporting </w:t>
      </w:r>
      <w:r>
        <w:rPr>
          <w:rFonts w:ascii="Arial" w:cs="Arial" w:eastAsia="Arial" w:hAnsi="Arial"/>
          <w:sz w:val="18"/>
          <w:szCs w:val="18"/>
          <w:color w:val="auto"/>
        </w:rPr>
        <w:t>for a disaggregation of our revenue sources.</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On January 1, 2018, the Company adopted </w:t>
      </w:r>
      <w:r>
        <w:rPr>
          <w:rFonts w:ascii="Arial" w:cs="Arial" w:eastAsia="Arial" w:hAnsi="Arial"/>
          <w:sz w:val="16"/>
          <w:szCs w:val="16"/>
          <w:i w:val="1"/>
          <w:iCs w:val="1"/>
          <w:color w:val="auto"/>
        </w:rPr>
        <w:t>ASU 2016-18, Statement of Cash Flows, Topic 230: Restricted Cash, a consensus of 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Emerging Issues Task Force</w:t>
      </w:r>
      <w:r>
        <w:rPr>
          <w:rFonts w:ascii="Arial" w:cs="Arial" w:eastAsia="Arial" w:hAnsi="Arial"/>
          <w:sz w:val="16"/>
          <w:szCs w:val="16"/>
          <w:color w:val="auto"/>
        </w:rPr>
        <w:t>. This standard requires that amounts generally described as restricted cash and cash equivalents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combined with unrestricted cash and cash equivalents when reconciling the beginning and end of period balances on the statement of cash flows. The adoption of </w:t>
      </w:r>
      <w:r>
        <w:rPr>
          <w:rFonts w:ascii="Arial" w:cs="Arial" w:eastAsia="Arial" w:hAnsi="Arial"/>
          <w:sz w:val="16"/>
          <w:szCs w:val="16"/>
          <w:i w:val="1"/>
          <w:iCs w:val="1"/>
          <w:color w:val="auto"/>
        </w:rPr>
        <w:t>ASU 2016-18</w:t>
      </w:r>
      <w:r>
        <w:rPr>
          <w:rFonts w:ascii="Arial" w:cs="Arial" w:eastAsia="Arial" w:hAnsi="Arial"/>
          <w:sz w:val="16"/>
          <w:szCs w:val="16"/>
          <w:color w:val="auto"/>
        </w:rPr>
        <w:t xml:space="preserve"> did not have a material effect on our consolidated statement of cash flows.</w:t>
      </w:r>
    </w:p>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On January 1, 2018, the Company adopted </w:t>
      </w:r>
      <w:r>
        <w:rPr>
          <w:rFonts w:ascii="Arial" w:cs="Arial" w:eastAsia="Arial" w:hAnsi="Arial"/>
          <w:sz w:val="18"/>
          <w:szCs w:val="18"/>
          <w:i w:val="1"/>
          <w:iCs w:val="1"/>
          <w:color w:val="auto"/>
        </w:rPr>
        <w:t>ASU 2016-15, Statement of Cash Flows (Topic 230): Classification of Certain Cash Receipts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Cash Payments. </w:t>
      </w:r>
      <w:r>
        <w:rPr>
          <w:rFonts w:ascii="Arial" w:cs="Arial" w:eastAsia="Arial" w:hAnsi="Arial"/>
          <w:sz w:val="18"/>
          <w:szCs w:val="18"/>
          <w:color w:val="auto"/>
        </w:rPr>
        <w:t>The standard applies to eight (8) specific cash flow classification issues, reducing the current and potential future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diversity in the presentation of certain cash flows. The adoption of </w:t>
      </w:r>
      <w:r>
        <w:rPr>
          <w:rFonts w:ascii="Arial" w:cs="Arial" w:eastAsia="Arial" w:hAnsi="Arial"/>
          <w:sz w:val="18"/>
          <w:szCs w:val="18"/>
          <w:i w:val="1"/>
          <w:iCs w:val="1"/>
          <w:color w:val="auto"/>
        </w:rPr>
        <w:t>ASU 2016-15</w:t>
      </w:r>
      <w:r>
        <w:rPr>
          <w:rFonts w:ascii="Arial" w:cs="Arial" w:eastAsia="Arial" w:hAnsi="Arial"/>
          <w:sz w:val="18"/>
          <w:szCs w:val="18"/>
          <w:color w:val="auto"/>
        </w:rPr>
        <w:t xml:space="preserve"> did not have a material effect on our consolidated statement of cash flows.</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On January 1, 2018, the Company adopted </w:t>
      </w:r>
      <w:r>
        <w:rPr>
          <w:rFonts w:ascii="Arial" w:cs="Arial" w:eastAsia="Arial" w:hAnsi="Arial"/>
          <w:sz w:val="16"/>
          <w:szCs w:val="16"/>
          <w:i w:val="1"/>
          <w:iCs w:val="1"/>
          <w:color w:val="auto"/>
        </w:rPr>
        <w:t>ASU 2017-07, Compensation—Retirement Benefits (Topic 715): Improving the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Net Periodic Pension Cost and Net Periodic Postretirement Benefit Cost</w:t>
      </w:r>
      <w:r>
        <w:rPr>
          <w:rFonts w:ascii="Arial" w:cs="Arial" w:eastAsia="Arial" w:hAnsi="Arial"/>
          <w:sz w:val="16"/>
          <w:szCs w:val="16"/>
          <w:color w:val="auto"/>
        </w:rPr>
        <w:t>. This standard (i) requires that an employer disaggregate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cost component from the other components of net benefit cost, and (ii) specifies how to present the service cost component and the other components of net benefit cost in the income statement and (iii) allows only the service cost component of net benefit cost to be eligible for capitalization. The adoption of </w:t>
      </w:r>
      <w:r>
        <w:rPr>
          <w:rFonts w:ascii="Arial" w:cs="Arial" w:eastAsia="Arial" w:hAnsi="Arial"/>
          <w:sz w:val="16"/>
          <w:szCs w:val="16"/>
          <w:i w:val="1"/>
          <w:iCs w:val="1"/>
          <w:color w:val="auto"/>
        </w:rPr>
        <w:t>ASU 2017-07</w:t>
      </w:r>
      <w:r>
        <w:rPr>
          <w:rFonts w:ascii="Arial" w:cs="Arial" w:eastAsia="Arial" w:hAnsi="Arial"/>
          <w:sz w:val="16"/>
          <w:szCs w:val="16"/>
          <w:color w:val="auto"/>
        </w:rPr>
        <w:t xml:space="preserve"> did not have a material effect on our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01" w:name="page102"/>
    <w:bookmarkEnd w:id="101"/>
    <w:p>
      <w:pPr>
        <w:ind w:left="4" w:right="40"/>
        <w:spacing w:after="0" w:line="255" w:lineRule="auto"/>
        <w:rPr>
          <w:sz w:val="20"/>
          <w:szCs w:val="20"/>
          <w:color w:val="auto"/>
        </w:rPr>
      </w:pPr>
      <w:r>
        <w:rPr>
          <w:rFonts w:ascii="Arial" w:cs="Arial" w:eastAsia="Arial" w:hAnsi="Arial"/>
          <w:sz w:val="18"/>
          <w:szCs w:val="18"/>
          <w:color w:val="auto"/>
        </w:rPr>
        <w:t xml:space="preserve">On January 1, 2018, the Company adopted </w:t>
      </w:r>
      <w:r>
        <w:rPr>
          <w:rFonts w:ascii="Arial" w:cs="Arial" w:eastAsia="Arial" w:hAnsi="Arial"/>
          <w:sz w:val="18"/>
          <w:szCs w:val="18"/>
          <w:i w:val="1"/>
          <w:iCs w:val="1"/>
          <w:color w:val="auto"/>
        </w:rPr>
        <w:t>ASU 2017-01, Business Combinations (Topic 805): Clarifying the Definition of a Business</w:t>
      </w:r>
      <w:r>
        <w:rPr>
          <w:rFonts w:ascii="Arial" w:cs="Arial" w:eastAsia="Arial" w:hAnsi="Arial"/>
          <w:sz w:val="18"/>
          <w:szCs w:val="18"/>
          <w:color w:val="auto"/>
        </w:rPr>
        <w:t xml:space="preserve">. This ASU provides that when substantially all of the fair value of the gross assets acquired (or disposed of) is concentrated in a single identifiable asset or a group of similar identifiable assets, the asset is not a “business”, thus reducing the number of transactions that need further evaluation for business combination. The adoption of </w:t>
      </w:r>
      <w:r>
        <w:rPr>
          <w:rFonts w:ascii="Arial" w:cs="Arial" w:eastAsia="Arial" w:hAnsi="Arial"/>
          <w:sz w:val="18"/>
          <w:szCs w:val="18"/>
          <w:i w:val="1"/>
          <w:iCs w:val="1"/>
          <w:color w:val="auto"/>
        </w:rPr>
        <w:t>ASU 2017-01</w:t>
      </w:r>
      <w:r>
        <w:rPr>
          <w:rFonts w:ascii="Arial" w:cs="Arial" w:eastAsia="Arial" w:hAnsi="Arial"/>
          <w:sz w:val="18"/>
          <w:szCs w:val="18"/>
          <w:color w:val="auto"/>
        </w:rPr>
        <w:t xml:space="preserve"> did not have a material effect on our current consolidated financial statements, and we do not expect it to be applicable to our consolidated financial statements in the near term unless we enter into a definitive business acquisition transaction.</w:t>
      </w:r>
    </w:p>
    <w:p>
      <w:pPr>
        <w:spacing w:after="0" w:line="193"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 xml:space="preserve">On January 1, 2017, the Company adopted </w:t>
      </w:r>
      <w:r>
        <w:rPr>
          <w:rFonts w:ascii="Arial" w:cs="Arial" w:eastAsia="Arial" w:hAnsi="Arial"/>
          <w:sz w:val="17"/>
          <w:szCs w:val="17"/>
          <w:i w:val="1"/>
          <w:iCs w:val="1"/>
          <w:color w:val="auto"/>
        </w:rPr>
        <w:t>ASU 2016-09, Compensation—Stock Compensation (Topic 718): 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Share-Based Payment Accounting</w:t>
      </w:r>
      <w:r>
        <w:rPr>
          <w:rFonts w:ascii="Arial" w:cs="Arial" w:eastAsia="Arial" w:hAnsi="Arial"/>
          <w:sz w:val="17"/>
          <w:szCs w:val="17"/>
          <w:color w:val="auto"/>
        </w:rPr>
        <w:t>. This new guidance, which became effective for fiscal years beginning after December 15, 2016,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provides for the simplification of several aspects of the accounting for share-based payment transactions, including (i) accounting for tax benefits in excess of compensation cost and tax deficiencies, (ii) accounting for forfeitures, and (iii) classification on the statement of cash flows. The only significant impact of the adoption of this new guidance to us is the immediate recognition of excess tax benefits (or “windfalls”) and tax deficiencies (or “shortfalls”) in the consolidated statement of operations. Previously, (i) tax windfalls were recorded in additional paid-in capital (“APIC”) in the consolidated statement of stockholders’ equity and (ii) tax shortfalls were recorded in APIC to the extent of previous windfalls and then to the consolidated statement of operations. The adoption of </w:t>
      </w:r>
      <w:r>
        <w:rPr>
          <w:rFonts w:ascii="Arial" w:cs="Arial" w:eastAsia="Arial" w:hAnsi="Arial"/>
          <w:sz w:val="17"/>
          <w:szCs w:val="17"/>
          <w:i w:val="1"/>
          <w:iCs w:val="1"/>
          <w:color w:val="auto"/>
        </w:rPr>
        <w:t>ASU 2016-09</w:t>
      </w:r>
      <w:r>
        <w:rPr>
          <w:rFonts w:ascii="Arial" w:cs="Arial" w:eastAsia="Arial" w:hAnsi="Arial"/>
          <w:sz w:val="17"/>
          <w:szCs w:val="17"/>
          <w:color w:val="auto"/>
        </w:rPr>
        <w:t xml:space="preserve"> did not have a material impact on the consolidated financial statements and related disclosures.</w:t>
      </w:r>
    </w:p>
    <w:p>
      <w:pPr>
        <w:spacing w:after="0" w:line="182"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 xml:space="preserve">Further, in March 2016, the FASB issued </w:t>
      </w:r>
      <w:r>
        <w:rPr>
          <w:rFonts w:ascii="Arial" w:cs="Arial" w:eastAsia="Arial" w:hAnsi="Arial"/>
          <w:sz w:val="17"/>
          <w:szCs w:val="17"/>
          <w:i w:val="1"/>
          <w:iCs w:val="1"/>
          <w:color w:val="auto"/>
        </w:rPr>
        <w:t>ASU 2016-07</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Investments—Equity Method and Joint Ventures (Topic 323):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Transition to the Equity Method of Accounting</w:t>
      </w:r>
      <w:r>
        <w:rPr>
          <w:rFonts w:ascii="Arial" w:cs="Arial" w:eastAsia="Arial" w:hAnsi="Arial"/>
          <w:sz w:val="17"/>
          <w:szCs w:val="17"/>
          <w:color w:val="auto"/>
        </w:rPr>
        <w:t>. This new guidance effectively removes the retroactive application imposed in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guidance when an investment qualifies for use of the equity method as a result of an increase in the level of ownership interest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 new standard became effective for the Company on January 1, 2017. The adoption of </w:t>
      </w:r>
      <w:r>
        <w:rPr>
          <w:rFonts w:ascii="Arial" w:cs="Arial" w:eastAsia="Arial" w:hAnsi="Arial"/>
          <w:sz w:val="17"/>
          <w:szCs w:val="17"/>
          <w:i w:val="1"/>
          <w:iCs w:val="1"/>
          <w:color w:val="auto"/>
        </w:rPr>
        <w:t>ASU</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2016-07 </w:t>
      </w:r>
      <w:r>
        <w:rPr>
          <w:rFonts w:ascii="Arial" w:cs="Arial" w:eastAsia="Arial" w:hAnsi="Arial"/>
          <w:sz w:val="17"/>
          <w:szCs w:val="17"/>
          <w:color w:val="auto"/>
        </w:rPr>
        <w:t>did not have a material impact on the consolidated financial statements and related disclosures.</w:t>
      </w:r>
    </w:p>
    <w:p>
      <w:pPr>
        <w:spacing w:after="0" w:line="178"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 xml:space="preserve">In October 2016, the FASB issued </w:t>
      </w:r>
      <w:r>
        <w:rPr>
          <w:rFonts w:ascii="Arial" w:cs="Arial" w:eastAsia="Arial" w:hAnsi="Arial"/>
          <w:sz w:val="17"/>
          <w:szCs w:val="17"/>
          <w:i w:val="1"/>
          <w:iCs w:val="1"/>
          <w:color w:val="auto"/>
        </w:rPr>
        <w:t>ASU 2016-17, Consolidation (Topic 810): Interests Held through Related Parties that are under Common</w:t>
      </w:r>
      <w:r>
        <w:rPr>
          <w:rFonts w:ascii="Arial" w:cs="Arial" w:eastAsia="Arial" w:hAnsi="Arial"/>
          <w:sz w:val="17"/>
          <w:szCs w:val="17"/>
          <w:color w:val="auto"/>
        </w:rPr>
        <w:t xml:space="preserve"> </w:t>
      </w:r>
      <w:r>
        <w:rPr>
          <w:rFonts w:ascii="Arial" w:cs="Arial" w:eastAsia="Arial" w:hAnsi="Arial"/>
          <w:sz w:val="17"/>
          <w:szCs w:val="17"/>
          <w:i w:val="1"/>
          <w:iCs w:val="1"/>
          <w:color w:val="auto"/>
        </w:rPr>
        <w:t>Control</w:t>
      </w:r>
      <w:r>
        <w:rPr>
          <w:rFonts w:ascii="Arial" w:cs="Arial" w:eastAsia="Arial" w:hAnsi="Arial"/>
          <w:sz w:val="17"/>
          <w:szCs w:val="17"/>
          <w:color w:val="auto"/>
        </w:rPr>
        <w:t>. This new guidance alters how a decision maker needs to consider interests in a variable interest entity (“VIE”) held through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entity under common control and amends the previously issued ASU 2015-02. Under the new ASU, if a decision maker is required to evaluate whether it is the primary beneficiary of a VIE, it will need to consider only its proportionate indirect interest in the VIE held through a common control party. The new standard became effective for the Company on January 1, 2017. The adoption of </w:t>
      </w:r>
      <w:r>
        <w:rPr>
          <w:rFonts w:ascii="Arial" w:cs="Arial" w:eastAsia="Arial" w:hAnsi="Arial"/>
          <w:sz w:val="17"/>
          <w:szCs w:val="17"/>
          <w:i w:val="1"/>
          <w:iCs w:val="1"/>
          <w:color w:val="auto"/>
        </w:rPr>
        <w:t>ASU 2016-17</w:t>
      </w:r>
      <w:r>
        <w:rPr>
          <w:rFonts w:ascii="Arial" w:cs="Arial" w:eastAsia="Arial" w:hAnsi="Arial"/>
          <w:sz w:val="17"/>
          <w:szCs w:val="17"/>
          <w:color w:val="auto"/>
        </w:rPr>
        <w:t xml:space="preserve"> did not have a material impact on the consolidated financial statements and related disclosures.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u w:val="single" w:color="auto"/>
          <w:color w:val="auto"/>
        </w:rPr>
        <w:t>Issued:</w:t>
      </w:r>
    </w:p>
    <w:p>
      <w:pPr>
        <w:spacing w:after="0" w:line="221" w:lineRule="exact"/>
        <w:rPr>
          <w:sz w:val="20"/>
          <w:szCs w:val="20"/>
          <w:color w:val="auto"/>
        </w:rPr>
      </w:pPr>
    </w:p>
    <w:p>
      <w:pPr>
        <w:ind w:left="224" w:hanging="224"/>
        <w:spacing w:after="0"/>
        <w:tabs>
          <w:tab w:leader="none" w:pos="22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ASUs Effective 2019 and Beyond</w:t>
      </w:r>
    </w:p>
    <w:p>
      <w:pPr>
        <w:spacing w:after="0" w:line="27" w:lineRule="exact"/>
        <w:rPr>
          <w:rFonts w:ascii="Arial" w:cs="Arial" w:eastAsia="Arial" w:hAnsi="Arial"/>
          <w:sz w:val="18"/>
          <w:szCs w:val="18"/>
          <w:color w:val="auto"/>
        </w:rPr>
      </w:pPr>
    </w:p>
    <w:p>
      <w:pPr>
        <w:ind w:left="644" w:hanging="320"/>
        <w:spacing w:after="0" w:line="223" w:lineRule="auto"/>
        <w:tabs>
          <w:tab w:leader="none" w:pos="644" w:val="left"/>
        </w:tabs>
        <w:numPr>
          <w:ilvl w:val="1"/>
          <w:numId w:val="83"/>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New Lease Accounting Model</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ASU 2016-02, Leases: Topic 842)</w:t>
      </w:r>
    </w:p>
    <w:p>
      <w:pPr>
        <w:spacing w:after="0" w:line="202" w:lineRule="exact"/>
        <w:rPr>
          <w:rFonts w:ascii="Arial" w:cs="Arial" w:eastAsia="Arial" w:hAnsi="Arial"/>
          <w:sz w:val="29"/>
          <w:szCs w:val="29"/>
          <w:color w:val="auto"/>
          <w:vertAlign w:val="superscript"/>
        </w:rPr>
      </w:pPr>
    </w:p>
    <w:p>
      <w:pPr>
        <w:ind w:left="644" w:right="20"/>
        <w:spacing w:after="0" w:line="272" w:lineRule="auto"/>
        <w:rPr>
          <w:rFonts w:ascii="Arial" w:cs="Arial" w:eastAsia="Arial" w:hAnsi="Arial"/>
          <w:sz w:val="29"/>
          <w:szCs w:val="29"/>
          <w:color w:val="auto"/>
          <w:vertAlign w:val="superscript"/>
        </w:rPr>
      </w:pPr>
      <w:r>
        <w:rPr>
          <w:rFonts w:ascii="Arial" w:cs="Arial" w:eastAsia="Arial" w:hAnsi="Arial"/>
          <w:sz w:val="17"/>
          <w:szCs w:val="17"/>
          <w:color w:val="auto"/>
        </w:rPr>
        <w:t>In February 2016, the FASB issued a new standard related to leases to increase transparency and comparability among organizations by requiring the recognition of right-of-use (“ROU”) assets and lease liabilities on the balance sheet. Most prominent among the changes in the standard is the recognition of ROU assets and lease liabilities by lessees for those leases classified as operating leases under current U.S. GAAP. Under the standard, disclosures are required to meet the objective of enabling users of financial statements to assess the amount, timing, and uncertainty of cash flows arising from leases. We will be required to recognize and measure leases existing at, or entered into after, the beginning of the earliest comparative period presented using a modified retrospective approach, with certain practical expedients available.</w:t>
      </w:r>
    </w:p>
    <w:p>
      <w:pPr>
        <w:spacing w:after="0" w:line="177" w:lineRule="exact"/>
        <w:rPr>
          <w:rFonts w:ascii="Arial" w:cs="Arial" w:eastAsia="Arial" w:hAnsi="Arial"/>
          <w:sz w:val="29"/>
          <w:szCs w:val="29"/>
          <w:color w:val="auto"/>
          <w:vertAlign w:val="superscript"/>
        </w:rPr>
      </w:pPr>
    </w:p>
    <w:p>
      <w:pPr>
        <w:ind w:left="644" w:right="180"/>
        <w:spacing w:after="0" w:line="257" w:lineRule="auto"/>
        <w:rPr>
          <w:rFonts w:ascii="Arial" w:cs="Arial" w:eastAsia="Arial" w:hAnsi="Arial"/>
          <w:sz w:val="29"/>
          <w:szCs w:val="29"/>
          <w:color w:val="auto"/>
          <w:vertAlign w:val="superscript"/>
        </w:rPr>
      </w:pPr>
      <w:r>
        <w:rPr>
          <w:rFonts w:ascii="Arial" w:cs="Arial" w:eastAsia="Arial" w:hAnsi="Arial"/>
          <w:sz w:val="18"/>
          <w:szCs w:val="18"/>
          <w:color w:val="auto"/>
        </w:rPr>
        <w:t>The standard is effective for us beginning January 1, 2019, with early adoption permitted. We have not elected to early adopt this standard, and instead are adopting this standard on its effective date. Our implementation project is substantially complete. In preparation for adoption of the standard, we have implemented internal controls and key system functionality to enable the preparation of financial information. We are electing all available practical expedients, and transitioning using the modified retrospective approach.</w:t>
      </w:r>
    </w:p>
    <w:p>
      <w:pPr>
        <w:spacing w:after="0" w:line="188" w:lineRule="exact"/>
        <w:rPr>
          <w:rFonts w:ascii="Arial" w:cs="Arial" w:eastAsia="Arial" w:hAnsi="Arial"/>
          <w:sz w:val="29"/>
          <w:szCs w:val="29"/>
          <w:color w:val="auto"/>
          <w:vertAlign w:val="superscript"/>
        </w:rPr>
      </w:pPr>
    </w:p>
    <w:p>
      <w:pPr>
        <w:ind w:left="644" w:right="100"/>
        <w:spacing w:after="0" w:line="257" w:lineRule="auto"/>
        <w:rPr>
          <w:rFonts w:ascii="Arial" w:cs="Arial" w:eastAsia="Arial" w:hAnsi="Arial"/>
          <w:sz w:val="29"/>
          <w:szCs w:val="29"/>
          <w:color w:val="auto"/>
          <w:vertAlign w:val="superscript"/>
        </w:rPr>
      </w:pPr>
      <w:r>
        <w:rPr>
          <w:rFonts w:ascii="Arial" w:cs="Arial" w:eastAsia="Arial" w:hAnsi="Arial"/>
          <w:sz w:val="18"/>
          <w:szCs w:val="18"/>
          <w:color w:val="auto"/>
        </w:rPr>
        <w:t>The standard will have a material impact on our consolidated balance sheets, but will not have a material impact on our consolidated income statements. The most significant impact will be the recognition of ROU assets and lease liabilities for operating leases, while our accounting for capital leases remains substantially unchanged. Adoption of the standard will result in the recognition of additional ROU assets and lease liabilities for operating leases of approximately $250.0 million as of January 1, 2019.</w:t>
      </w:r>
    </w:p>
    <w:p>
      <w:pPr>
        <w:spacing w:after="0" w:line="200" w:lineRule="exact"/>
        <w:rPr>
          <w:rFonts w:ascii="Arial" w:cs="Arial" w:eastAsia="Arial" w:hAnsi="Arial"/>
          <w:sz w:val="29"/>
          <w:szCs w:val="29"/>
          <w:color w:val="auto"/>
          <w:vertAlign w:val="superscript"/>
        </w:rPr>
      </w:pPr>
    </w:p>
    <w:p>
      <w:pPr>
        <w:spacing w:after="0" w:line="204" w:lineRule="exact"/>
        <w:rPr>
          <w:rFonts w:ascii="Arial" w:cs="Arial" w:eastAsia="Arial" w:hAnsi="Arial"/>
          <w:sz w:val="29"/>
          <w:szCs w:val="29"/>
          <w:color w:val="auto"/>
          <w:vertAlign w:val="superscript"/>
        </w:rPr>
      </w:pPr>
    </w:p>
    <w:p>
      <w:pPr>
        <w:ind w:left="4924" w:hanging="151"/>
        <w:spacing w:after="0"/>
        <w:tabs>
          <w:tab w:leader="none" w:pos="4924" w:val="left"/>
        </w:tabs>
        <w:numPr>
          <w:ilvl w:val="2"/>
          <w:numId w:val="83"/>
        </w:numPr>
        <w:rPr>
          <w:rFonts w:ascii="Arial" w:cs="Arial" w:eastAsia="Arial" w:hAnsi="Arial"/>
          <w:sz w:val="18"/>
          <w:szCs w:val="18"/>
          <w:color w:val="auto"/>
        </w:rPr>
      </w:pPr>
      <w:r>
        <w:rPr>
          <w:rFonts w:ascii="Arial" w:cs="Arial" w:eastAsia="Arial" w:hAnsi="Arial"/>
          <w:sz w:val="18"/>
          <w:szCs w:val="18"/>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41" w:right="879" w:bottom="1440" w:gutter="0" w:footer="0" w:header="0"/>
        </w:sectPr>
      </w:pPr>
    </w:p>
    <w:bookmarkStart w:id="102" w:name="page103"/>
    <w:bookmarkEnd w:id="102"/>
    <w:p>
      <w:pPr>
        <w:ind w:left="640" w:right="580" w:hanging="320"/>
        <w:spacing w:after="0" w:line="198" w:lineRule="auto"/>
        <w:tabs>
          <w:tab w:leader="none" w:pos="64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Goodwill Impairment Simplification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ASU 2017-04, Intangibles – Goodwill and Other (Topic 350): Simplifying the Test for Goodwill Impairment)</w:t>
      </w:r>
    </w:p>
    <w:p>
      <w:pPr>
        <w:spacing w:after="0" w:line="202" w:lineRule="exact"/>
        <w:rPr>
          <w:rFonts w:ascii="Arial" w:cs="Arial" w:eastAsia="Arial" w:hAnsi="Arial"/>
          <w:sz w:val="29"/>
          <w:szCs w:val="29"/>
          <w:color w:val="auto"/>
          <w:vertAlign w:val="superscript"/>
        </w:rPr>
      </w:pPr>
    </w:p>
    <w:p>
      <w:pPr>
        <w:ind w:left="640" w:right="120"/>
        <w:spacing w:after="0" w:line="257" w:lineRule="auto"/>
        <w:rPr>
          <w:rFonts w:ascii="Arial" w:cs="Arial" w:eastAsia="Arial" w:hAnsi="Arial"/>
          <w:sz w:val="29"/>
          <w:szCs w:val="29"/>
          <w:color w:val="auto"/>
          <w:vertAlign w:val="superscript"/>
        </w:rPr>
      </w:pPr>
      <w:r>
        <w:rPr>
          <w:rFonts w:ascii="Arial" w:cs="Arial" w:eastAsia="Arial" w:hAnsi="Arial"/>
          <w:sz w:val="18"/>
          <w:szCs w:val="18"/>
          <w:color w:val="auto"/>
        </w:rPr>
        <w:t xml:space="preserve">Issued by FASB in January 2017, this new guidance removes the second step of the two-step impairment test for measuring goodwill and is to be applied on a prospective basis only. The new guidance is effective for the Company on January 1, 2020, including interim periods within the year of adoption. Early adoption is permitted for interim or annual goodwill impairment tests performed on testing dates after January 1, 2017. We do not anticipate the adoption of </w:t>
      </w:r>
      <w:r>
        <w:rPr>
          <w:rFonts w:ascii="Arial" w:cs="Arial" w:eastAsia="Arial" w:hAnsi="Arial"/>
          <w:sz w:val="18"/>
          <w:szCs w:val="18"/>
          <w:i w:val="1"/>
          <w:iCs w:val="1"/>
          <w:color w:val="auto"/>
        </w:rPr>
        <w:t>ASU 2017-04</w:t>
      </w:r>
      <w:r>
        <w:rPr>
          <w:rFonts w:ascii="Arial" w:cs="Arial" w:eastAsia="Arial" w:hAnsi="Arial"/>
          <w:sz w:val="18"/>
          <w:szCs w:val="18"/>
          <w:color w:val="auto"/>
        </w:rPr>
        <w:t xml:space="preserve"> will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Prior period financial statement correction of immaterial errors</w:t>
      </w:r>
    </w:p>
    <w:p>
      <w:pPr>
        <w:spacing w:after="0" w:line="225"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During the third quarter of 2018, we identified immaterial errors related to the accounting for straight line rent receivable from tenants in our real estate operations dating back to 2015. These errors resulted in an understatement of real estate revenue for certain prior periods.</w:t>
      </w:r>
    </w:p>
    <w:p>
      <w:pPr>
        <w:spacing w:after="0" w:line="12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assessed the materiality of these errors on our financial statements for prior periods in accordance with the SEC Staff Accounting Bulletin (SAB) No. 99, Materiality, codified in Accounting Standards Codification (ASC) 250, Presentation of Financial Statements, and concluded that they were not material to any prior annual or interim periods. However, the aggregate amount of $440,000 related to the prior period immaterial errors through June 30, 2018, would have been material to the quarterly accounts within our three months to September 30, 2018, Consolidated Statements of Income. Consequently, in accordance with ASC 250 (specifically SAB No. 108, Considering the Effects of Prior Year Misstatements when Quantifying Misstatements in Current Year Financial Statements), we have corrected these errors for all prior periods presented by revising the consolidated financial statements and other financial information included herein.</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summary of the previously issued financial statement line items for all periods and statements included in this Form 10-K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center"/>
              <w:ind w:right="92"/>
              <w:spacing w:after="0"/>
              <w:rPr>
                <w:sz w:val="20"/>
                <w:szCs w:val="20"/>
                <w:color w:val="auto"/>
              </w:rPr>
            </w:pPr>
            <w:r>
              <w:rPr>
                <w:rFonts w:ascii="Arial" w:cs="Arial" w:eastAsia="Arial" w:hAnsi="Arial"/>
                <w:sz w:val="14"/>
                <w:szCs w:val="14"/>
                <w:b w:val="1"/>
                <w:bCs w:val="1"/>
                <w:color w:val="auto"/>
                <w:w w:val="92"/>
              </w:rPr>
              <w:t>Year Ended December 31, 2017</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center"/>
              <w:ind w:right="92"/>
              <w:spacing w:after="0"/>
              <w:rPr>
                <w:sz w:val="20"/>
                <w:szCs w:val="20"/>
                <w:color w:val="auto"/>
              </w:rPr>
            </w:pPr>
            <w:r>
              <w:rPr>
                <w:rFonts w:ascii="Arial" w:cs="Arial" w:eastAsia="Arial" w:hAnsi="Arial"/>
                <w:sz w:val="14"/>
                <w:szCs w:val="14"/>
                <w:b w:val="1"/>
                <w:bCs w:val="1"/>
                <w:color w:val="auto"/>
                <w:w w:val="92"/>
              </w:rPr>
              <w:t>Year Ended December 31, 2016</w:t>
            </w:r>
          </w:p>
        </w:tc>
        <w:tc>
          <w:tcPr>
            <w:tcW w:w="0" w:type="dxa"/>
            <w:vAlign w:val="bottom"/>
          </w:tcPr>
          <w:p>
            <w:pPr>
              <w:spacing w:after="0"/>
              <w:rPr>
                <w:sz w:val="1"/>
                <w:szCs w:val="1"/>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As Reported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Adjustment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 Revised</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Reported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Adjustment</w:t>
            </w:r>
          </w:p>
        </w:tc>
        <w:tc>
          <w:tcPr>
            <w:tcW w:w="920" w:type="dxa"/>
            <w:vAlign w:val="bottom"/>
          </w:tcPr>
          <w:p>
            <w:pPr>
              <w:jc w:val="right"/>
              <w:ind w:right="32"/>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revenue</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16,270</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279,734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279,879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270,473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34,347</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13,437</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31,010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9,417</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attributable to Reading International,</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 common shareholders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30,999</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Balance Sheets: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Summary of Equity</w:t>
            </w:r>
          </w:p>
        </w:tc>
        <w:tc>
          <w:tcPr>
            <w:tcW w:w="12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Adjustment</w:t>
            </w:r>
          </w:p>
        </w:tc>
        <w:tc>
          <w:tcPr>
            <w:tcW w:w="1260" w:type="dxa"/>
            <w:vAlign w:val="bottom"/>
          </w:tcPr>
          <w:p>
            <w:pPr>
              <w:jc w:val="right"/>
              <w:ind w:right="213"/>
              <w:spacing w:after="0"/>
              <w:rPr>
                <w:sz w:val="20"/>
                <w:szCs w:val="20"/>
                <w:color w:val="auto"/>
              </w:rPr>
            </w:pPr>
            <w:r>
              <w:rPr>
                <w:rFonts w:ascii="Arial" w:cs="Arial" w:eastAsia="Arial" w:hAnsi="Arial"/>
                <w:sz w:val="14"/>
                <w:szCs w:val="14"/>
                <w:b w:val="1"/>
                <w:bCs w:val="1"/>
                <w:color w:val="auto"/>
              </w:rPr>
              <w:t>As Revised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at January 1, 2016</w:t>
            </w: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138,951</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9,403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 at December 31, 2016</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146,615</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 at January 1, 2017</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146,615</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30,999</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 at December 31, 2017</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181,241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4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90"/>
              <w:spacing w:after="0"/>
              <w:rPr>
                <w:sz w:val="20"/>
                <w:szCs w:val="20"/>
                <w:color w:val="auto"/>
              </w:rPr>
            </w:pPr>
            <w:r>
              <w:rPr>
                <w:rFonts w:ascii="Arial" w:cs="Arial" w:eastAsia="Arial" w:hAnsi="Arial"/>
                <w:sz w:val="18"/>
                <w:szCs w:val="18"/>
                <w:color w:val="auto"/>
              </w:rPr>
              <w:t>102 -</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436" w:right="8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As at December 31, 2017</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8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As Reported</w:t>
            </w:r>
          </w:p>
        </w:tc>
        <w:tc>
          <w:tcPr>
            <w:tcW w:w="140" w:type="dxa"/>
            <w:vAlign w:val="bottom"/>
          </w:tcPr>
          <w:p>
            <w:pPr>
              <w:spacing w:after="0"/>
              <w:rPr>
                <w:sz w:val="18"/>
                <w:szCs w:val="18"/>
                <w:color w:val="auto"/>
              </w:rPr>
            </w:pPr>
          </w:p>
        </w:tc>
        <w:tc>
          <w:tcPr>
            <w:tcW w:w="1280" w:type="dxa"/>
            <w:vAlign w:val="bottom"/>
            <w:gridSpan w:val="4"/>
          </w:tcPr>
          <w:p>
            <w:pPr>
              <w:ind w:left="26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8"/>
                <w:szCs w:val="18"/>
                <w:color w:val="auto"/>
              </w:rPr>
            </w:pPr>
          </w:p>
        </w:tc>
        <w:tc>
          <w:tcPr>
            <w:tcW w:w="12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24,908</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4,543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6"/>
              </w:rPr>
              <w:t>539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423,026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32,679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181,241</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6"/>
              </w:rPr>
              <w:t>377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181,618</w:t>
            </w:r>
          </w:p>
        </w:tc>
        <w:tc>
          <w:tcPr>
            <w:tcW w:w="0" w:type="dxa"/>
            <w:vAlign w:val="bottom"/>
          </w:tcPr>
          <w:p>
            <w:pPr>
              <w:spacing w:after="0"/>
              <w:rPr>
                <w:sz w:val="1"/>
                <w:szCs w:val="1"/>
                <w:color w:val="auto"/>
              </w:rPr>
            </w:pPr>
          </w:p>
        </w:tc>
      </w:tr>
      <w:tr>
        <w:trPr>
          <w:trHeight w:val="377"/>
        </w:trPr>
        <w:tc>
          <w:tcPr>
            <w:tcW w:w="418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399"/>
              <w:spacing w:after="0"/>
              <w:rPr>
                <w:sz w:val="20"/>
                <w:szCs w:val="20"/>
                <w:color w:val="auto"/>
              </w:rPr>
            </w:pPr>
            <w:r>
              <w:rPr>
                <w:rFonts w:ascii="Arial" w:cs="Arial" w:eastAsia="Arial" w:hAnsi="Arial"/>
                <w:sz w:val="14"/>
                <w:szCs w:val="14"/>
                <w:b w:val="1"/>
                <w:bCs w:val="1"/>
                <w:color w:val="auto"/>
              </w:rPr>
              <w:t>Year Ended December 31, 2017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center"/>
              <w:ind w:right="52"/>
              <w:spacing w:after="0"/>
              <w:rPr>
                <w:sz w:val="20"/>
                <w:szCs w:val="20"/>
                <w:color w:val="auto"/>
              </w:rPr>
            </w:pPr>
            <w:r>
              <w:rPr>
                <w:rFonts w:ascii="Arial" w:cs="Arial" w:eastAsia="Arial" w:hAnsi="Arial"/>
                <w:sz w:val="14"/>
                <w:szCs w:val="14"/>
                <w:b w:val="1"/>
                <w:bCs w:val="1"/>
                <w:color w:val="auto"/>
                <w:w w:val="92"/>
              </w:rPr>
              <w:t>Year Ended December 31, 2016</w:t>
            </w:r>
          </w:p>
        </w:tc>
        <w:tc>
          <w:tcPr>
            <w:tcW w:w="0" w:type="dxa"/>
            <w:vAlign w:val="bottom"/>
          </w:tcPr>
          <w:p>
            <w:pPr>
              <w:spacing w:after="0"/>
              <w:rPr>
                <w:sz w:val="1"/>
                <w:szCs w:val="1"/>
                <w:color w:val="auto"/>
              </w:rPr>
            </w:pPr>
          </w:p>
        </w:tc>
      </w:tr>
      <w:tr>
        <w:trPr>
          <w:trHeight w:val="210"/>
        </w:trPr>
        <w:tc>
          <w:tcPr>
            <w:tcW w:w="418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 Revised</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Adjustment</w:t>
            </w: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Change in net deferred tax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(5,060)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(393)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23,851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30,188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 during the fourth quarter of fiscal year 2016</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Prior to 2014, we recognized revenue for our gift cards and gift certificates issued in the U.S., which do not expire and have no dormancy fees, only when they were redeemed. At the end of the fourth quarter of 2016, we determined that we have sufficient historical information to recognize breakage income on them. Based on our review of our own historical redemption patterns using company-wide data accumulated over many years, we considered it preferable to estimate and record a certain percentage of our gift card and gift certificate sales as breakage income as it better reflects of our historical redemption patterns and our earnings process. Effectively, we concluded that a portion of these sales may have a remote likelihood of redemption based on our own historical redemption patterns and thus de-recognized the liability associated with them. The adoption of ASC 606 in 2018, as described in “Recently Adopted and Issued Accounting Pronouncements,” has superseded this change.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Out-of-Period Adjustment during the fourth quarter of fiscal year 2017:</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fourth quarter of fiscal year 2017, we recorded out-of-period adjustments of $544,000 to increase our occupancy cost expense in our consolidated statements of operations. The adjustments were made to correct our rent expense account under the straight line method of expense recognition. We determined that the adjustments did not have a material impact to our current or prior period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Out-of-Period Adjustment during the fourth quarter of fiscal year 2016</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fourth quarter of fiscal year 2016, we recorded out-of-period adjustments of $611,000 to decrease our income tax expenses in our consolidated statements of operations. The adjustments, which increased deferred tax asset by $611,000, were made to correct our income tax and related deferred tax asset accounts. We determined that the adjustments did not have a material impact to our current or prior period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3" w:right="8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auto"/>
        </w:rPr>
        <w:t>NOTE 3 – EARNINGS PER SHARE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sets forth the computation of basic and diluted EPS and a reconciliation of the weighted average number of common and common equivalent shares outstanding for the three years ended December 31, 2018:</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 except share and per share data)</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RDI common stockholders</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14,366</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31,101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9,678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of common stock – basic</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22,991,277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23,041,190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23,320,048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dilutive impact of stock-based awards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217,714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206,779</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201,109</w:t>
            </w:r>
          </w:p>
        </w:tc>
      </w:tr>
      <w:tr>
        <w:trPr>
          <w:trHeight w:val="217"/>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of common stock – diluted</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23,208,991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23,247,969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23,521,157</w:t>
            </w: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EPS attributable to RDI common stockholders</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Diluted EPS attributable to RDI common stockholders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0.62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0.41</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excluded from diluted EPS</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276,681</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REAL ESTATE TRANSACTIONS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Discussed below are the real estate transactions affecting the presentation in our consolidated balance sheets as of December 31, 2018 and 2017, and the profitability determination in our consolidated statements of income for the three years ended December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Landholding in Burwood, Australia </w:t>
      </w:r>
      <w:r>
        <w:rPr>
          <w:rFonts w:ascii="Arial" w:cs="Arial" w:eastAsia="Arial" w:hAnsi="Arial"/>
          <w:sz w:val="18"/>
          <w:szCs w:val="18"/>
          <w:i w:val="1"/>
          <w:iCs w:val="1"/>
          <w:color w:val="auto"/>
        </w:rPr>
        <w:t>(Initiated 2015, Settled 2017)</w:t>
      </w:r>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On May 12, 2014, we entered into a contract to sell our undeveloped 50.6 acre parcel in Burwood, Victoria, Australia, to Australand Holdings Limited (now known as Frasers Property Australia, “Frasers”) for a purchase price of $50.6 million (AU$65.0 million). We received $5.9 million (AU$6.5 million) on May 23, 2014, $16.6 million (AU$21.8 million) on June 19, 2017 and final settlement on December 14, 2017 of $28.1 million (AU$36.6 million).</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final sale price was adjusted by $56,000 (AU$75,000) due to an early settlement agreed between both parties. The final transaction gain is determined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7"/>
                <w:szCs w:val="17"/>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In AU$</w:t>
            </w:r>
          </w:p>
        </w:tc>
      </w:tr>
      <w:tr>
        <w:trPr>
          <w:trHeight w:val="216"/>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price</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64,925</w:t>
            </w:r>
          </w:p>
        </w:tc>
      </w:tr>
      <w:tr>
        <w:trPr>
          <w:trHeight w:val="216"/>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Property book value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(52,108)</w:t>
            </w:r>
          </w:p>
        </w:tc>
      </w:tr>
      <w:tr>
        <w:trPr>
          <w:trHeight w:val="21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transaction gain, gross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12,817</w:t>
            </w:r>
          </w:p>
        </w:tc>
      </w:tr>
      <w:tr>
        <w:trPr>
          <w:trHeight w:val="216"/>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Direct costs incurred</w:t>
            </w:r>
            <w:r>
              <w:rPr>
                <w:rFonts w:ascii="Arial" w:cs="Arial" w:eastAsia="Arial" w:hAnsi="Arial"/>
                <w:sz w:val="8"/>
                <w:szCs w:val="8"/>
                <w:color w:val="auto"/>
              </w:rPr>
              <w:t>(1)</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17"/>
        </w:trPr>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transaction gain,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12,378</w:t>
            </w:r>
          </w:p>
        </w:tc>
      </w:tr>
    </w:tbl>
    <w:p>
      <w:pPr>
        <w:spacing w:after="0" w:line="103" w:lineRule="exact"/>
        <w:rPr>
          <w:sz w:val="20"/>
          <w:szCs w:val="20"/>
          <w:color w:val="auto"/>
        </w:rPr>
      </w:pPr>
    </w:p>
    <w:p>
      <w:pPr>
        <w:ind w:left="640" w:hanging="320"/>
        <w:spacing w:after="0"/>
        <w:tabs>
          <w:tab w:leader="none" w:pos="6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commissions and legal expenses incurred in connection with this transaction.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Building &amp; Landholding in Auburn, Australia </w:t>
      </w:r>
      <w:r>
        <w:rPr>
          <w:rFonts w:ascii="Arial" w:cs="Arial" w:eastAsia="Arial" w:hAnsi="Arial"/>
          <w:sz w:val="18"/>
          <w:szCs w:val="18"/>
          <w:i w:val="1"/>
          <w:iCs w:val="1"/>
          <w:color w:val="auto"/>
        </w:rPr>
        <w:t>(Asset Acquisition, 2018)</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June 29, 2018, we purchased a property for $3.5 million (AU$4.5 million) in Auburn (Sydney area), Australia. Final settlement was made on October 11, 2018. The property which borders our Redyard ETC in Auburn on three sides and consists of an approximately 16,830 square foot building located on an estimated 20,870 square foot lot, is subject to a lease to Telstra Corporation through July 2022. This will allow us time to plan for its efficient integration into our ETC. Including this acquisition, our Redyard ETC represents approximately 519,992 square feet (48,309 square meters) of land, with approximately 1,620 feet (498 meters) of uninterrupted frontage to Parramatta Road, a major Sydney arterial motorway and approximately 147,000 square feet of net rentable area.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Landholding Acquisition in Townsville, Australia </w:t>
      </w:r>
      <w:r>
        <w:rPr>
          <w:rFonts w:ascii="Arial" w:cs="Arial" w:eastAsia="Arial" w:hAnsi="Arial"/>
          <w:sz w:val="18"/>
          <w:szCs w:val="18"/>
          <w:i w:val="1"/>
          <w:iCs w:val="1"/>
          <w:color w:val="auto"/>
        </w:rPr>
        <w:t>(Asset Acquisition, 2018)</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June 13, 2018, we acquired a 163,000 square foot (15,150 square meter) parcel of land at our Cannon Park ETC, in connection with the restructuring of our relationship with the adjacent landowner. Prior to the restructuring, this parcel was commonly owned by us and the adjoining landowner. In the restructuring, the adjoining landowner conveyed to us its interest in the parcel for AU$1. Incident to that transaction, we granted the adjoining landowner certain access rights with respect to that parcel.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auto"/>
        </w:rPr>
        <w:t>NOTE 5 – PROPERTIES AND EQUIPMENTS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Property,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associated with our operating activities is summarized as follows: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8"/>
                <w:szCs w:val="18"/>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16"/>
        </w:trPr>
        <w:tc>
          <w:tcPr>
            <w:tcW w:w="7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75,689</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76,457</w:t>
            </w:r>
          </w:p>
        </w:tc>
      </w:tr>
      <w:tr>
        <w:trPr>
          <w:trHeight w:val="216"/>
        </w:trPr>
        <w:tc>
          <w:tcPr>
            <w:tcW w:w="7500" w:type="dxa"/>
            <w:vAlign w:val="bottom"/>
            <w:gridSpan w:val="2"/>
          </w:tcPr>
          <w:p>
            <w:pPr>
              <w:ind w:left="100"/>
              <w:spacing w:after="0"/>
              <w:rPr>
                <w:sz w:val="20"/>
                <w:szCs w:val="20"/>
                <w:color w:val="auto"/>
              </w:rPr>
            </w:pPr>
            <w:r>
              <w:rPr>
                <w:rFonts w:ascii="Arial" w:cs="Arial" w:eastAsia="Arial" w:hAnsi="Arial"/>
                <w:sz w:val="18"/>
                <w:szCs w:val="18"/>
                <w:color w:val="auto"/>
              </w:rPr>
              <w:t>Building and improvements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149,734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153,232</w:t>
            </w:r>
          </w:p>
        </w:tc>
      </w:tr>
      <w:tr>
        <w:trPr>
          <w:trHeight w:val="216"/>
        </w:trPr>
        <w:tc>
          <w:tcPr>
            <w:tcW w:w="7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48,481</w:t>
            </w:r>
          </w:p>
        </w:tc>
      </w:tr>
      <w:tr>
        <w:trPr>
          <w:trHeight w:val="216"/>
        </w:trPr>
        <w:tc>
          <w:tcPr>
            <w:tcW w:w="7500" w:type="dxa"/>
            <w:vAlign w:val="bottom"/>
            <w:gridSpan w:val="2"/>
          </w:tcPr>
          <w:p>
            <w:pPr>
              <w:ind w:left="100"/>
              <w:spacing w:after="0"/>
              <w:rPr>
                <w:sz w:val="20"/>
                <w:szCs w:val="20"/>
                <w:color w:val="auto"/>
              </w:rPr>
            </w:pPr>
            <w:r>
              <w:rPr>
                <w:rFonts w:ascii="Arial" w:cs="Arial" w:eastAsia="Arial" w:hAnsi="Arial"/>
                <w:sz w:val="18"/>
                <w:szCs w:val="18"/>
                <w:color w:val="auto"/>
              </w:rPr>
              <w:t>Fixtures and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167,943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145,033</w:t>
            </w:r>
          </w:p>
        </w:tc>
      </w:tr>
      <w:tr>
        <w:trPr>
          <w:trHeight w:val="216"/>
        </w:trPr>
        <w:tc>
          <w:tcPr>
            <w:tcW w:w="7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r>
      <w:tr>
        <w:trPr>
          <w:trHeight w:val="210"/>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Total cost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452,143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449,203</w:t>
            </w:r>
          </w:p>
        </w:tc>
      </w:tr>
      <w:tr>
        <w:trPr>
          <w:trHeight w:val="216"/>
        </w:trPr>
        <w:tc>
          <w:tcPr>
            <w:tcW w:w="7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(194,476)</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(184,479)</w:t>
            </w:r>
          </w:p>
        </w:tc>
      </w:tr>
      <w:tr>
        <w:trPr>
          <w:trHeight w:val="217"/>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Operating Properties,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257,667</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264,724</w:t>
            </w: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Of our total operating properties as disclosed above, the gross and carrying amounts of the portion of our properties currently on lease or held for leasing as of December 31, 2018 and 2017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210"/>
        </w:trPr>
        <w:tc>
          <w:tcPr>
            <w:tcW w:w="7320" w:type="dxa"/>
            <w:vAlign w:val="bottom"/>
            <w:tcBorders>
              <w:bottom w:val="single" w:sz="8" w:color="auto"/>
            </w:tcBorders>
          </w:tcPr>
          <w:p>
            <w:pPr>
              <w:jc w:val="right"/>
              <w:ind w:right="5934"/>
              <w:spacing w:after="0"/>
              <w:rPr>
                <w:sz w:val="20"/>
                <w:szCs w:val="20"/>
                <w:color w:val="auto"/>
              </w:rPr>
            </w:pPr>
            <w:r>
              <w:rPr>
                <w:rFonts w:ascii="Arial" w:cs="Arial" w:eastAsia="Arial" w:hAnsi="Arial"/>
                <w:sz w:val="14"/>
                <w:szCs w:val="14"/>
                <w:i w:val="1"/>
                <w:iCs w:val="1"/>
                <w:color w:val="auto"/>
                <w:w w:val="93"/>
              </w:rPr>
              <w:t>(Dollars in thousands)</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Building and improvements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Gross balance</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67,887</w:t>
            </w:r>
          </w:p>
        </w:tc>
        <w:tc>
          <w:tcPr>
            <w:tcW w:w="140" w:type="dxa"/>
            <w:vAlign w:val="bottom"/>
          </w:tcPr>
          <w:p>
            <w:pPr>
              <w:spacing w:after="0"/>
              <w:rPr>
                <w:sz w:val="18"/>
                <w:szCs w:val="18"/>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71,749</w:t>
            </w: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r>
      <w:tr>
        <w:trPr>
          <w:trHeight w:val="217"/>
        </w:trPr>
        <w:tc>
          <w:tcPr>
            <w:tcW w:w="7320" w:type="dxa"/>
            <w:vAlign w:val="bottom"/>
          </w:tcPr>
          <w:p>
            <w:pPr>
              <w:jc w:val="right"/>
              <w:ind w:right="5934"/>
              <w:spacing w:after="0"/>
              <w:rPr>
                <w:sz w:val="20"/>
                <w:szCs w:val="20"/>
                <w:color w:val="auto"/>
              </w:rPr>
            </w:pPr>
            <w:r>
              <w:rPr>
                <w:rFonts w:ascii="Arial" w:cs="Arial" w:eastAsia="Arial" w:hAnsi="Arial"/>
                <w:sz w:val="18"/>
                <w:szCs w:val="18"/>
                <w:b w:val="1"/>
                <w:bCs w:val="1"/>
                <w:color w:val="auto"/>
                <w:w w:val="96"/>
              </w:rPr>
              <w:t>Net Book Value</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50,178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54,164</w:t>
            </w:r>
          </w:p>
        </w:tc>
      </w:tr>
    </w:tbl>
    <w:p>
      <w:pPr>
        <w:spacing w:after="0" w:line="202" w:lineRule="exact"/>
        <w:rPr>
          <w:sz w:val="20"/>
          <w:szCs w:val="20"/>
          <w:color w:val="auto"/>
        </w:rPr>
      </w:pPr>
    </w:p>
    <w:p>
      <w:pPr>
        <w:ind w:left="40" w:right="340" w:hanging="44"/>
        <w:spacing w:after="0" w:line="277" w:lineRule="auto"/>
        <w:rPr>
          <w:sz w:val="20"/>
          <w:szCs w:val="20"/>
          <w:color w:val="auto"/>
        </w:rPr>
      </w:pPr>
      <w:r>
        <w:rPr>
          <w:rFonts w:ascii="Arial" w:cs="Arial" w:eastAsia="Arial" w:hAnsi="Arial"/>
          <w:sz w:val="18"/>
          <w:szCs w:val="18"/>
          <w:color w:val="auto"/>
        </w:rPr>
        <w:t>Depreciation expense for operating property was $19.5 million, $14.0 million, and $15.1 million for the year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Development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development property is summarized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210"/>
        </w:trPr>
        <w:tc>
          <w:tcPr>
            <w:tcW w:w="73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Building</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Construction-in-progress (including capitalized interest)</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34,329</w:t>
            </w:r>
          </w:p>
        </w:tc>
      </w:tr>
      <w:tr>
        <w:trPr>
          <w:trHeight w:val="217"/>
        </w:trPr>
        <w:tc>
          <w:tcPr>
            <w:tcW w:w="7320" w:type="dxa"/>
            <w:vAlign w:val="bottom"/>
          </w:tcPr>
          <w:p>
            <w:pPr>
              <w:spacing w:after="0"/>
              <w:rPr>
                <w:sz w:val="20"/>
                <w:szCs w:val="20"/>
                <w:color w:val="auto"/>
              </w:rPr>
            </w:pPr>
            <w:r>
              <w:rPr>
                <w:rFonts w:ascii="Arial" w:cs="Arial" w:eastAsia="Arial" w:hAnsi="Arial"/>
                <w:sz w:val="18"/>
                <w:szCs w:val="18"/>
                <w:b w:val="1"/>
                <w:bCs w:val="1"/>
                <w:color w:val="auto"/>
              </w:rPr>
              <w:t>Investment and development property, net</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86,804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61,254</w:t>
            </w: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For the year ended December 31, 2018 and 2017, we capitalized interest charges of $3.3 million and $1.2 million pertaining to our on-going development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INVESTMENTS IN UNCONSOLIDATED JOINT VENTURES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investments in unconsolidated joint ventures are accounted for under the equity method of accounting. The table below summarizes our active investment holdings in two unconsolidated joint ventures: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Interest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Mt. Gravatt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20" w:type="dxa"/>
            <w:vAlign w:val="bottom"/>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Rialto Cinemas</w:t>
            </w:r>
          </w:p>
        </w:tc>
        <w:tc>
          <w:tcPr>
            <w:tcW w:w="24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r>
      <w:tr>
        <w:trPr>
          <w:trHeight w:val="230"/>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Joint Ventures</w:t>
            </w: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5,304</w:t>
            </w:r>
          </w:p>
        </w:tc>
        <w:tc>
          <w:tcPr>
            <w:tcW w:w="20" w:type="dxa"/>
            <w:vAlign w:val="bottom"/>
          </w:tcPr>
          <w:p>
            <w:pPr>
              <w:spacing w:after="0"/>
              <w:rPr>
                <w:sz w:val="19"/>
                <w:szCs w:val="19"/>
                <w:color w:val="auto"/>
              </w:rPr>
            </w:pPr>
          </w:p>
        </w:tc>
      </w:tr>
      <w:tr>
        <w:trPr>
          <w:trHeight w:val="635"/>
        </w:trPr>
        <w:tc>
          <w:tcPr>
            <w:tcW w:w="4880" w:type="dxa"/>
            <w:vAlign w:val="bottom"/>
          </w:tcPr>
          <w:p>
            <w:pPr>
              <w:ind w:left="47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105 -</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8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8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37" w:right="8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Our recorded share of equity earnings from our investments in unconsolidated joint ventures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16"/>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Mt. Gravatt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Rialto Cinemas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Rialto Distribution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equity earnings</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 Gravatt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own an undivided 33.3% interest in Mt. Gravatt, an unincorporated joint venture that owns and operates a sixteen-screen multiplex cinema in Australia.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Rialto Cinemas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own an undivided 50.0% interest in the assets and liabilities of the Rialto Entertainment joint venture that owns and operates two (2) movie theaters, with 13 screens in New Zealand.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Rialto Distribution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2017, this investment was transferred to our previous business partners. We paid an amount lower than the accrual we had taken for our debt obligation in the joint venture. Consequently, we recognized a gain of $15,000 (NZ$21,000) during the quarter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goodwill by business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Cinema</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Real Estate</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16"/>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19,828</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17"/>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19,445</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2018. The assessment results indicated that there is no impairment to our goodwill as of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intangible assets other than goodwill:</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Beneficial</w:t>
            </w:r>
          </w:p>
        </w:tc>
        <w:tc>
          <w:tcPr>
            <w:tcW w:w="26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Leases</w:t>
            </w:r>
          </w:p>
        </w:tc>
        <w:tc>
          <w:tcPr>
            <w:tcW w:w="26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center"/>
              <w:ind w:left="399"/>
              <w:spacing w:after="0"/>
              <w:rPr>
                <w:sz w:val="20"/>
                <w:szCs w:val="20"/>
                <w:color w:val="auto"/>
              </w:rPr>
            </w:pPr>
            <w:r>
              <w:rPr>
                <w:rFonts w:ascii="Arial" w:cs="Arial" w:eastAsia="Arial" w:hAnsi="Arial"/>
                <w:sz w:val="18"/>
                <w:szCs w:val="18"/>
                <w:color w:val="auto"/>
                <w:w w:val="88"/>
              </w:rPr>
              <w:t>7,254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(24,145)</w:t>
            </w:r>
          </w:p>
        </w:tc>
        <w:tc>
          <w:tcPr>
            <w:tcW w:w="260" w:type="dxa"/>
            <w:vAlign w:val="bottom"/>
          </w:tcPr>
          <w:p>
            <w:pPr>
              <w:spacing w:after="0"/>
              <w:rPr>
                <w:sz w:val="18"/>
                <w:szCs w:val="18"/>
                <w:color w:val="auto"/>
              </w:rPr>
            </w:pPr>
          </w:p>
        </w:tc>
        <w:tc>
          <w:tcPr>
            <w:tcW w:w="1040" w:type="dxa"/>
            <w:vAlign w:val="bottom"/>
            <w:gridSpan w:val="2"/>
          </w:tcPr>
          <w:p>
            <w:pPr>
              <w:jc w:val="center"/>
              <w:ind w:left="279"/>
              <w:spacing w:after="0"/>
              <w:rPr>
                <w:sz w:val="20"/>
                <w:szCs w:val="20"/>
                <w:color w:val="auto"/>
              </w:rPr>
            </w:pPr>
            <w:r>
              <w:rPr>
                <w:rFonts w:ascii="Arial" w:cs="Arial" w:eastAsia="Arial" w:hAnsi="Arial"/>
                <w:sz w:val="18"/>
                <w:szCs w:val="18"/>
                <w:color w:val="auto"/>
                <w:w w:val="91"/>
              </w:rPr>
              <w:t>(5,207)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(1,076)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(30,428)</w:t>
            </w:r>
          </w:p>
        </w:tc>
        <w:tc>
          <w:tcPr>
            <w:tcW w:w="0" w:type="dxa"/>
            <w:vAlign w:val="bottom"/>
          </w:tcPr>
          <w:p>
            <w:pPr>
              <w:spacing w:after="0"/>
              <w:rPr>
                <w:sz w:val="1"/>
                <w:szCs w:val="1"/>
                <w:color w:val="auto"/>
              </w:rPr>
            </w:pPr>
          </w:p>
        </w:tc>
      </w:tr>
      <w:tr>
        <w:trPr>
          <w:trHeight w:val="217"/>
        </w:trPr>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intangible assets other than goodwill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center"/>
              <w:ind w:left="399"/>
              <w:spacing w:after="0"/>
              <w:rPr>
                <w:sz w:val="20"/>
                <w:szCs w:val="20"/>
                <w:color w:val="auto"/>
              </w:rPr>
            </w:pPr>
            <w:r>
              <w:rPr>
                <w:rFonts w:ascii="Arial" w:cs="Arial" w:eastAsia="Arial" w:hAnsi="Arial"/>
                <w:sz w:val="18"/>
                <w:szCs w:val="18"/>
                <w:b w:val="1"/>
                <w:bCs w:val="1"/>
                <w:color w:val="auto"/>
                <w:w w:val="88"/>
              </w:rPr>
              <w:t>2,047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7,369</w:t>
            </w:r>
          </w:p>
        </w:tc>
        <w:tc>
          <w:tcPr>
            <w:tcW w:w="0" w:type="dxa"/>
            <w:vAlign w:val="bottom"/>
          </w:tcPr>
          <w:p>
            <w:pPr>
              <w:spacing w:after="0"/>
              <w:rPr>
                <w:sz w:val="1"/>
                <w:szCs w:val="1"/>
                <w:color w:val="auto"/>
              </w:rPr>
            </w:pPr>
          </w:p>
        </w:tc>
      </w:tr>
      <w:tr>
        <w:trPr>
          <w:trHeight w:val="480"/>
        </w:trPr>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Beneficial</w:t>
            </w:r>
          </w:p>
        </w:tc>
        <w:tc>
          <w:tcPr>
            <w:tcW w:w="26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Leases</w:t>
            </w:r>
          </w:p>
        </w:tc>
        <w:tc>
          <w:tcPr>
            <w:tcW w:w="26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center"/>
              <w:ind w:left="399"/>
              <w:spacing w:after="0"/>
              <w:rPr>
                <w:sz w:val="20"/>
                <w:szCs w:val="20"/>
                <w:color w:val="auto"/>
              </w:rPr>
            </w:pPr>
            <w:r>
              <w:rPr>
                <w:rFonts w:ascii="Arial" w:cs="Arial" w:eastAsia="Arial" w:hAnsi="Arial"/>
                <w:sz w:val="18"/>
                <w:szCs w:val="18"/>
                <w:color w:val="auto"/>
                <w:w w:val="88"/>
              </w:rPr>
              <w:t>7,254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37,253</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(23,292)</w:t>
            </w:r>
          </w:p>
        </w:tc>
        <w:tc>
          <w:tcPr>
            <w:tcW w:w="260" w:type="dxa"/>
            <w:vAlign w:val="bottom"/>
          </w:tcPr>
          <w:p>
            <w:pPr>
              <w:spacing w:after="0"/>
              <w:rPr>
                <w:sz w:val="18"/>
                <w:szCs w:val="18"/>
                <w:color w:val="auto"/>
              </w:rPr>
            </w:pPr>
          </w:p>
        </w:tc>
        <w:tc>
          <w:tcPr>
            <w:tcW w:w="1040" w:type="dxa"/>
            <w:vAlign w:val="bottom"/>
            <w:gridSpan w:val="2"/>
          </w:tcPr>
          <w:p>
            <w:pPr>
              <w:jc w:val="center"/>
              <w:ind w:left="279"/>
              <w:spacing w:after="0"/>
              <w:rPr>
                <w:sz w:val="20"/>
                <w:szCs w:val="20"/>
                <w:color w:val="auto"/>
              </w:rPr>
            </w:pPr>
            <w:r>
              <w:rPr>
                <w:rFonts w:ascii="Arial" w:cs="Arial" w:eastAsia="Arial" w:hAnsi="Arial"/>
                <w:sz w:val="18"/>
                <w:szCs w:val="18"/>
                <w:color w:val="auto"/>
                <w:w w:val="91"/>
              </w:rPr>
              <w:t>(4,936)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(28,711)</w:t>
            </w:r>
          </w:p>
        </w:tc>
        <w:tc>
          <w:tcPr>
            <w:tcW w:w="0" w:type="dxa"/>
            <w:vAlign w:val="bottom"/>
          </w:tcPr>
          <w:p>
            <w:pPr>
              <w:spacing w:after="0"/>
              <w:rPr>
                <w:sz w:val="1"/>
                <w:szCs w:val="1"/>
                <w:color w:val="auto"/>
              </w:rPr>
            </w:pPr>
          </w:p>
        </w:tc>
      </w:tr>
      <w:tr>
        <w:trPr>
          <w:trHeight w:val="217"/>
        </w:trPr>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intangible assets other than goodwill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center"/>
              <w:ind w:left="399"/>
              <w:spacing w:after="0"/>
              <w:rPr>
                <w:sz w:val="20"/>
                <w:szCs w:val="20"/>
                <w:color w:val="auto"/>
              </w:rPr>
            </w:pPr>
            <w:r>
              <w:rPr>
                <w:rFonts w:ascii="Arial" w:cs="Arial" w:eastAsia="Arial" w:hAnsi="Arial"/>
                <w:sz w:val="18"/>
                <w:szCs w:val="18"/>
                <w:b w:val="1"/>
                <w:bCs w:val="1"/>
                <w:color w:val="auto"/>
                <w:w w:val="88"/>
              </w:rPr>
              <w:t>2,318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amortize our beneficial leases over the lease period, the longest of which is approximately 30 years; our trade name using an accelerated amortization method over its estimated useful life of 30 years; and other intangible assets over their estimated useful life of up to 30 years (except for transferrable liquor licenses, which are indefinite-lived assets, with a balance of $496,000 and $421,000 as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07" w:name="page108"/>
    <w:bookmarkEnd w:id="107"/>
    <w:p>
      <w:pPr>
        <w:ind w:right="280"/>
        <w:spacing w:after="0" w:line="277" w:lineRule="auto"/>
        <w:rPr>
          <w:sz w:val="20"/>
          <w:szCs w:val="20"/>
          <w:color w:val="auto"/>
        </w:rPr>
      </w:pPr>
      <w:r>
        <w:rPr>
          <w:rFonts w:ascii="Arial" w:cs="Arial" w:eastAsia="Arial" w:hAnsi="Arial"/>
          <w:sz w:val="18"/>
          <w:szCs w:val="18"/>
          <w:color w:val="auto"/>
        </w:rPr>
        <w:t>of December 31, 2018 and 2017). For the years ended December 31, 2018, 2017, and 2016, our amortization expense was $1.9 million, $1.7 million, and $1.9 million, respectively.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2018, the estimated amortization expense for our amortizable intangibles, in the five succeeding years and thereafter is as follows: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Estimated</w:t>
            </w:r>
          </w:p>
        </w:tc>
      </w:tr>
      <w:tr>
        <w:trPr>
          <w:trHeight w:val="149"/>
        </w:trPr>
        <w:tc>
          <w:tcPr>
            <w:tcW w:w="34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6"/>
              </w:rPr>
              <w:t>Future</w:t>
            </w:r>
          </w:p>
        </w:tc>
      </w:tr>
      <w:tr>
        <w:trPr>
          <w:trHeight w:val="149"/>
        </w:trPr>
        <w:tc>
          <w:tcPr>
            <w:tcW w:w="34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5"/>
              </w:rPr>
              <w:t>Amortization</w:t>
            </w:r>
          </w:p>
        </w:tc>
      </w:tr>
      <w:tr>
        <w:trPr>
          <w:trHeight w:val="178"/>
        </w:trPr>
        <w:tc>
          <w:tcPr>
            <w:tcW w:w="750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Expense</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2020</w:t>
            </w: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2022</w:t>
            </w: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16"/>
        </w:trPr>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r>
      <w:tr>
        <w:trPr>
          <w:trHeight w:val="230"/>
        </w:trPr>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future amortization expense</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6,873</w:t>
            </w:r>
          </w:p>
        </w:tc>
      </w:tr>
      <w:tr>
        <w:trPr>
          <w:trHeight w:val="379"/>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NOTE 8 – PREPAID AND OTHER ASSETS</w:t>
            </w:r>
          </w:p>
        </w:tc>
        <w:tc>
          <w:tcPr>
            <w:tcW w:w="40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3"/>
        </w:trPr>
        <w:tc>
          <w:tcPr>
            <w:tcW w:w="7500" w:type="dxa"/>
            <w:vAlign w:val="bottom"/>
            <w:gridSpan w:val="3"/>
          </w:tcPr>
          <w:p>
            <w:pPr>
              <w:spacing w:after="0"/>
              <w:rPr>
                <w:sz w:val="20"/>
                <w:szCs w:val="20"/>
                <w:color w:val="auto"/>
              </w:rPr>
            </w:pPr>
            <w:r>
              <w:rPr>
                <w:rFonts w:ascii="Arial" w:cs="Arial" w:eastAsia="Arial" w:hAnsi="Arial"/>
                <w:sz w:val="18"/>
                <w:szCs w:val="18"/>
                <w:color w:val="auto"/>
              </w:rPr>
              <w:t>Prepaid and other assets are summarized as follows: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6"/>
        </w:trPr>
        <w:tc>
          <w:tcPr>
            <w:tcW w:w="34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50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5"/>
                <w:szCs w:val="15"/>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2017</w:t>
            </w:r>
          </w:p>
        </w:tc>
      </w:tr>
      <w:tr>
        <w:trPr>
          <w:trHeight w:val="216"/>
        </w:trPr>
        <w:tc>
          <w:tcPr>
            <w:tcW w:w="7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Prepaid and other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7500" w:type="dxa"/>
            <w:vAlign w:val="bottom"/>
            <w:gridSpan w:val="3"/>
          </w:tcPr>
          <w:p>
            <w:pPr>
              <w:ind w:left="100"/>
              <w:spacing w:after="0"/>
              <w:rPr>
                <w:sz w:val="20"/>
                <w:szCs w:val="20"/>
                <w:color w:val="auto"/>
              </w:rPr>
            </w:pPr>
            <w:r>
              <w:rPr>
                <w:rFonts w:ascii="Arial" w:cs="Arial" w:eastAsia="Arial" w:hAnsi="Arial"/>
                <w:sz w:val="18"/>
                <w:szCs w:val="18"/>
                <w:color w:val="auto"/>
              </w:rPr>
              <w:t>Prepaid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Prepaid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0"/>
        </w:trPr>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Prepaid rent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30"/>
        </w:trPr>
        <w:tc>
          <w:tcPr>
            <w:tcW w:w="7500" w:type="dxa"/>
            <w:vAlign w:val="bottom"/>
            <w:gridSpan w:val="3"/>
          </w:tcPr>
          <w:p>
            <w:pPr>
              <w:ind w:left="10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5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Investments in marketable securities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5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prepaid and other current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7,667</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5,325</w:t>
            </w:r>
          </w:p>
        </w:tc>
      </w:tr>
      <w:tr>
        <w:trPr>
          <w:trHeight w:val="203"/>
        </w:trPr>
        <w:tc>
          <w:tcPr>
            <w:tcW w:w="750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Other non-current assets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non-cinema and non-rental real estate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30"/>
        </w:trPr>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Investment in Reading International Trust I</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30"/>
        </w:trPr>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Straight-line rent asset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r>
      <w:tr>
        <w:trPr>
          <w:trHeight w:val="230"/>
        </w:trPr>
        <w:tc>
          <w:tcPr>
            <w:tcW w:w="75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Long-term deposits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75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non-current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5,082</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INCOME TAXES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December 22, 2017, the U.S. Tax Cuts and Jobs Act of 2017 (the “Tax Act”) was signed into law. The Tax Act significantly changed the U.S. corporate income tax law by lowering the statutory corporate tax rate from 35% to 21%, imposed a one-time mandatory repatriation tax on deferred earnings of foreign subsidiaries, and changed how foreign earnings are subject to U.S. tax. As the result of the Tax Act and under the guidance of the U.S. Securities and Exchange Commission Staff Accounting Bulletin No. 118, we recorded a provisional tax expense of approximately $13.0 million for the impact of the Tax Act in the fourth quarter of 2017. During the fourth quarter of 2018, upon finalizing the analysis of the impact from the Tax Act, we recorded a tax benefit of $2.3 million as an adjustment to the provisional estimate, for a net tax impact of $10.7 million. The $2.3 million is comprised of an adjustment of $1.2 million to the impact of the one-time mandatory repatriation tax on previously undistributed earnings of our foreign subsidiaries and $1.1 million from the re-measurement of federal net deferred tax liabilities resulting from the reduction in the U.S. statutory corporate tax rate.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Income before income taxes includes the following: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23"/>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0"/>
              </w:rPr>
              <w:t>19,983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14,717</w:t>
            </w:r>
          </w:p>
        </w:tc>
      </w:tr>
      <w:tr>
        <w:trPr>
          <w:trHeight w:val="184"/>
        </w:trPr>
        <w:tc>
          <w:tcPr>
            <w:tcW w:w="59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6"/>
              </w:rPr>
              <w:t>Income before income taxes and equity earnings of unconsolidated joint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ventures</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0"/>
              </w:rPr>
              <w:t>16,944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33,677</w:t>
            </w: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Equity earnings of unconsolidated joint ventures</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w w:val="90"/>
              </w:rPr>
              <w:t>17,918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34,492</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13,830</w:t>
            </w:r>
          </w:p>
        </w:tc>
      </w:tr>
      <w:tr>
        <w:trPr>
          <w:trHeight w:val="419"/>
        </w:trPr>
        <w:tc>
          <w:tcPr>
            <w:tcW w:w="5980" w:type="dxa"/>
            <w:vAlign w:val="bottom"/>
          </w:tcPr>
          <w:p>
            <w:pPr>
              <w:spacing w:after="0"/>
              <w:rPr>
                <w:sz w:val="20"/>
                <w:szCs w:val="20"/>
                <w:color w:val="auto"/>
              </w:rPr>
            </w:pPr>
            <w:r>
              <w:rPr>
                <w:rFonts w:ascii="Arial" w:cs="Arial" w:eastAsia="Arial" w:hAnsi="Arial"/>
                <w:sz w:val="18"/>
                <w:szCs w:val="18"/>
                <w:color w:val="auto"/>
              </w:rPr>
              <w:t>Significant components of the provision for income taxes are as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0"/>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income tax expense (benefit)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8"/>
                <w:szCs w:val="8"/>
                <w:color w:val="auto"/>
              </w:rPr>
              <w:t>(1)</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(7,846)</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2,982</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16"/>
        </w:trPr>
        <w:tc>
          <w:tcPr>
            <w:tcW w:w="59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w:t>
            </w:r>
          </w:p>
        </w:tc>
      </w:tr>
      <w:tr>
        <w:trPr>
          <w:trHeight w:val="21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Deferred income tax expense (benefit)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1"/>
              </w:rPr>
              <w:t>(3,869)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(2,351)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1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7"/>
              </w:rPr>
              <w:t>(3,417)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r>
      <w:tr>
        <w:trPr>
          <w:trHeight w:val="21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4,138</w:t>
            </w:r>
          </w:p>
        </w:tc>
      </w:tr>
    </w:tbl>
    <w:p>
      <w:pPr>
        <w:spacing w:after="0" w:line="197" w:lineRule="exact"/>
        <w:rPr>
          <w:sz w:val="20"/>
          <w:szCs w:val="20"/>
          <w:color w:val="auto"/>
        </w:rPr>
      </w:pPr>
    </w:p>
    <w:p>
      <w:pPr>
        <w:ind w:left="640" w:hanging="320"/>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2017 amount includes a federal tax benefit of $7,785 related to changes in unrecognized tax benefits and related interest.</w:t>
      </w:r>
    </w:p>
    <w:p>
      <w:pPr>
        <w:spacing w:after="0" w:line="20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183"/>
        </w:trPr>
        <w:tc>
          <w:tcPr>
            <w:tcW w:w="7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734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8,199</w:t>
            </w:r>
          </w:p>
        </w:tc>
        <w:tc>
          <w:tcPr>
            <w:tcW w:w="80" w:type="dxa"/>
            <w:vAlign w:val="bottom"/>
          </w:tcPr>
          <w:p>
            <w:pPr>
              <w:spacing w:after="0"/>
              <w:rPr>
                <w:sz w:val="19"/>
                <w:szCs w:val="19"/>
                <w:color w:val="auto"/>
              </w:rPr>
            </w:pP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8,579</w:t>
            </w:r>
          </w:p>
        </w:tc>
      </w:tr>
      <w:tr>
        <w:trPr>
          <w:trHeight w:val="230"/>
        </w:trPr>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Alternative minimum tax credit carry-forwards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30"/>
        </w:trPr>
        <w:tc>
          <w:tcPr>
            <w:tcW w:w="7340" w:type="dxa"/>
            <w:vAlign w:val="bottom"/>
          </w:tcPr>
          <w:p>
            <w:pPr>
              <w:ind w:left="100"/>
              <w:spacing w:after="0"/>
              <w:rPr>
                <w:sz w:val="20"/>
                <w:szCs w:val="20"/>
                <w:color w:val="auto"/>
              </w:rPr>
            </w:pPr>
            <w:r>
              <w:rPr>
                <w:rFonts w:ascii="Arial" w:cs="Arial" w:eastAsia="Arial" w:hAnsi="Arial"/>
                <w:sz w:val="18"/>
                <w:szCs w:val="18"/>
                <w:color w:val="auto"/>
              </w:rPr>
              <w:t>Foreign Tax Credit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Compensation and employee benefits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r>
      <w:tr>
        <w:trPr>
          <w:trHeight w:val="230"/>
        </w:trPr>
        <w:tc>
          <w:tcPr>
            <w:tcW w:w="734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r>
      <w:tr>
        <w:trPr>
          <w:trHeight w:val="230"/>
        </w:trPr>
        <w:tc>
          <w:tcPr>
            <w:tcW w:w="7340" w:type="dxa"/>
            <w:vAlign w:val="bottom"/>
          </w:tcPr>
          <w:p>
            <w:pPr>
              <w:ind w:left="100"/>
              <w:spacing w:after="0"/>
              <w:rPr>
                <w:sz w:val="20"/>
                <w:szCs w:val="20"/>
                <w:color w:val="auto"/>
              </w:rPr>
            </w:pPr>
            <w:r>
              <w:rPr>
                <w:rFonts w:ascii="Arial" w:cs="Arial" w:eastAsia="Arial" w:hAnsi="Arial"/>
                <w:sz w:val="18"/>
                <w:szCs w:val="18"/>
                <w:color w:val="auto"/>
              </w:rPr>
              <w:t>Accrued taxes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2,440</w:t>
            </w:r>
          </w:p>
        </w:tc>
      </w:tr>
      <w:tr>
        <w:trPr>
          <w:trHeight w:val="230"/>
        </w:trPr>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 and property</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r>
      <w:tr>
        <w:trPr>
          <w:trHeight w:val="230"/>
        </w:trPr>
        <w:tc>
          <w:tcPr>
            <w:tcW w:w="7340" w:type="dxa"/>
            <w:vAlign w:val="bottom"/>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33,184</w:t>
            </w:r>
          </w:p>
        </w:tc>
      </w:tr>
      <w:tr>
        <w:trPr>
          <w:trHeight w:val="210"/>
        </w:trPr>
        <w:tc>
          <w:tcPr>
            <w:tcW w:w="7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30"/>
        </w:trPr>
        <w:tc>
          <w:tcPr>
            <w:tcW w:w="7340" w:type="dxa"/>
            <w:vAlign w:val="bottom"/>
          </w:tcPr>
          <w:p>
            <w:pPr>
              <w:ind w:left="100"/>
              <w:spacing w:after="0"/>
              <w:rPr>
                <w:sz w:val="20"/>
                <w:szCs w:val="20"/>
                <w:color w:val="auto"/>
              </w:rPr>
            </w:pPr>
            <w:r>
              <w:rPr>
                <w:rFonts w:ascii="Arial" w:cs="Arial" w:eastAsia="Arial" w:hAnsi="Arial"/>
                <w:sz w:val="18"/>
                <w:szCs w:val="18"/>
                <w:color w:val="auto"/>
              </w:rPr>
              <w:t>Cancellation of indebtedness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before valuation allowance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31,616</w:t>
            </w:r>
          </w:p>
        </w:tc>
      </w:tr>
      <w:tr>
        <w:trPr>
          <w:trHeight w:val="230"/>
        </w:trPr>
        <w:tc>
          <w:tcPr>
            <w:tcW w:w="734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(6,720)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(6,870)</w:t>
            </w:r>
          </w:p>
        </w:tc>
      </w:tr>
      <w:tr>
        <w:trPr>
          <w:trHeight w:val="217"/>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24,746</w:t>
            </w:r>
          </w:p>
        </w:tc>
      </w:tr>
    </w:tbl>
    <w:p>
      <w:pPr>
        <w:spacing w:after="0" w:line="13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such determination, we considered all available positive and negative evidence, including scheduled reversals of deferred tax liabilities, projected future taxable income, tax planning strategies and recent financial performance. We believe the evidence connected with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09" w:name="page110"/>
    <w:bookmarkEnd w:id="109"/>
    <w:p>
      <w:pPr>
        <w:ind w:right="300"/>
        <w:spacing w:after="0" w:line="277" w:lineRule="auto"/>
        <w:rPr>
          <w:sz w:val="20"/>
          <w:szCs w:val="20"/>
          <w:color w:val="auto"/>
        </w:rPr>
      </w:pPr>
      <w:r>
        <w:rPr>
          <w:rFonts w:ascii="Arial" w:cs="Arial" w:eastAsia="Arial" w:hAnsi="Arial"/>
          <w:sz w:val="18"/>
          <w:szCs w:val="18"/>
          <w:color w:val="auto"/>
        </w:rPr>
        <w:t>New Zealand loss carryforwards and certain US state loss carryforwards do not support a conclusion of being more-likely-than-not to be realized. Accordingly as of December 31, 2018, we recorded a valuation allowance of $6.7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the following carry-forwards:</w:t>
      </w:r>
    </w:p>
    <w:p>
      <w:pPr>
        <w:spacing w:after="0" w:line="104" w:lineRule="exact"/>
        <w:rPr>
          <w:sz w:val="20"/>
          <w:szCs w:val="20"/>
          <w:color w:val="auto"/>
        </w:rPr>
      </w:pPr>
    </w:p>
    <w:p>
      <w:pPr>
        <w:ind w:left="640" w:right="480" w:hanging="320"/>
        <w:spacing w:after="0" w:line="198" w:lineRule="auto"/>
        <w:tabs>
          <w:tab w:leader="none" w:pos="64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approximately $2.2 million in U.S. alternative minimum tax credit carry-forwards with no expiration date and $1.1 million is refundable beginning tax year 2018;</w:t>
      </w:r>
    </w:p>
    <w:p>
      <w:pPr>
        <w:ind w:left="640" w:hanging="320"/>
        <w:spacing w:after="0" w:line="223" w:lineRule="auto"/>
        <w:tabs>
          <w:tab w:leader="none" w:pos="64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approximately $11.7 million in Federal loss carryforwards expiring in 2037;</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87"/>
        </w:numPr>
        <w:rPr>
          <w:rFonts w:ascii="Arial" w:cs="Arial" w:eastAsia="Arial" w:hAnsi="Arial"/>
          <w:sz w:val="24"/>
          <w:szCs w:val="24"/>
          <w:color w:val="auto"/>
          <w:vertAlign w:val="superscript"/>
        </w:rPr>
      </w:pPr>
      <w:r>
        <w:rPr>
          <w:rFonts w:ascii="Arial" w:cs="Arial" w:eastAsia="Arial" w:hAnsi="Arial"/>
          <w:sz w:val="15"/>
          <w:szCs w:val="15"/>
          <w:color w:val="auto"/>
        </w:rPr>
        <w:t>approximately $4.9 million in California loss carryforwards expiring in 2037;</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87"/>
        </w:numPr>
        <w:rPr>
          <w:rFonts w:ascii="Arial" w:cs="Arial" w:eastAsia="Arial" w:hAnsi="Arial"/>
          <w:sz w:val="24"/>
          <w:szCs w:val="24"/>
          <w:color w:val="auto"/>
          <w:vertAlign w:val="superscript"/>
        </w:rPr>
      </w:pPr>
      <w:r>
        <w:rPr>
          <w:rFonts w:ascii="Arial" w:cs="Arial" w:eastAsia="Arial" w:hAnsi="Arial"/>
          <w:sz w:val="15"/>
          <w:szCs w:val="15"/>
          <w:color w:val="auto"/>
        </w:rPr>
        <w:t>approximately $1.8 million in Hawaii loss carryforwards expiring in 2037;</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87"/>
        </w:numPr>
        <w:rPr>
          <w:rFonts w:ascii="Arial" w:cs="Arial" w:eastAsia="Arial" w:hAnsi="Arial"/>
          <w:sz w:val="24"/>
          <w:szCs w:val="24"/>
          <w:color w:val="auto"/>
          <w:vertAlign w:val="superscript"/>
        </w:rPr>
      </w:pPr>
      <w:r>
        <w:rPr>
          <w:rFonts w:ascii="Arial" w:cs="Arial" w:eastAsia="Arial" w:hAnsi="Arial"/>
          <w:sz w:val="15"/>
          <w:szCs w:val="15"/>
          <w:color w:val="auto"/>
        </w:rPr>
        <w:t>approximately $43.3 million in New York state loss carryforwards expiring in 2034;</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87"/>
        </w:numPr>
        <w:rPr>
          <w:rFonts w:ascii="Arial" w:cs="Arial" w:eastAsia="Arial" w:hAnsi="Arial"/>
          <w:sz w:val="24"/>
          <w:szCs w:val="24"/>
          <w:color w:val="auto"/>
          <w:vertAlign w:val="superscript"/>
        </w:rPr>
      </w:pPr>
      <w:r>
        <w:rPr>
          <w:rFonts w:ascii="Arial" w:cs="Arial" w:eastAsia="Arial" w:hAnsi="Arial"/>
          <w:sz w:val="15"/>
          <w:szCs w:val="15"/>
          <w:color w:val="auto"/>
        </w:rPr>
        <w:t>approximately $43.3 million in New York city loss carryforwards expiring in 2034; and,</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87"/>
        </w:numPr>
        <w:rPr>
          <w:rFonts w:ascii="Arial" w:cs="Arial" w:eastAsia="Arial" w:hAnsi="Arial"/>
          <w:sz w:val="24"/>
          <w:szCs w:val="24"/>
          <w:color w:val="auto"/>
          <w:vertAlign w:val="superscript"/>
        </w:rPr>
      </w:pPr>
      <w:r>
        <w:rPr>
          <w:rFonts w:ascii="Arial" w:cs="Arial" w:eastAsia="Arial" w:hAnsi="Arial"/>
          <w:sz w:val="15"/>
          <w:szCs w:val="15"/>
          <w:color w:val="auto"/>
        </w:rPr>
        <w:t>approximately $8.1 million in available New Zealand loss carry-forwards with no expiration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expect no substantial limitations on the future use of U.S. or foreign loss carry-forwards.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provision for income taxes is different from amounts computed by applying U.S. statutory rates to consolidated losses before taxes. The significant reason for these differences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Increase (decrease) in tax expense resulting from:</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tax rate differential</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and local tax provision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Prior year adjustments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Unrecognized tax benefits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Advance to Overseas Subsidiary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(7,620)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Impact of Tax Act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Non-taxable insurance proceeds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GILTI</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Foreign Tax Credit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7"/>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income tax expense</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4,138</w:t>
            </w:r>
          </w:p>
        </w:tc>
      </w:tr>
    </w:tbl>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undistributed earnings of the Company's Australian subsidiaries are considered to be indefinitely reinvested. Accordingly, no provision for state income taxes has been provided on such undistributed earnings. Due to the 2017 enactment of the Tax Act, future repatriations of foreign earnings will generally not be subject to U.S. federal taxation but may incur minimal state taxes.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the activity related to unrecognized tax benefits, excluding interest and penalties,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 gross beginning balance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increase (decrease) - prior year tax positions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(7,905)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increase (decrease) - current period tax positions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 gross ending balance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11,480</w:t>
            </w: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December 31, 2018 and 2017, if recognized, $4.7 million and $3.1 million respectively, of the unrecognized tax benefits would impact the Company’s effective tax rate.</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record interest and penalties related to income tax matters as part of income tax expense. During the year ended December 31, 2017, we recorded an increase to tax interest of $203,000, resulting in a total $9.1 million in interest. During the year ended December 31, 2018, we recorded an increase to tax interest of $430,000, resulting in a total $9.5 million in interest.</w:t>
      </w:r>
    </w:p>
    <w:p>
      <w:pPr>
        <w:spacing w:after="0" w:line="16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10" w:name="page111"/>
    <w:bookmarkEnd w:id="110"/>
    <w:p>
      <w:pPr>
        <w:ind w:right="180"/>
        <w:spacing w:after="0" w:line="308" w:lineRule="auto"/>
        <w:rPr>
          <w:sz w:val="20"/>
          <w:szCs w:val="20"/>
          <w:color w:val="auto"/>
        </w:rPr>
      </w:pPr>
      <w:r>
        <w:rPr>
          <w:rFonts w:ascii="Arial" w:cs="Arial" w:eastAsia="Arial" w:hAnsi="Arial"/>
          <w:sz w:val="17"/>
          <w:szCs w:val="17"/>
          <w:color w:val="auto"/>
        </w:rPr>
        <w:t>positions will increase within a range of $500,000 to $1.5 million. The reasons for such change include but are not limited to tax positions expected to be taken during 2018, revaluation of current uncertain tax positions, and expiring statutes of limitations.</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Generally, changes to our federal and most state income tax returns for the calendar year 2014 and earlier are barred by statutes of limitations. Certain U.S. subsidiaries filed federal and state tax returns for periods before these entities became consolidated with us. These subsidiaries were examined by IRS for the years 1996 to 1999 and significant tax deficiencies were assessed for those years. Those deficiencies have been settled, as discussed in “</w:t>
      </w:r>
      <w:r>
        <w:rPr>
          <w:rFonts w:ascii="Arial" w:cs="Arial" w:eastAsia="Arial" w:hAnsi="Arial"/>
          <w:sz w:val="17"/>
          <w:szCs w:val="17"/>
          <w:i w:val="1"/>
          <w:iCs w:val="1"/>
          <w:color w:val="auto"/>
        </w:rPr>
        <w:t>Tax Audit/Litigation</w:t>
      </w:r>
      <w:r>
        <w:rPr>
          <w:rFonts w:ascii="Arial" w:cs="Arial" w:eastAsia="Arial" w:hAnsi="Arial"/>
          <w:sz w:val="17"/>
          <w:szCs w:val="17"/>
          <w:color w:val="auto"/>
        </w:rPr>
        <w:t xml:space="preserve">,” Note 12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December 31, 2018, federal income tax returns for 2015 and after are open for examination, with the 2015 return being currently under examination. California worldwide unitary income tax returns for 2014 and after are open for examination, but an examination of 2013 through 2015 has been completed. Income tax returns filed in Puerto Rico for 2014 and after are open for examination. Australia income tax returns for calendar years 2013 and after are open for examination. A review of returns for 2014 and 2015 has been completed with final terms under negotiation. Generally, New Zealand returns for 2015 and after remain open for examination. An examination of New Zealand income tax returns for calendar year 2009 and after have been completed with one issue remaining unsettled, for which a litigation claim has been filed.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BORROWINGS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borrowings at December 31, 2018 and 2017, net of deferred financing costs and incorporating the impact of interest rate swaps on our effective interest rates, are summarized below: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w:t>
            </w:r>
          </w:p>
        </w:tc>
        <w:tc>
          <w:tcPr>
            <w:tcW w:w="1180" w:type="dxa"/>
            <w:vAlign w:val="bottom"/>
            <w:gridSpan w:val="2"/>
          </w:tcPr>
          <w:p>
            <w:pPr>
              <w:jc w:val="center"/>
              <w:ind w:right="80"/>
              <w:spacing w:after="0" w:line="126" w:lineRule="exact"/>
              <w:rPr>
                <w:sz w:val="20"/>
                <w:szCs w:val="20"/>
                <w:color w:val="auto"/>
              </w:rPr>
            </w:pPr>
            <w:r>
              <w:rPr>
                <w:rFonts w:ascii="Arial" w:cs="Arial" w:eastAsia="Arial" w:hAnsi="Arial"/>
                <w:sz w:val="14"/>
                <w:szCs w:val="14"/>
                <w:b w:val="1"/>
                <w:bCs w:val="1"/>
                <w:color w:val="auto"/>
                <w:w w:val="88"/>
              </w:rPr>
              <w:t>Stated</w:t>
            </w:r>
          </w:p>
        </w:tc>
        <w:tc>
          <w:tcPr>
            <w:tcW w:w="10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Interest</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78"/>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Facility</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Gross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Net</w:t>
            </w:r>
            <w:r>
              <w:rPr>
                <w:rFonts w:ascii="Arial" w:cs="Arial" w:eastAsia="Arial" w:hAnsi="Arial"/>
                <w:sz w:val="7"/>
                <w:szCs w:val="7"/>
                <w:b w:val="1"/>
                <w:bCs w:val="1"/>
                <w:color w:val="auto"/>
              </w:rPr>
              <w:t>(3)</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7"/>
                <w:szCs w:val="7"/>
                <w:b w:val="1"/>
                <w:bCs w:val="1"/>
                <w:color w:val="auto"/>
                <w:w w:val="98"/>
              </w:rPr>
              <w:t>(1)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Denominated in USD</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Trust Preferred Securities (USA)</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April 30, 2027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27,913</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27,913</w:t>
            </w:r>
          </w:p>
        </w:tc>
        <w:tc>
          <w:tcPr>
            <w:tcW w:w="80" w:type="dxa"/>
            <w:vAlign w:val="bottom"/>
          </w:tcPr>
          <w:p>
            <w:pPr>
              <w:spacing w:after="0"/>
              <w:rPr>
                <w:sz w:val="18"/>
                <w:szCs w:val="18"/>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26,061</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6.52%</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6.52%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Bank of America Credit Facility (USA)</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May 1, 2020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5.02%</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Bank of America Line of Credit (USA)</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October 31, 2019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5.48%</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5.48%</w:t>
            </w:r>
          </w:p>
        </w:tc>
        <w:tc>
          <w:tcPr>
            <w:tcW w:w="0" w:type="dxa"/>
            <w:vAlign w:val="bottom"/>
          </w:tcPr>
          <w:p>
            <w:pPr>
              <w:spacing w:after="0"/>
              <w:rPr>
                <w:sz w:val="1"/>
                <w:szCs w:val="1"/>
                <w:color w:val="auto"/>
              </w:rPr>
            </w:pPr>
          </w:p>
        </w:tc>
      </w:tr>
      <w:tr>
        <w:trPr>
          <w:trHeight w:val="130"/>
        </w:trPr>
        <w:tc>
          <w:tcPr>
            <w:tcW w:w="28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Banc of America digital projector loan</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(USA)</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December 28, 2019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5.00%</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Cinema 1, 2, 3 Term Loan (USA)</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September 1, 2019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19,086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19,086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18,838</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3.25%</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3.25%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Minetta &amp; Orpheum Theatres Loan (USA)</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November 1, 2023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4.88%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4.88%</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U.S. Corporate Office Term Loan (USA)</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January 1, 2027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9,373</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4.64% / 4.44%</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4.61%</w:t>
            </w:r>
          </w:p>
        </w:tc>
        <w:tc>
          <w:tcPr>
            <w:tcW w:w="0" w:type="dxa"/>
            <w:vAlign w:val="bottom"/>
          </w:tcPr>
          <w:p>
            <w:pPr>
              <w:spacing w:after="0"/>
              <w:rPr>
                <w:sz w:val="1"/>
                <w:szCs w:val="1"/>
                <w:color w:val="auto"/>
              </w:rPr>
            </w:pPr>
          </w:p>
        </w:tc>
      </w:tr>
      <w:tr>
        <w:trPr>
          <w:trHeight w:val="130"/>
        </w:trPr>
        <w:tc>
          <w:tcPr>
            <w:tcW w:w="28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Union Square Construction Financing</w:t>
            </w:r>
          </w:p>
        </w:tc>
        <w:tc>
          <w:tcPr>
            <w:tcW w:w="162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2"/>
              </w:rPr>
              <w:t>December 29, 2019</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(USA)</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25,280</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6.76% / 12.51%</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8.35%</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4"/>
                <w:szCs w:val="14"/>
                <w:color w:val="auto"/>
              </w:rPr>
              <w:t>Denominated in foreign currency ("FC")</w:t>
            </w:r>
            <w:r>
              <w:rPr>
                <w:rFonts w:ascii="Arial" w:cs="Arial" w:eastAsia="Arial" w:hAnsi="Arial"/>
                <w:sz w:val="7"/>
                <w:szCs w:val="7"/>
                <w:color w:val="auto"/>
              </w:rPr>
              <w:t>(2)</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NAB Corporate Loan Facility (AU)</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December 31, 2023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37,660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3.05%</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Westpac Corporate Credit Facility (NZ)</w:t>
            </w:r>
          </w:p>
        </w:tc>
        <w:tc>
          <w:tcPr>
            <w:tcW w:w="16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2"/>
              </w:rPr>
              <w:t>December 31, 2023</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10,067</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3.80%</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3.80%</w:t>
            </w:r>
          </w:p>
        </w:tc>
        <w:tc>
          <w:tcPr>
            <w:tcW w:w="0" w:type="dxa"/>
            <w:vAlign w:val="bottom"/>
          </w:tcPr>
          <w:p>
            <w:pPr>
              <w:spacing w:after="0"/>
              <w:rPr>
                <w:sz w:val="1"/>
                <w:szCs w:val="1"/>
                <w:color w:val="auto"/>
              </w:rPr>
            </w:pPr>
          </w:p>
        </w:tc>
      </w:tr>
      <w:tr>
        <w:trPr>
          <w:trHeight w:val="183"/>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252,929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167,043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162,740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right="220" w:hanging="320"/>
        <w:spacing w:after="0" w:line="230" w:lineRule="auto"/>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Both interest rate derivatives associated with the Trust Preferred Securities and Bank of America Credit Facility expired in October 2017 so the effective interest rate no longer applies as of December 31, 2018.</w:t>
      </w:r>
    </w:p>
    <w:p>
      <w:pPr>
        <w:ind w:left="640" w:right="20" w:hanging="320"/>
        <w:spacing w:after="0" w:line="221" w:lineRule="auto"/>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contractual facilities and outstanding balances of the FC-denominated borrowings were translated into U.S. dollars based on exchange rates as of December 31, 2018.</w:t>
      </w:r>
    </w:p>
    <w:p>
      <w:pPr>
        <w:ind w:left="640" w:hanging="320"/>
        <w:spacing w:after="0"/>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Net of deferred financing costs amounting to $4.3 million.</w:t>
      </w:r>
    </w:p>
    <w:p>
      <w:pPr>
        <w:spacing w:after="0" w:line="200" w:lineRule="exact"/>
        <w:rPr>
          <w:rFonts w:ascii="Arial" w:cs="Arial" w:eastAsia="Arial" w:hAnsi="Arial"/>
          <w:sz w:val="14"/>
          <w:szCs w:val="14"/>
          <w:color w:val="auto"/>
        </w:rPr>
      </w:pPr>
    </w:p>
    <w:p>
      <w:pPr>
        <w:spacing w:after="0" w:line="212" w:lineRule="exact"/>
        <w:rPr>
          <w:rFonts w:ascii="Arial" w:cs="Arial" w:eastAsia="Arial" w:hAnsi="Arial"/>
          <w:sz w:val="14"/>
          <w:szCs w:val="14"/>
          <w:color w:val="auto"/>
        </w:rPr>
      </w:pPr>
    </w:p>
    <w:p>
      <w:pPr>
        <w:ind w:left="4920" w:hanging="147"/>
        <w:spacing w:after="0"/>
        <w:tabs>
          <w:tab w:leader="none" w:pos="49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w:t>
            </w:r>
          </w:p>
        </w:tc>
        <w:tc>
          <w:tcPr>
            <w:tcW w:w="1180" w:type="dxa"/>
            <w:vAlign w:val="bottom"/>
            <w:gridSpan w:val="2"/>
          </w:tcPr>
          <w:p>
            <w:pPr>
              <w:jc w:val="center"/>
              <w:ind w:right="80"/>
              <w:spacing w:after="0" w:line="126" w:lineRule="exact"/>
              <w:rPr>
                <w:sz w:val="20"/>
                <w:szCs w:val="20"/>
                <w:color w:val="auto"/>
              </w:rPr>
            </w:pPr>
            <w:r>
              <w:rPr>
                <w:rFonts w:ascii="Arial" w:cs="Arial" w:eastAsia="Arial" w:hAnsi="Arial"/>
                <w:sz w:val="14"/>
                <w:szCs w:val="14"/>
                <w:b w:val="1"/>
                <w:bCs w:val="1"/>
                <w:color w:val="auto"/>
                <w:w w:val="88"/>
              </w:rPr>
              <w:t>Stated</w:t>
            </w:r>
          </w:p>
        </w:tc>
        <w:tc>
          <w:tcPr>
            <w:tcW w:w="10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Interest</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78"/>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Facility</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Gross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Net</w:t>
            </w:r>
            <w:r>
              <w:rPr>
                <w:rFonts w:ascii="Arial" w:cs="Arial" w:eastAsia="Arial" w:hAnsi="Arial"/>
                <w:sz w:val="7"/>
                <w:szCs w:val="7"/>
                <w:b w:val="1"/>
                <w:bCs w:val="1"/>
                <w:color w:val="auto"/>
              </w:rPr>
              <w:t>(3)</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7"/>
                <w:szCs w:val="7"/>
                <w:b w:val="1"/>
                <w:bCs w:val="1"/>
                <w:color w:val="auto"/>
                <w:w w:val="98"/>
              </w:rPr>
              <w:t>(1)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Denominated in USD</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Trust Preferred Securities (USA)</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April 30, 2027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27,913</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27,913</w:t>
            </w:r>
          </w:p>
        </w:tc>
        <w:tc>
          <w:tcPr>
            <w:tcW w:w="80" w:type="dxa"/>
            <w:vAlign w:val="bottom"/>
          </w:tcPr>
          <w:p>
            <w:pPr>
              <w:spacing w:after="0"/>
              <w:rPr>
                <w:sz w:val="18"/>
                <w:szCs w:val="18"/>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27,554</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5.38%</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5.38%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Bank of America Credit Facility (USA)</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November 28, 2019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4.57%</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Bank of America Line of Credit (USA)</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October 31, 2019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4.57%</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4.57%</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Cinema 1, 2, 3 Term Loan (USA)</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September 1, 2019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3.25%</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Minetta &amp; Orpheum Theatres Loan (USA)</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June 1, 2018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7,470</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4.13%</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4.13%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Corporate Office Term Loan (USA)</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January 1, 2027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4.64%/4.44%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4.61%</w:t>
            </w:r>
          </w:p>
        </w:tc>
        <w:tc>
          <w:tcPr>
            <w:tcW w:w="0" w:type="dxa"/>
            <w:vAlign w:val="bottom"/>
          </w:tcPr>
          <w:p>
            <w:pPr>
              <w:spacing w:after="0"/>
              <w:rPr>
                <w:sz w:val="1"/>
                <w:szCs w:val="1"/>
                <w:color w:val="auto"/>
              </w:rPr>
            </w:pPr>
          </w:p>
        </w:tc>
      </w:tr>
      <w:tr>
        <w:trPr>
          <w:trHeight w:val="130"/>
        </w:trPr>
        <w:tc>
          <w:tcPr>
            <w:tcW w:w="28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Union Square Construction Financing</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(USA)</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December 29, 2019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5,033</w:t>
            </w: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5.81%</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5.81%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Denominated in FC </w:t>
            </w:r>
            <w:r>
              <w:rPr>
                <w:rFonts w:ascii="Arial" w:cs="Arial" w:eastAsia="Arial" w:hAnsi="Arial"/>
                <w:sz w:val="7"/>
                <w:szCs w:val="7"/>
                <w:color w:val="auto"/>
              </w:rPr>
              <w:t>(2)</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NAB Corporate Loan Facility (AU)</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June 30, 2019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51,970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30,781</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3.66%</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3.66%</w:t>
            </w:r>
          </w:p>
        </w:tc>
        <w:tc>
          <w:tcPr>
            <w:tcW w:w="0" w:type="dxa"/>
            <w:vAlign w:val="bottom"/>
          </w:tcPr>
          <w:p>
            <w:pPr>
              <w:spacing w:after="0"/>
              <w:rPr>
                <w:sz w:val="1"/>
                <w:szCs w:val="1"/>
                <w:color w:val="auto"/>
              </w:rPr>
            </w:pPr>
          </w:p>
        </w:tc>
      </w:tr>
      <w:tr>
        <w:trPr>
          <w:trHeight w:val="130"/>
        </w:trPr>
        <w:tc>
          <w:tcPr>
            <w:tcW w:w="28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Westpac Bank Corporate (general/non-</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construction) Credit Facility (NZ)</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December 31, 2019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3.70%</w:t>
            </w:r>
          </w:p>
        </w:tc>
        <w:tc>
          <w:tcPr>
            <w:tcW w:w="0" w:type="dxa"/>
            <w:vAlign w:val="bottom"/>
          </w:tcPr>
          <w:p>
            <w:pPr>
              <w:spacing w:after="0"/>
              <w:rPr>
                <w:sz w:val="1"/>
                <w:szCs w:val="1"/>
                <w:color w:val="auto"/>
              </w:rPr>
            </w:pPr>
          </w:p>
        </w:tc>
      </w:tr>
      <w:tr>
        <w:trPr>
          <w:trHeight w:val="130"/>
        </w:trPr>
        <w:tc>
          <w:tcPr>
            <w:tcW w:w="28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Westpac Bank Corporate (-construction)</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gridSpan w:val="2"/>
          </w:tcPr>
          <w:p>
            <w:pPr>
              <w:ind w:left="220"/>
              <w:spacing w:after="0"/>
              <w:rPr>
                <w:sz w:val="20"/>
                <w:szCs w:val="20"/>
                <w:color w:val="auto"/>
              </w:rPr>
            </w:pPr>
            <w:r>
              <w:rPr>
                <w:rFonts w:ascii="Arial" w:cs="Arial" w:eastAsia="Arial" w:hAnsi="Arial"/>
                <w:sz w:val="14"/>
                <w:szCs w:val="14"/>
                <w:color w:val="auto"/>
              </w:rPr>
              <w:t>Credit Facility (NZ)</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December 31, 2019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ind w:left="8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3.70%</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3.70%</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271,732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134,501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130,525</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right="220" w:hanging="320"/>
        <w:spacing w:after="0" w:line="230" w:lineRule="auto"/>
        <w:tabs>
          <w:tab w:leader="none" w:pos="6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Both interest rate derivatives associated with the Trust Preferred Securities and Bank of America Credit Facility expired in October 2017 so the effective interest rate no longer applies as of December 31, 2017.</w:t>
      </w:r>
    </w:p>
    <w:p>
      <w:pPr>
        <w:ind w:left="640" w:right="80" w:hanging="320"/>
        <w:spacing w:after="0" w:line="221" w:lineRule="auto"/>
        <w:tabs>
          <w:tab w:leader="none" w:pos="6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contractual facilities and outstanding balances of the FC-denominated borrowings were translated into U.S. dollar based on exchange rates as of December 31, 2017.</w:t>
      </w:r>
    </w:p>
    <w:p>
      <w:pPr>
        <w:ind w:left="640" w:hanging="320"/>
        <w:spacing w:after="0"/>
        <w:tabs>
          <w:tab w:leader="none" w:pos="6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Net of deferred financing costs amounting to $4.0 million.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Our loan arrangements are presented, net of the deferred financing costs, on the face of our consolidated balance sheet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210"/>
        </w:trPr>
        <w:tc>
          <w:tcPr>
            <w:tcW w:w="7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Sheet Caption</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Debt - current portion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Debt - long-term portion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106,286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94,862</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27,554</w:t>
            </w:r>
          </w:p>
        </w:tc>
      </w:tr>
      <w:tr>
        <w:trPr>
          <w:trHeight w:val="217"/>
        </w:trPr>
        <w:tc>
          <w:tcPr>
            <w:tcW w:w="7340" w:type="dxa"/>
            <w:vAlign w:val="bottom"/>
          </w:tcPr>
          <w:p>
            <w:pPr>
              <w:spacing w:after="0"/>
              <w:rPr>
                <w:sz w:val="20"/>
                <w:szCs w:val="20"/>
                <w:color w:val="auto"/>
              </w:rPr>
            </w:pPr>
            <w:r>
              <w:rPr>
                <w:rFonts w:ascii="Arial" w:cs="Arial" w:eastAsia="Arial" w:hAnsi="Arial"/>
                <w:sz w:val="18"/>
                <w:szCs w:val="18"/>
                <w:b w:val="1"/>
                <w:bCs w:val="1"/>
                <w:color w:val="auto"/>
              </w:rPr>
              <w:t>Total borrowings</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162,740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130,525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denominated in USD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Minetta and Orpheum Theatres Loan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On October 12, 2018, we refinanced our $7.5 million loan with Santander Bank, which is secured by our Minetta and Orpheum Theaters, with a loan for a five year term of $8.0 million. Such modification was not considered to be substantial under US GAAP.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Banc of America Digital Projector Loan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February 5, 2018, we purchased our U.S. digital cinema projectors, which had previously been held on operating leases, using a</w:t>
      </w:r>
    </w:p>
    <w:p>
      <w:pPr>
        <w:spacing w:after="0" w:line="3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$4.6 million loan from Banc of America. We made further U.S. digital cinema projector purchases, of projectors similarly held on other operating leases, in March and April 2018, increasing this loan to $4.9 million. This loan carries an interest rate of 5% and is due and payable on December 28,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 Square Construction Financing</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December 29, 2016, we closed our new construction finance facilities totaling $57.5 million to fund the non-equity portion of the anticipated construction costs of the redevelopment of our property at 44 Union Square in New York City. The combined facilities consist of $50.0 million in aggregate loans (comprised of three loan tranches) from Bank of the Ozarks (“BOTO”), and a $7.5 million mezzanine loan from Tammany Mezz Investor, LLC, an affiliate of Fisher Brothers. As of December 31, 2016, Bank of the Ozarks advanced $8.0 million to repay the existing $8.0 million loan with East West Bank.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819" w:right="8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Presented in the table below is the breakdown of the Union Square construction financing as of December 31, 2018: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Facility Limits and Advances</w:t>
            </w: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Component</w:t>
            </w: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9"/>
              </w:rPr>
              <w:t>Facility</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8"/>
              <w:spacing w:after="0" w:line="126" w:lineRule="exact"/>
              <w:rPr>
                <w:sz w:val="20"/>
                <w:szCs w:val="20"/>
                <w:color w:val="auto"/>
              </w:rPr>
            </w:pPr>
            <w:r>
              <w:rPr>
                <w:rFonts w:ascii="Arial" w:cs="Arial" w:eastAsia="Arial" w:hAnsi="Arial"/>
                <w:sz w:val="14"/>
                <w:szCs w:val="14"/>
                <w:b w:val="1"/>
                <w:bCs w:val="1"/>
                <w:color w:val="auto"/>
                <w:w w:val="89"/>
              </w:rPr>
              <w:t>Advanced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8"/>
              <w:spacing w:after="0" w:line="126"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0"/>
                <w:szCs w:val="10"/>
                <w:color w:val="auto"/>
              </w:rPr>
            </w:pPr>
          </w:p>
        </w:tc>
        <w:tc>
          <w:tcPr>
            <w:tcW w:w="2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Interest Rate(1)</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Maturity Date(2)</w:t>
            </w:r>
          </w:p>
        </w:tc>
        <w:tc>
          <w:tcPr>
            <w:tcW w:w="0" w:type="dxa"/>
            <w:vAlign w:val="bottom"/>
          </w:tcPr>
          <w:p>
            <w:pPr>
              <w:spacing w:after="0"/>
              <w:rPr>
                <w:sz w:val="1"/>
                <w:szCs w:val="1"/>
                <w:color w:val="auto"/>
              </w:rPr>
            </w:pPr>
          </w:p>
        </w:tc>
      </w:tr>
      <w:tr>
        <w:trPr>
          <w:trHeight w:val="178"/>
        </w:trPr>
        <w:tc>
          <w:tcPr>
            <w:tcW w:w="192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Limit</w:t>
            </w:r>
          </w:p>
        </w:tc>
        <w:tc>
          <w:tcPr>
            <w:tcW w:w="12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-to-Date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Facility</w:t>
            </w:r>
          </w:p>
        </w:tc>
        <w:tc>
          <w:tcPr>
            <w:tcW w:w="220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4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Mezzanine loan</w:t>
            </w: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Tammany Mezz</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7,500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7,500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Greater of (i) 10.50% and</w:t>
            </w:r>
          </w:p>
        </w:tc>
        <w:tc>
          <w:tcPr>
            <w:tcW w:w="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December 29, 2019</w:t>
            </w: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Investor LLC</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(ii) Adjusted LIBOR + 10%</w:t>
            </w: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Senior loan</w:t>
            </w:r>
          </w:p>
        </w:tc>
        <w:tc>
          <w:tcPr>
            <w:tcW w:w="1520" w:type="dxa"/>
            <w:vAlign w:val="bottom"/>
            <w:gridSpan w:val="2"/>
          </w:tcPr>
          <w:p>
            <w:pPr>
              <w:spacing w:after="0" w:line="130" w:lineRule="exact"/>
              <w:rPr>
                <w:sz w:val="20"/>
                <w:szCs w:val="20"/>
                <w:color w:val="auto"/>
              </w:rPr>
            </w:pPr>
            <w:r>
              <w:rPr>
                <w:rFonts w:ascii="Arial" w:cs="Arial" w:eastAsia="Arial" w:hAnsi="Arial"/>
                <w:sz w:val="14"/>
                <w:szCs w:val="14"/>
                <w:color w:val="auto"/>
              </w:rPr>
              <w:t>Bank of the Ozarks</w:t>
            </w:r>
          </w:p>
        </w:tc>
        <w:tc>
          <w:tcPr>
            <w:tcW w:w="14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8,000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Arial" w:cs="Arial" w:eastAsia="Arial" w:hAnsi="Arial"/>
                <w:sz w:val="14"/>
                <w:szCs w:val="14"/>
                <w:color w:val="auto"/>
              </w:rPr>
              <w:t>8,000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220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3"/>
              </w:rPr>
              <w:t>Greater of (i) 4.75% and</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1"/>
              </w:rPr>
              <w:t>December 29, 2019</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(ii) Adjusted LIBOR + 4.25%</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Building loan</w:t>
            </w:r>
          </w:p>
        </w:tc>
        <w:tc>
          <w:tcPr>
            <w:tcW w:w="15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Bank of the Ozarks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31,130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10,603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20,527</w:t>
            </w:r>
          </w:p>
        </w:tc>
        <w:tc>
          <w:tcPr>
            <w:tcW w:w="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3"/>
              </w:rPr>
              <w:t>Greater of (i) 4.75% and</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December 29, 2019</w:t>
            </w: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(ii) Adjusted LIBOR + 4.25%</w:t>
            </w: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Project loan</w:t>
            </w:r>
          </w:p>
        </w:tc>
        <w:tc>
          <w:tcPr>
            <w:tcW w:w="1520" w:type="dxa"/>
            <w:vAlign w:val="bottom"/>
            <w:gridSpan w:val="2"/>
          </w:tcPr>
          <w:p>
            <w:pPr>
              <w:spacing w:after="0" w:line="130" w:lineRule="exact"/>
              <w:rPr>
                <w:sz w:val="20"/>
                <w:szCs w:val="20"/>
                <w:color w:val="auto"/>
              </w:rPr>
            </w:pPr>
            <w:r>
              <w:rPr>
                <w:rFonts w:ascii="Arial" w:cs="Arial" w:eastAsia="Arial" w:hAnsi="Arial"/>
                <w:sz w:val="14"/>
                <w:szCs w:val="14"/>
                <w:color w:val="auto"/>
              </w:rPr>
              <w:t>Bank of the Ozarks</w:t>
            </w:r>
          </w:p>
        </w:tc>
        <w:tc>
          <w:tcPr>
            <w:tcW w:w="14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10,870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Arial" w:cs="Arial" w:eastAsia="Arial" w:hAnsi="Arial"/>
                <w:sz w:val="14"/>
                <w:szCs w:val="14"/>
                <w:color w:val="auto"/>
              </w:rPr>
              <w:t>1,079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9,791</w:t>
            </w:r>
          </w:p>
        </w:tc>
        <w:tc>
          <w:tcPr>
            <w:tcW w:w="80" w:type="dxa"/>
            <w:vAlign w:val="bottom"/>
          </w:tcPr>
          <w:p>
            <w:pPr>
              <w:spacing w:after="0"/>
              <w:rPr>
                <w:sz w:val="11"/>
                <w:szCs w:val="11"/>
                <w:color w:val="auto"/>
              </w:rPr>
            </w:pPr>
          </w:p>
        </w:tc>
        <w:tc>
          <w:tcPr>
            <w:tcW w:w="220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3"/>
              </w:rPr>
              <w:t>Greater of (i) 4.75% and</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1"/>
              </w:rPr>
              <w:t>December 29, 2019</w:t>
            </w:r>
          </w:p>
        </w:tc>
        <w:tc>
          <w:tcPr>
            <w:tcW w:w="0" w:type="dxa"/>
            <w:vAlign w:val="bottom"/>
          </w:tcPr>
          <w:p>
            <w:pPr>
              <w:spacing w:after="0"/>
              <w:rPr>
                <w:sz w:val="1"/>
                <w:szCs w:val="1"/>
                <w:color w:val="auto"/>
              </w:rPr>
            </w:pPr>
          </w:p>
        </w:tc>
      </w:tr>
      <w:tr>
        <w:trPr>
          <w:trHeight w:val="167"/>
        </w:trPr>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8"/>
              </w:rPr>
              <w:t>(ii) Adjusted LIBOR + 4.25%</w:t>
            </w: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92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Union Square</w:t>
            </w:r>
          </w:p>
        </w:tc>
        <w:tc>
          <w:tcPr>
            <w:tcW w:w="1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57,500</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27,182</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30,318</w:t>
            </w:r>
          </w:p>
        </w:tc>
        <w:tc>
          <w:tcPr>
            <w:tcW w:w="8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9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Financing</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Not to exceed the New York State maximum lawful borrowing rate, which typically is 16%.</w:t>
      </w:r>
    </w:p>
    <w:p>
      <w:pPr>
        <w:ind w:left="640" w:hanging="320"/>
        <w:spacing w:after="0"/>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Allowable for up to two (2) extension request options, one (1) year for each extension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Corporate Office Term Loan</w:t>
      </w:r>
    </w:p>
    <w:p>
      <w:pPr>
        <w:spacing w:after="0" w:line="225"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On December 13, 2016, we obtained a ten-year $8.4 million mortgage loan on our new Los Angeles Corporate Headquarters at a fixed annual interest rate of 4.64%. This loan provided for a second loan upon completion of certain improvements. On June 26, 2017, we obtained a further $1.5 million under this provision at a fixed annual interest rate of 4.44%.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of America Line of Credit</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October 2016, the term of this $5.0 million line of credit was extended for another two (2) years until October 31, 2019. Such modification was not considered to be substantial under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Cinemas 1,2,3 Term Loan and Line of Credit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August 31, 2016, Sutton Hill Properties LLC (“SHP”), a 75% subsidiary of RDI, refinanced its $15 million Santander Bank term loan with a new lender, Valley National Bank. This new $20.0 million loan is collateralized by our Cinema 1,2,3 property and bears an interest rate of 3.25% per annum, with principal installments and accruing interest paid monthly. The new loan matures on September 1, 2019, with a one-time option to extend maturity date for another year. The Company presently intends to exercise that option and to extend the maturity date until September 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of America Credit Facility</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March 3, 2016, we amended our $55.0 million credit facility with Bank of America to permit real property acquisition loans. This amendment reduces the applicable consolidated leverage ratio covenant by 0.25% and modifies the term of the facility based on the earlier of the eighteen months from the date of such borrowing or the maturity date of the credit agreement. Such modification was not considered substantial in accordance with U.S. GAAP. On March 5, 2019, this Credit Facility was extended for six (6) months to May 1,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Securities (“TPS”)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February 5, 2007, we issued $51.5 million in 20-year fully subordinated notes to a trust over which we have significant influence,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sheets. Effective May 1, 2012, the interest rate on our Trust Preferred Securities changed from a fixed rate of</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9.22%, which was in effect for five years, to a variable rate of three month LIBOR plus 4.00%, which will reset each quarter through the end of the loan unless we exercise our right to re-fix the rate at the current market rate at that time.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payment of $270,000 in December 2014. The covenant waiver expired January 1, 2018, after which a further covenant waiver was secured on October 11, 2018 for the remaining term of the loan, in consideration of payments totaling $1.6 million, consisting of 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13" w:name="page114"/>
    <w:bookmarkEnd w:id="113"/>
    <w:p>
      <w:pPr>
        <w:ind w:right="680"/>
        <w:spacing w:after="0" w:line="277" w:lineRule="auto"/>
        <w:rPr>
          <w:sz w:val="20"/>
          <w:szCs w:val="20"/>
          <w:color w:val="auto"/>
        </w:rPr>
      </w:pPr>
      <w:r>
        <w:rPr>
          <w:rFonts w:ascii="Arial" w:cs="Arial" w:eastAsia="Arial" w:hAnsi="Arial"/>
          <w:sz w:val="18"/>
          <w:szCs w:val="18"/>
          <w:color w:val="auto"/>
        </w:rPr>
        <w:t>initial payment of $1.1 million paid on October 31, 2018, and a further contractual obligation to pay $270,000 in October 2021 and $225,000 in October 2025.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2009, we took advantage of the then current market illiquidity for securities such as our TPS to repurchase</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$22.9 million in face value of those securities through an exchange of $11.5 million worth of marketable securities purchased during the period for the express purpose of executing this exchange transaction with the third 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1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the three years ended December 31, 2018, we paid $1.4 million in 2016 and 2017 and $1.6 million in 2018 in preferred dividends to unrelated investors that are included in interest expense. At December 31, 2018 and 2017, we had preferred dividends payable of $299,000 and $250,000, respectively. Interest payments for this loan are required every three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denominated in foreign currencies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NAB Corporate Loan Facility</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March 15, 2019, we amended our Revolving Corporate Markets Loan Facility with National Australia Bank (“NAB) from a facility comprised of (i) a AU$66.5 million loan facility with an interest rate of 0.95% above the Bank Bill Swap Bid Rate (“BBSY) and a maturity date of June 30, 2019 and (ii) a bank guarantee of AU$5.0 million at a rate of 1.90% per annum into a (i) AU$120.0 million Corporate Loan facility at rates of 0.85%-1.3% above BBSY depending on certain ratios with a due date of December 31, 2023, of which AU$80.0 million is revolving and AU$40.0 million is core and (ii) a Bank Guarantee Facility of AU$5.0 million at a rate of 1.85% per annum. Prior to this, on June 12, 2018, we had extended the maturity of these facilities from June 30, 2019, to December 31, 2019. Such modifications of this particular term loan were not considered to be substantial under US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Zealand Westpac Bank Corporate Credit Facility</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December 20, 2018, we restructured our Westpac Corporate Credit Facilities. The maturity of the 1</w:t>
      </w:r>
      <w:r>
        <w:rPr>
          <w:rFonts w:ascii="Arial" w:cs="Arial" w:eastAsia="Arial" w:hAnsi="Arial"/>
          <w:sz w:val="8"/>
          <w:szCs w:val="8"/>
          <w:color w:val="auto"/>
        </w:rPr>
        <w:t>st</w:t>
      </w:r>
      <w:r>
        <w:rPr>
          <w:rFonts w:ascii="Arial" w:cs="Arial" w:eastAsia="Arial" w:hAnsi="Arial"/>
          <w:sz w:val="17"/>
          <w:szCs w:val="17"/>
          <w:color w:val="auto"/>
        </w:rPr>
        <w:t xml:space="preserve"> tranche (general/non-construction credit line) was extended to December 31, 2023, with the available facility being reduced from NZ$35.0 million to NZ$32.0 million. The facility bears an interest rate of 1.75% above the Bank Bill Bid Rate on the drawn down balance and a 1.1% line of credit charge on the entire facility. The 2</w:t>
      </w:r>
      <w:r>
        <w:rPr>
          <w:rFonts w:ascii="Arial" w:cs="Arial" w:eastAsia="Arial" w:hAnsi="Arial"/>
          <w:sz w:val="8"/>
          <w:szCs w:val="8"/>
          <w:color w:val="auto"/>
        </w:rPr>
        <w:t>nd</w:t>
      </w:r>
      <w:r>
        <w:rPr>
          <w:rFonts w:ascii="Arial" w:cs="Arial" w:eastAsia="Arial" w:hAnsi="Arial"/>
          <w:sz w:val="17"/>
          <w:szCs w:val="17"/>
          <w:color w:val="auto"/>
        </w:rPr>
        <w:t xml:space="preserve"> tranche (construction line) with a facility of NZ$18.0 million was removed.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aggregate amount of future principal debt payments is estimated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Future</w:t>
            </w:r>
          </w:p>
        </w:tc>
      </w:tr>
      <w:tr>
        <w:trPr>
          <w:trHeight w:val="149"/>
        </w:trPr>
        <w:tc>
          <w:tcPr>
            <w:tcW w:w="8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Principal</w:t>
            </w:r>
          </w:p>
        </w:tc>
      </w:tr>
      <w:tr>
        <w:trPr>
          <w:trHeight w:val="178"/>
        </w:trPr>
        <w:tc>
          <w:tcPr>
            <w:tcW w:w="88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5"/>
                <w:szCs w:val="15"/>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Debt Payments</w:t>
            </w:r>
          </w:p>
        </w:tc>
      </w:tr>
      <w:tr>
        <w:trPr>
          <w:trHeight w:val="216"/>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30,393</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43,960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56,045</w:t>
            </w:r>
          </w:p>
        </w:tc>
      </w:tr>
      <w:tr>
        <w:trPr>
          <w:trHeight w:val="216"/>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36,117</w:t>
            </w:r>
          </w:p>
        </w:tc>
      </w:tr>
      <w:tr>
        <w:trPr>
          <w:trHeight w:val="217"/>
        </w:trPr>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principal debt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167,043</w:t>
            </w: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estimated amount of future principal payments in U.S. dollars is subject to change because the payments in U.S. dollars on the debt denominated in foreign currencies, which represents a significant portion of our total outstanding debt balance, will fluctuate based on the applicable foreign currency exchange rates.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auto"/>
        </w:rPr>
        <w:t>NOTE 11 – PENSION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including pension are summarized as follows: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16"/>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Liability for demolition and remediation costs</w:t>
            </w:r>
            <w:r>
              <w:rPr>
                <w:rFonts w:ascii="Arial" w:cs="Arial" w:eastAsia="Arial" w:hAnsi="Arial"/>
                <w:sz w:val="8"/>
                <w:szCs w:val="8"/>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2,630</w:t>
            </w:r>
          </w:p>
        </w:tc>
        <w:tc>
          <w:tcPr>
            <w:tcW w:w="1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16"/>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liability</w:t>
            </w:r>
            <w:r>
              <w:rPr>
                <w:rFonts w:ascii="Arial" w:cs="Arial" w:eastAsia="Arial" w:hAnsi="Arial"/>
                <w:sz w:val="8"/>
                <w:szCs w:val="8"/>
                <w:color w:val="auto"/>
              </w:rPr>
              <w:t>(2)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r>
      <w:tr>
        <w:trPr>
          <w:trHeight w:val="216"/>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Accrued pension</w:t>
            </w:r>
            <w:r>
              <w:rPr>
                <w:rFonts w:ascii="Arial" w:cs="Arial" w:eastAsia="Arial" w:hAnsi="Arial"/>
                <w:sz w:val="8"/>
                <w:szCs w:val="8"/>
                <w:color w:val="auto"/>
              </w:rPr>
              <w:t>(3)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2,907</w:t>
            </w:r>
          </w:p>
        </w:tc>
      </w:tr>
      <w:tr>
        <w:trPr>
          <w:trHeight w:val="216"/>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Security deposit payable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9,305</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11,679</w:t>
            </w:r>
          </w:p>
        </w:tc>
      </w:tr>
      <w:tr>
        <w:trPr>
          <w:trHeight w:val="203"/>
        </w:trPr>
        <w:tc>
          <w:tcPr>
            <w:tcW w:w="750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Straight-line rent liability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w:t>
            </w:r>
          </w:p>
        </w:tc>
      </w:tr>
      <w:tr>
        <w:trPr>
          <w:trHeight w:val="216"/>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Accrued pension</w:t>
            </w:r>
            <w:r>
              <w:rPr>
                <w:rFonts w:ascii="Arial" w:cs="Arial" w:eastAsia="Arial" w:hAnsi="Arial"/>
                <w:sz w:val="8"/>
                <w:szCs w:val="8"/>
                <w:color w:val="auto"/>
              </w:rPr>
              <w:t>(3)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5,228</w:t>
            </w:r>
          </w:p>
        </w:tc>
      </w:tr>
      <w:tr>
        <w:trPr>
          <w:trHeight w:val="216"/>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make-good provision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r>
      <w:tr>
        <w:trPr>
          <w:trHeight w:val="216"/>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Environmental reserve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16"/>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Revenue - Real Estate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500" w:type="dxa"/>
            <w:vAlign w:val="bottom"/>
            <w:gridSpan w:val="2"/>
          </w:tcPr>
          <w:p>
            <w:pPr>
              <w:ind w:left="220"/>
              <w:spacing w:after="0"/>
              <w:rPr>
                <w:sz w:val="20"/>
                <w:szCs w:val="20"/>
                <w:color w:val="auto"/>
              </w:rPr>
            </w:pPr>
            <w:r>
              <w:rPr>
                <w:rFonts w:ascii="Arial" w:cs="Arial" w:eastAsia="Arial" w:hAnsi="Arial"/>
                <w:sz w:val="18"/>
                <w:szCs w:val="18"/>
                <w:color w:val="auto"/>
              </w:rPr>
              <w:t>Acquired leases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17"/>
        </w:trPr>
        <w:tc>
          <w:tcPr>
            <w:tcW w:w="750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28,931</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26,649</w:t>
            </w:r>
          </w:p>
        </w:tc>
      </w:tr>
    </w:tbl>
    <w:p>
      <w:pPr>
        <w:spacing w:after="0" w:line="197" w:lineRule="exact"/>
        <w:rPr>
          <w:sz w:val="20"/>
          <w:szCs w:val="20"/>
          <w:color w:val="auto"/>
        </w:rPr>
      </w:pPr>
    </w:p>
    <w:p>
      <w:pPr>
        <w:ind w:left="640" w:right="580" w:hanging="320"/>
        <w:spacing w:after="0" w:line="230" w:lineRule="auto"/>
        <w:tabs>
          <w:tab w:leader="none" w:pos="6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 xml:space="preserve">Refer to </w:t>
      </w:r>
      <w:r>
        <w:rPr>
          <w:rFonts w:ascii="Arial" w:cs="Arial" w:eastAsia="Arial" w:hAnsi="Arial"/>
          <w:sz w:val="14"/>
          <w:szCs w:val="14"/>
          <w:i w:val="1"/>
          <w:iCs w:val="1"/>
          <w:color w:val="auto"/>
        </w:rPr>
        <w:t>Note 20 – Insurance Recoveries on Impairment and Related Losses due to Earthquake</w:t>
      </w:r>
      <w:r>
        <w:rPr>
          <w:rFonts w:ascii="Arial" w:cs="Arial" w:eastAsia="Arial" w:hAnsi="Arial"/>
          <w:sz w:val="14"/>
          <w:szCs w:val="14"/>
          <w:color w:val="auto"/>
        </w:rPr>
        <w:t xml:space="preserve"> for details on the estimation of the demolition costs for our Courtenay Central parking structure.</w:t>
      </w:r>
    </w:p>
    <w:p>
      <w:pPr>
        <w:ind w:left="640" w:hanging="320"/>
        <w:spacing w:after="0" w:line="221" w:lineRule="auto"/>
        <w:tabs>
          <w:tab w:leader="none" w:pos="6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lease liability of the option associated with the ground lease purchase of the Village East Cinema. See below for more information.</w:t>
      </w:r>
    </w:p>
    <w:p>
      <w:pPr>
        <w:ind w:left="640" w:hanging="320"/>
        <w:spacing w:after="0"/>
        <w:tabs>
          <w:tab w:leader="none" w:pos="6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pension liability associated with the Supplemental Executive Retirement Plan explained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Liability - Village East Purchase Option</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Our Village East lease includes a call option pursuant to which we may purchase the cinema ground lease for $5.9 million at the end of the lease term in June 2020. Additionally, our lease has a put option pursuant to which SHC may require our Company to purchase all or a portion of SHC’s interest in the existing cinema lease and the cinema ground lease at any time between July 1, 2013 and December 4, 2019. SHC’s put option may be exercised on one or more occasions in increments of not less than $100,000 each. Because our late Chairman, Chief Executive Officer, and controlling shareholder, Mr. James J. Cotter, Sr. was also the managing member of SHC, RDI and SHC are considered entities under common control. As a result, we have recorded the Village East Cinema building as a property asset of $4.7 million on our balance sheet based on the cost carry-over basis from an entity under common control with a corresponding lease liability of $5.9 million presented under other liabilities which accreted up to the $5.9 million liability through July 1, 2013 (see Note 19 – </w:t>
      </w:r>
      <w:r>
        <w:rPr>
          <w:rFonts w:ascii="Arial" w:cs="Arial" w:eastAsia="Arial" w:hAnsi="Arial"/>
          <w:sz w:val="17"/>
          <w:szCs w:val="17"/>
          <w:i w:val="1"/>
          <w:iCs w:val="1"/>
          <w:color w:val="auto"/>
        </w:rPr>
        <w:t>Related Parties</w:t>
      </w:r>
      <w:r>
        <w:rPr>
          <w:rFonts w:ascii="Arial" w:cs="Arial" w:eastAsia="Arial" w:hAnsi="Arial"/>
          <w:sz w:val="17"/>
          <w:szCs w:val="17"/>
          <w:color w:val="auto"/>
        </w:rPr>
        <w:t>). As the put option has been exercisable by SHC since July 1, 2013, the lease liability has been classified as part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Liability - Supplemental Executive Retirement Plan</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August 29, 2014, the Supplemental Executive Retirement Plan (“SERP”) that was effective since March 1, 2007, was ended and replaced with a new pension annuity. As a result of the termination of the SERP program, the accrued pension liability of $7.6 million was reversed and replaced with a new pension annuity liability of $7.5 million. The valuation of the liability is based on the present value of $10.2 million discounted at 4.25% over a 15-year term, resulting in a monthly payment of $56,944 payable to the estate of Mr. James J. Cotter, Sr. The discount rate of 4.25% has been applied since 2014 to determine the net periodic benefit cost and plan benefit obligation and is expected to be used in future years. The discounted value of $2.7 million (which is the difference between the estimated payout of $10.2 million and the present value of $7.5 million) will be amortized and expensed based on the 15-year term. In addition, the accumulated actuarial loss of $3.1 million recorded, as part of other comprehensive income, will also be amortized based on the 15-year term.</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result of the above, included in our other current and non-current liabilities are accrued pension costs of $5.4 million and $8.1 million as of December 31, 2018 and 2017, respectively. The benefits of our pension plans are fully vested and therefore no service costs were recognized 2018 and 2017. Our pension plans are unfunded.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The change in the SERP pension benefit obligation and the funded status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183"/>
        </w:trPr>
        <w:tc>
          <w:tcPr>
            <w:tcW w:w="7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January 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r>
      <w:tr>
        <w:trPr>
          <w:trHeight w:val="230"/>
        </w:trPr>
        <w:tc>
          <w:tcPr>
            <w:tcW w:w="734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made</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220"/>
              <w:spacing w:after="0"/>
              <w:rPr>
                <w:sz w:val="20"/>
                <w:szCs w:val="20"/>
                <w:color w:val="auto"/>
              </w:rPr>
            </w:pPr>
            <w:r>
              <w:rPr>
                <w:rFonts w:ascii="Arial" w:cs="Arial" w:eastAsia="Arial" w:hAnsi="Arial"/>
                <w:sz w:val="18"/>
                <w:szCs w:val="18"/>
                <w:color w:val="auto"/>
              </w:rPr>
              <w:t>Actuarial gain</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Benefit obligation at December 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8,135</w:t>
            </w:r>
          </w:p>
        </w:tc>
      </w:tr>
      <w:tr>
        <w:trPr>
          <w:trHeight w:val="210"/>
        </w:trPr>
        <w:tc>
          <w:tcPr>
            <w:tcW w:w="7340" w:type="dxa"/>
            <w:vAlign w:val="bottom"/>
          </w:tcPr>
          <w:p>
            <w:pPr>
              <w:spacing w:after="0" w:line="203" w:lineRule="exact"/>
              <w:rPr>
                <w:sz w:val="20"/>
                <w:szCs w:val="20"/>
                <w:color w:val="auto"/>
              </w:rPr>
            </w:pPr>
            <w:r>
              <w:rPr>
                <w:rFonts w:ascii="Arial" w:cs="Arial" w:eastAsia="Arial" w:hAnsi="Arial"/>
                <w:sz w:val="18"/>
                <w:szCs w:val="18"/>
                <w:b w:val="1"/>
                <w:bCs w:val="1"/>
                <w:color w:val="auto"/>
              </w:rPr>
              <w:t>Funded status at December 31</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(5,354)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(8,135)</w:t>
            </w:r>
          </w:p>
        </w:tc>
      </w:tr>
      <w:tr>
        <w:trPr>
          <w:trHeight w:val="432"/>
        </w:trPr>
        <w:tc>
          <w:tcPr>
            <w:tcW w:w="7340" w:type="dxa"/>
            <w:vAlign w:val="bottom"/>
          </w:tcPr>
          <w:p>
            <w:pPr>
              <w:spacing w:after="0"/>
              <w:rPr>
                <w:sz w:val="20"/>
                <w:szCs w:val="20"/>
                <w:color w:val="auto"/>
              </w:rPr>
            </w:pPr>
            <w:r>
              <w:rPr>
                <w:rFonts w:ascii="Arial" w:cs="Arial" w:eastAsia="Arial" w:hAnsi="Arial"/>
                <w:sz w:val="18"/>
                <w:szCs w:val="18"/>
                <w:color w:val="auto"/>
              </w:rPr>
              <w:t>Amounts recognized in the balance sheet consists of:</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66"/>
        </w:trPr>
        <w:tc>
          <w:tcPr>
            <w:tcW w:w="7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24"/>
                <w:szCs w:val="24"/>
                <w:color w:val="auto"/>
              </w:rPr>
            </w:pPr>
          </w:p>
        </w:tc>
      </w:tr>
      <w:tr>
        <w:trPr>
          <w:trHeight w:val="210"/>
        </w:trPr>
        <w:tc>
          <w:tcPr>
            <w:tcW w:w="7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 - Non current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w:t>
            </w:r>
          </w:p>
        </w:tc>
      </w:tr>
      <w:tr>
        <w:trPr>
          <w:trHeight w:val="217"/>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pension liability</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8,135</w:t>
            </w:r>
          </w:p>
        </w:tc>
      </w:tr>
      <w:tr>
        <w:trPr>
          <w:trHeight w:val="432"/>
        </w:trPr>
        <w:tc>
          <w:tcPr>
            <w:tcW w:w="9280" w:type="dxa"/>
            <w:vAlign w:val="bottom"/>
            <w:gridSpan w:val="7"/>
          </w:tcPr>
          <w:p>
            <w:pPr>
              <w:spacing w:after="0"/>
              <w:rPr>
                <w:sz w:val="20"/>
                <w:szCs w:val="20"/>
                <w:color w:val="auto"/>
              </w:rPr>
            </w:pPr>
            <w:r>
              <w:rPr>
                <w:rFonts w:ascii="Arial" w:cs="Arial" w:eastAsia="Arial" w:hAnsi="Arial"/>
                <w:sz w:val="18"/>
                <w:szCs w:val="18"/>
                <w:color w:val="auto"/>
                <w:w w:val="92"/>
              </w:rPr>
              <w:t>The components of the net periodic benefit cost and other amounts recognized in other comprehensive income are as follows:</w:t>
            </w:r>
          </w:p>
        </w:tc>
        <w:tc>
          <w:tcPr>
            <w:tcW w:w="840" w:type="dxa"/>
            <w:vAlign w:val="bottom"/>
          </w:tcPr>
          <w:p>
            <w:pPr>
              <w:spacing w:after="0"/>
              <w:rPr>
                <w:sz w:val="24"/>
                <w:szCs w:val="24"/>
                <w:color w:val="auto"/>
              </w:rPr>
            </w:pPr>
          </w:p>
        </w:tc>
      </w:tr>
      <w:tr>
        <w:trPr>
          <w:trHeight w:val="453"/>
        </w:trPr>
        <w:tc>
          <w:tcPr>
            <w:tcW w:w="7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24"/>
                <w:szCs w:val="24"/>
                <w:color w:val="auto"/>
              </w:rPr>
            </w:pPr>
          </w:p>
        </w:tc>
      </w:tr>
      <w:tr>
        <w:trPr>
          <w:trHeight w:val="183"/>
        </w:trPr>
        <w:tc>
          <w:tcPr>
            <w:tcW w:w="7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Interest cost</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9"/>
                <w:szCs w:val="19"/>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net actuarial gain</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03"/>
        </w:trPr>
        <w:tc>
          <w:tcPr>
            <w:tcW w:w="7340" w:type="dxa"/>
            <w:vAlign w:val="bottom"/>
          </w:tcPr>
          <w:p>
            <w:pPr>
              <w:spacing w:after="0" w:line="203" w:lineRule="exact"/>
              <w:rPr>
                <w:sz w:val="20"/>
                <w:szCs w:val="20"/>
                <w:color w:val="auto"/>
              </w:rPr>
            </w:pPr>
            <w:r>
              <w:rPr>
                <w:rFonts w:ascii="Arial" w:cs="Arial" w:eastAsia="Arial" w:hAnsi="Arial"/>
                <w:sz w:val="18"/>
                <w:szCs w:val="18"/>
                <w:b w:val="1"/>
                <w:bCs w:val="1"/>
                <w:color w:val="auto"/>
              </w:rPr>
              <w:t>Items recognized in other comprehensive income</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7"/>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recognized in other comprehensive income</w:t>
            </w: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36"/>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recognized in net periodic benefit cost and other comprehensive income</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r>
      <w:tr>
        <w:trPr>
          <w:trHeight w:val="419"/>
        </w:trPr>
        <w:tc>
          <w:tcPr>
            <w:tcW w:w="7340" w:type="dxa"/>
            <w:vAlign w:val="bottom"/>
          </w:tcPr>
          <w:p>
            <w:pPr>
              <w:spacing w:after="0"/>
              <w:rPr>
                <w:sz w:val="20"/>
                <w:szCs w:val="20"/>
                <w:color w:val="auto"/>
              </w:rPr>
            </w:pPr>
            <w:r>
              <w:rPr>
                <w:rFonts w:ascii="Arial" w:cs="Arial" w:eastAsia="Arial" w:hAnsi="Arial"/>
                <w:sz w:val="18"/>
                <w:szCs w:val="18"/>
                <w:color w:val="auto"/>
                <w:w w:val="98"/>
              </w:rPr>
              <w:t>Items not yet recognized as a component of net periodic pension cost consist of the following:</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66"/>
        </w:trPr>
        <w:tc>
          <w:tcPr>
            <w:tcW w:w="7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24"/>
                <w:szCs w:val="24"/>
                <w:color w:val="auto"/>
              </w:rPr>
            </w:pPr>
          </w:p>
        </w:tc>
      </w:tr>
      <w:tr>
        <w:trPr>
          <w:trHeight w:val="210"/>
        </w:trPr>
        <w:tc>
          <w:tcPr>
            <w:tcW w:w="7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Unamortized actuarial loss</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r>
      <w:tr>
        <w:trPr>
          <w:trHeight w:val="217"/>
        </w:trPr>
        <w:tc>
          <w:tcPr>
            <w:tcW w:w="73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2,592</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estimated unamortized actuarial loss for the defined benefit pension plan that will be amortized from accumulated other comprehensive income into net periodic benefit cost over the next fiscal year will be $207,000 (gross of any tax effects).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estimated future benefit payments for the next five years and thereafter as of December 31,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r>
      <w:tr>
        <w:trPr>
          <w:trHeight w:val="149"/>
        </w:trPr>
        <w:tc>
          <w:tcPr>
            <w:tcW w:w="48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6"/>
              </w:rPr>
              <w:t>Future</w:t>
            </w:r>
          </w:p>
        </w:tc>
        <w:tc>
          <w:tcPr>
            <w:tcW w:w="20" w:type="dxa"/>
            <w:vAlign w:val="bottom"/>
          </w:tcPr>
          <w:p>
            <w:pPr>
              <w:spacing w:after="0"/>
              <w:rPr>
                <w:sz w:val="12"/>
                <w:szCs w:val="12"/>
                <w:color w:val="auto"/>
              </w:rPr>
            </w:pPr>
          </w:p>
        </w:tc>
      </w:tr>
      <w:tr>
        <w:trPr>
          <w:trHeight w:val="149"/>
        </w:trPr>
        <w:tc>
          <w:tcPr>
            <w:tcW w:w="48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8"/>
              </w:rPr>
              <w:t>Pension</w:t>
            </w:r>
          </w:p>
        </w:tc>
        <w:tc>
          <w:tcPr>
            <w:tcW w:w="20" w:type="dxa"/>
            <w:vAlign w:val="bottom"/>
          </w:tcPr>
          <w:p>
            <w:pPr>
              <w:spacing w:after="0"/>
              <w:rPr>
                <w:sz w:val="12"/>
                <w:szCs w:val="12"/>
                <w:color w:val="auto"/>
              </w:rPr>
            </w:pPr>
          </w:p>
        </w:tc>
      </w:tr>
      <w:tr>
        <w:trPr>
          <w:trHeight w:val="178"/>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38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Payments</w:t>
            </w:r>
          </w:p>
        </w:tc>
        <w:tc>
          <w:tcPr>
            <w:tcW w:w="20" w:type="dxa"/>
            <w:vAlign w:val="bottom"/>
          </w:tcPr>
          <w:p>
            <w:pPr>
              <w:spacing w:after="0"/>
              <w:rPr>
                <w:sz w:val="15"/>
                <w:szCs w:val="15"/>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2020</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2022</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20" w:type="dxa"/>
            <w:vAlign w:val="bottom"/>
          </w:tcPr>
          <w:p>
            <w:pPr>
              <w:spacing w:after="0"/>
              <w:rPr>
                <w:sz w:val="18"/>
                <w:szCs w:val="18"/>
                <w:color w:val="auto"/>
              </w:rPr>
            </w:pPr>
          </w:p>
        </w:tc>
      </w:tr>
      <w:tr>
        <w:trPr>
          <w:trHeight w:val="230"/>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pension payments</w:t>
            </w:r>
          </w:p>
        </w:tc>
        <w:tc>
          <w:tcPr>
            <w:tcW w:w="38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5,354</w:t>
            </w:r>
          </w:p>
        </w:tc>
        <w:tc>
          <w:tcPr>
            <w:tcW w:w="20" w:type="dxa"/>
            <w:vAlign w:val="bottom"/>
          </w:tcPr>
          <w:p>
            <w:pPr>
              <w:spacing w:after="0"/>
              <w:rPr>
                <w:sz w:val="19"/>
                <w:szCs w:val="19"/>
                <w:color w:val="auto"/>
              </w:rPr>
            </w:pPr>
          </w:p>
        </w:tc>
      </w:tr>
      <w:tr>
        <w:trPr>
          <w:trHeight w:val="635"/>
        </w:trPr>
        <w:tc>
          <w:tcPr>
            <w:tcW w:w="4880" w:type="dxa"/>
            <w:vAlign w:val="bottom"/>
          </w:tcPr>
          <w:p>
            <w:pPr>
              <w:ind w:left="478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3290"/>
              <w:spacing w:after="0"/>
              <w:rPr>
                <w:sz w:val="20"/>
                <w:szCs w:val="20"/>
                <w:color w:val="auto"/>
              </w:rPr>
            </w:pPr>
            <w:r>
              <w:rPr>
                <w:rFonts w:ascii="Arial" w:cs="Arial" w:eastAsia="Arial" w:hAnsi="Arial"/>
                <w:sz w:val="18"/>
                <w:szCs w:val="18"/>
                <w:color w:val="auto"/>
              </w:rPr>
              <w:t>115 -</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88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88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41" w:right="8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Lease Make-Good Provision</w:t>
      </w:r>
    </w:p>
    <w:p>
      <w:pPr>
        <w:spacing w:after="0" w:line="225"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carrying amounts of the lease make-good provision is presented in the following table: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As of and for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As of and for</w:t>
            </w:r>
          </w:p>
        </w:tc>
      </w:tr>
      <w:tr>
        <w:trPr>
          <w:trHeight w:val="149"/>
        </w:trPr>
        <w:tc>
          <w:tcPr>
            <w:tcW w:w="7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the year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the year ended</w:t>
            </w:r>
          </w:p>
        </w:tc>
      </w:tr>
      <w:tr>
        <w:trPr>
          <w:trHeight w:val="149"/>
        </w:trPr>
        <w:tc>
          <w:tcPr>
            <w:tcW w:w="7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8"/>
        </w:trPr>
        <w:tc>
          <w:tcPr>
            <w:tcW w:w="7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Lease make-good provision, at January 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Liabilities incurred during the year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Liabilities settled during the year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Accretion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foreign currency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7"/>
        </w:trPr>
        <w:tc>
          <w:tcPr>
            <w:tcW w:w="7340" w:type="dxa"/>
            <w:vAlign w:val="bottom"/>
          </w:tcPr>
          <w:p>
            <w:pPr>
              <w:spacing w:after="0"/>
              <w:rPr>
                <w:sz w:val="20"/>
                <w:szCs w:val="20"/>
                <w:color w:val="auto"/>
              </w:rPr>
            </w:pPr>
            <w:r>
              <w:rPr>
                <w:rFonts w:ascii="Arial" w:cs="Arial" w:eastAsia="Arial" w:hAnsi="Arial"/>
                <w:sz w:val="18"/>
                <w:szCs w:val="18"/>
                <w:b w:val="1"/>
                <w:bCs w:val="1"/>
                <w:color w:val="auto"/>
              </w:rPr>
              <w:t>Lease make-good provision, at December 31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COMMITMENTS AND CONTINGENCIES</w:t>
      </w:r>
    </w:p>
    <w:p>
      <w:pPr>
        <w:spacing w:after="0" w:line="22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Insofar as our Company is aware, there are no claims, arbitration proceedings, or litigation proceedings that constitute potentially material contingent liabilities of our Company. Discussed below are certain matters which, however, have been significant to our Company and/or which may, depending upon the outcome of certain appeals, be significant to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known commitments and contingencies as of December 31, 2018:</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Categories</w:t>
            </w:r>
          </w:p>
        </w:tc>
        <w:tc>
          <w:tcPr>
            <w:tcW w:w="50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b w:val="1"/>
                <w:bCs w:val="1"/>
                <w:color w:val="auto"/>
                <w:w w:val="99"/>
              </w:rPr>
              <w:t>Nature; Company Policy on Recognition and/or Disclosure</w:t>
            </w:r>
            <w:r>
              <w:rPr>
                <w:rFonts w:ascii="Arial" w:cs="Arial" w:eastAsia="Arial" w:hAnsi="Arial"/>
                <w:sz w:val="7"/>
                <w:szCs w:val="7"/>
                <w:color w:val="auto"/>
                <w:w w:val="99"/>
              </w:rPr>
              <w:t>(2)</w:t>
            </w:r>
          </w:p>
        </w:tc>
        <w:tc>
          <w:tcPr>
            <w:tcW w:w="26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b w:val="1"/>
                <w:bCs w:val="1"/>
                <w:color w:val="auto"/>
              </w:rPr>
              <w:t>Discussion Reference</w:t>
            </w:r>
          </w:p>
        </w:tc>
      </w:tr>
      <w:tr>
        <w:trPr>
          <w:trHeight w:val="210"/>
        </w:trPr>
        <w:tc>
          <w:tcPr>
            <w:tcW w:w="25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COMMITMENTS</w:t>
            </w:r>
          </w:p>
        </w:tc>
        <w:tc>
          <w:tcPr>
            <w:tcW w:w="50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193"/>
        </w:trPr>
        <w:tc>
          <w:tcPr>
            <w:tcW w:w="2520" w:type="dxa"/>
            <w:vAlign w:val="bottom"/>
          </w:tcPr>
          <w:p>
            <w:pPr>
              <w:ind w:left="280"/>
              <w:spacing w:after="0" w:line="193" w:lineRule="exact"/>
              <w:rPr>
                <w:sz w:val="20"/>
                <w:szCs w:val="20"/>
                <w:color w:val="auto"/>
              </w:rPr>
            </w:pPr>
            <w:r>
              <w:rPr>
                <w:rFonts w:ascii="Arial" w:cs="Arial" w:eastAsia="Arial" w:hAnsi="Arial"/>
                <w:sz w:val="16"/>
                <w:szCs w:val="16"/>
                <w:color w:val="auto"/>
              </w:rPr>
              <w:t>Lease commitments</w:t>
            </w:r>
            <w:r>
              <w:rPr>
                <w:rFonts w:ascii="Arial" w:cs="Arial" w:eastAsia="Arial" w:hAnsi="Arial"/>
                <w:sz w:val="17"/>
                <w:szCs w:val="17"/>
                <w:color w:val="auto"/>
                <w:vertAlign w:val="superscript"/>
              </w:rPr>
              <w:t>(1)</w:t>
            </w:r>
          </w:p>
        </w:tc>
        <w:tc>
          <w:tcPr>
            <w:tcW w:w="5000" w:type="dxa"/>
            <w:vAlign w:val="bottom"/>
          </w:tcPr>
          <w:p>
            <w:pPr>
              <w:ind w:left="660"/>
              <w:spacing w:after="0"/>
              <w:rPr>
                <w:sz w:val="20"/>
                <w:szCs w:val="20"/>
                <w:color w:val="auto"/>
              </w:rPr>
            </w:pPr>
            <w:r>
              <w:rPr>
                <w:rFonts w:ascii="Arial" w:cs="Arial" w:eastAsia="Arial" w:hAnsi="Arial"/>
                <w:sz w:val="16"/>
                <w:szCs w:val="16"/>
                <w:color w:val="auto"/>
                <w:w w:val="97"/>
              </w:rPr>
              <w:t>Off-balance sheet disclosures relating to future minimum lease</w:t>
            </w:r>
          </w:p>
        </w:tc>
        <w:tc>
          <w:tcPr>
            <w:tcW w:w="2600" w:type="dxa"/>
            <w:vAlign w:val="bottom"/>
          </w:tcPr>
          <w:p>
            <w:pPr>
              <w:ind w:left="280"/>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18 - Leases</w:t>
            </w:r>
          </w:p>
        </w:tc>
      </w:tr>
      <w:tr>
        <w:trPr>
          <w:trHeight w:val="203"/>
        </w:trPr>
        <w:tc>
          <w:tcPr>
            <w:tcW w:w="2520" w:type="dxa"/>
            <w:vAlign w:val="bottom"/>
          </w:tcPr>
          <w:p>
            <w:pPr>
              <w:spacing w:after="0"/>
              <w:rPr>
                <w:sz w:val="17"/>
                <w:szCs w:val="17"/>
                <w:color w:val="auto"/>
              </w:rPr>
            </w:pPr>
          </w:p>
        </w:tc>
        <w:tc>
          <w:tcPr>
            <w:tcW w:w="5000" w:type="dxa"/>
            <w:vAlign w:val="bottom"/>
          </w:tcPr>
          <w:p>
            <w:pPr>
              <w:ind w:left="660"/>
              <w:spacing w:after="0"/>
              <w:rPr>
                <w:sz w:val="20"/>
                <w:szCs w:val="20"/>
                <w:color w:val="auto"/>
              </w:rPr>
            </w:pPr>
            <w:r>
              <w:rPr>
                <w:rFonts w:ascii="Arial" w:cs="Arial" w:eastAsia="Arial" w:hAnsi="Arial"/>
                <w:sz w:val="16"/>
                <w:szCs w:val="16"/>
                <w:color w:val="auto"/>
                <w:w w:val="98"/>
              </w:rPr>
              <w:t>payments, mostly related to our operating cinemas on leased-</w:t>
            </w:r>
          </w:p>
        </w:tc>
        <w:tc>
          <w:tcPr>
            <w:tcW w:w="2600" w:type="dxa"/>
            <w:vAlign w:val="bottom"/>
          </w:tcPr>
          <w:p>
            <w:pPr>
              <w:spacing w:after="0"/>
              <w:rPr>
                <w:sz w:val="17"/>
                <w:szCs w:val="17"/>
                <w:color w:val="auto"/>
              </w:rPr>
            </w:pPr>
          </w:p>
        </w:tc>
      </w:tr>
      <w:tr>
        <w:trPr>
          <w:trHeight w:val="209"/>
        </w:trPr>
        <w:tc>
          <w:tcPr>
            <w:tcW w:w="2520" w:type="dxa"/>
            <w:vAlign w:val="bottom"/>
          </w:tcPr>
          <w:p>
            <w:pPr>
              <w:spacing w:after="0"/>
              <w:rPr>
                <w:sz w:val="18"/>
                <w:szCs w:val="18"/>
                <w:color w:val="auto"/>
              </w:rPr>
            </w:pPr>
          </w:p>
        </w:tc>
        <w:tc>
          <w:tcPr>
            <w:tcW w:w="5000" w:type="dxa"/>
            <w:vAlign w:val="bottom"/>
          </w:tcPr>
          <w:p>
            <w:pPr>
              <w:ind w:left="660"/>
              <w:spacing w:after="0"/>
              <w:rPr>
                <w:sz w:val="20"/>
                <w:szCs w:val="20"/>
                <w:color w:val="auto"/>
              </w:rPr>
            </w:pPr>
            <w:r>
              <w:rPr>
                <w:rFonts w:ascii="Arial" w:cs="Arial" w:eastAsia="Arial" w:hAnsi="Arial"/>
                <w:sz w:val="16"/>
                <w:szCs w:val="16"/>
                <w:color w:val="auto"/>
              </w:rPr>
              <w:t>facility models.</w:t>
            </w:r>
          </w:p>
        </w:tc>
        <w:tc>
          <w:tcPr>
            <w:tcW w:w="2600" w:type="dxa"/>
            <w:vAlign w:val="bottom"/>
          </w:tcPr>
          <w:p>
            <w:pPr>
              <w:spacing w:after="0"/>
              <w:rPr>
                <w:sz w:val="18"/>
                <w:szCs w:val="18"/>
                <w:color w:val="auto"/>
              </w:rPr>
            </w:pPr>
          </w:p>
        </w:tc>
      </w:tr>
      <w:tr>
        <w:trPr>
          <w:trHeight w:val="219"/>
        </w:trPr>
        <w:tc>
          <w:tcPr>
            <w:tcW w:w="25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CONTINGENCIES</w:t>
            </w:r>
          </w:p>
        </w:tc>
        <w:tc>
          <w:tcPr>
            <w:tcW w:w="500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0120"/>
          </w:cols>
          <w:pgMar w:left="900" w:top="341" w:right="879" w:bottom="1440" w:gutter="0" w:footer="0" w:header="0"/>
        </w:sectPr>
      </w:pPr>
    </w:p>
    <w:p>
      <w:pPr>
        <w:ind w:left="280" w:firstLine="7"/>
        <w:spacing w:after="0" w:line="307" w:lineRule="auto"/>
        <w:rPr>
          <w:sz w:val="20"/>
          <w:szCs w:val="20"/>
          <w:color w:val="auto"/>
        </w:rPr>
      </w:pPr>
      <w:r>
        <w:rPr>
          <w:rFonts w:ascii="Arial" w:cs="Arial" w:eastAsia="Arial" w:hAnsi="Arial"/>
          <w:sz w:val="14"/>
          <w:szCs w:val="14"/>
          <w:color w:val="auto"/>
        </w:rPr>
        <w:t>Insurance gain contingencies and derivative loss contingencies on demolition costs relating to recent earthquake incident</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5"/>
          <w:szCs w:val="15"/>
          <w:color w:val="auto"/>
        </w:rPr>
        <w:t>Gain contingencies relating to an insurance claim are recognized once collectability is probable; related loss contingencies is recognized when there are probable likelihood of incurrence and amount is reasonably estimable.</w:t>
      </w:r>
    </w:p>
    <w:p>
      <w:pPr>
        <w:spacing w:after="0" w:line="20" w:lineRule="exact"/>
        <w:rPr>
          <w:sz w:val="20"/>
          <w:szCs w:val="20"/>
          <w:color w:val="auto"/>
        </w:rPr>
      </w:pPr>
      <w:r>
        <w:rPr>
          <w:sz w:val="20"/>
          <w:szCs w:val="20"/>
          <w:color w:val="auto"/>
        </w:rPr>
        <w:br w:type="column"/>
      </w:r>
    </w:p>
    <w:p>
      <w:pPr>
        <w:ind w:right="220"/>
        <w:spacing w:after="0" w:line="286" w:lineRule="auto"/>
        <w:rPr>
          <w:sz w:val="20"/>
          <w:szCs w:val="20"/>
          <w:color w:val="auto"/>
        </w:rPr>
      </w:pPr>
      <w:r>
        <w:rPr>
          <w:rFonts w:ascii="Arial" w:cs="Arial" w:eastAsia="Arial" w:hAnsi="Arial"/>
          <w:sz w:val="15"/>
          <w:szCs w:val="15"/>
          <w:color w:val="auto"/>
        </w:rPr>
        <w:t xml:space="preserve">Refer to </w:t>
      </w:r>
      <w:r>
        <w:rPr>
          <w:rFonts w:ascii="Arial" w:cs="Arial" w:eastAsia="Arial" w:hAnsi="Arial"/>
          <w:sz w:val="15"/>
          <w:szCs w:val="15"/>
          <w:i w:val="1"/>
          <w:iCs w:val="1"/>
          <w:color w:val="auto"/>
        </w:rPr>
        <w:t>Note 20 – Insurance</w:t>
      </w:r>
      <w:r>
        <w:rPr>
          <w:rFonts w:ascii="Arial" w:cs="Arial" w:eastAsia="Arial" w:hAnsi="Arial"/>
          <w:sz w:val="15"/>
          <w:szCs w:val="15"/>
          <w:color w:val="auto"/>
        </w:rPr>
        <w:t xml:space="preserve"> </w:t>
      </w:r>
      <w:r>
        <w:rPr>
          <w:rFonts w:ascii="Arial" w:cs="Arial" w:eastAsia="Arial" w:hAnsi="Arial"/>
          <w:sz w:val="15"/>
          <w:szCs w:val="15"/>
          <w:i w:val="1"/>
          <w:iCs w:val="1"/>
          <w:color w:val="auto"/>
        </w:rPr>
        <w:t>Recoveries on Impairment and Related Losses Recoverable due to Earthquake</w:t>
      </w:r>
      <w:r>
        <w:rPr>
          <w:rFonts w:ascii="Arial" w:cs="Arial" w:eastAsia="Arial" w:hAnsi="Arial"/>
          <w:sz w:val="15"/>
          <w:szCs w:val="15"/>
          <w:color w:val="auto"/>
        </w:rPr>
        <w:t>.</w:t>
      </w:r>
    </w:p>
    <w:p>
      <w:pPr>
        <w:spacing w:after="0" w:line="2" w:lineRule="exact"/>
        <w:rPr>
          <w:sz w:val="20"/>
          <w:szCs w:val="20"/>
          <w:color w:val="auto"/>
        </w:rPr>
      </w:pPr>
    </w:p>
    <w:p>
      <w:pPr>
        <w:sectPr>
          <w:pgSz w:w="11900" w:h="16838" w:orient="portrait"/>
          <w:cols w:equalWidth="0" w:num="3">
            <w:col w:w="2480" w:space="700"/>
            <w:col w:w="4200" w:space="420"/>
            <w:col w:w="2320"/>
          </w:cols>
          <w:pgMar w:left="900" w:top="341" w:right="87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3040" w:type="dxa"/>
            <w:vAlign w:val="bottom"/>
            <w:shd w:val="clear" w:color="auto" w:fill="CCEEFF"/>
          </w:tcPr>
          <w:p>
            <w:pPr>
              <w:ind w:left="280"/>
              <w:spacing w:after="0" w:line="179" w:lineRule="exact"/>
              <w:rPr>
                <w:sz w:val="20"/>
                <w:szCs w:val="20"/>
                <w:color w:val="auto"/>
              </w:rPr>
            </w:pPr>
            <w:r>
              <w:rPr>
                <w:rFonts w:ascii="Arial" w:cs="Arial" w:eastAsia="Arial" w:hAnsi="Arial"/>
                <w:sz w:val="16"/>
                <w:szCs w:val="16"/>
                <w:color w:val="auto"/>
              </w:rPr>
              <w:t>Other Litigation matters, notably</w:t>
            </w:r>
          </w:p>
        </w:tc>
        <w:tc>
          <w:tcPr>
            <w:tcW w:w="450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w w:val="96"/>
              </w:rPr>
              <w:t>Similar policies for gain and loss contingencies as noted above.</w:t>
            </w:r>
          </w:p>
        </w:tc>
        <w:tc>
          <w:tcPr>
            <w:tcW w:w="2580" w:type="dxa"/>
            <w:vAlign w:val="bottom"/>
            <w:shd w:val="clear" w:color="auto" w:fill="CCEEFF"/>
          </w:tcPr>
          <w:p>
            <w:pPr>
              <w:ind w:left="260"/>
              <w:spacing w:after="0" w:line="179" w:lineRule="exact"/>
              <w:rPr>
                <w:sz w:val="20"/>
                <w:szCs w:val="20"/>
                <w:color w:val="auto"/>
              </w:rPr>
            </w:pPr>
            <w:r>
              <w:rPr>
                <w:rFonts w:ascii="Arial" w:cs="Arial" w:eastAsia="Arial" w:hAnsi="Arial"/>
                <w:sz w:val="16"/>
                <w:szCs w:val="16"/>
                <w:color w:val="auto"/>
              </w:rPr>
              <w:t>Refer below for further</w:t>
            </w:r>
          </w:p>
        </w:tc>
      </w:tr>
      <w:tr>
        <w:trPr>
          <w:trHeight w:val="203"/>
        </w:trPr>
        <w:tc>
          <w:tcPr>
            <w:tcW w:w="30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Derivative Litigation involving James J.</w:t>
            </w:r>
          </w:p>
        </w:tc>
        <w:tc>
          <w:tcPr>
            <w:tcW w:w="4500" w:type="dxa"/>
            <w:vAlign w:val="bottom"/>
            <w:shd w:val="clear" w:color="auto" w:fill="CCEEFF"/>
          </w:tcPr>
          <w:p>
            <w:pPr>
              <w:spacing w:after="0"/>
              <w:rPr>
                <w:sz w:val="17"/>
                <w:szCs w:val="17"/>
                <w:color w:val="auto"/>
              </w:rPr>
            </w:pPr>
          </w:p>
        </w:tc>
        <w:tc>
          <w:tcPr>
            <w:tcW w:w="2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discussion.</w:t>
            </w:r>
          </w:p>
        </w:tc>
      </w:tr>
      <w:tr>
        <w:trPr>
          <w:trHeight w:val="226"/>
        </w:trPr>
        <w:tc>
          <w:tcPr>
            <w:tcW w:w="3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Cotter Jr.</w:t>
            </w:r>
          </w:p>
        </w:tc>
        <w:tc>
          <w:tcPr>
            <w:tcW w:w="45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642302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ind w:left="640" w:right="100" w:hanging="320"/>
        <w:spacing w:after="0" w:line="226" w:lineRule="auto"/>
        <w:tabs>
          <w:tab w:leader="none" w:pos="6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Starting January 1, 2019, lease commitments relating to our operating cinema leases will be brought forward to our Consolidated Balance Sheet, as required by the new lease accounting model.</w:t>
      </w:r>
    </w:p>
    <w:p>
      <w:pPr>
        <w:ind w:left="640" w:right="220" w:hanging="320"/>
        <w:spacing w:after="0" w:line="237" w:lineRule="auto"/>
        <w:tabs>
          <w:tab w:leader="none" w:pos="6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Consistent with our accounting policy for loss and gain contingencies discussed in </w:t>
      </w:r>
      <w:r>
        <w:rPr>
          <w:rFonts w:ascii="Arial" w:cs="Arial" w:eastAsia="Arial" w:hAnsi="Arial"/>
          <w:sz w:val="14"/>
          <w:szCs w:val="14"/>
          <w:i w:val="1"/>
          <w:iCs w:val="1"/>
          <w:color w:val="auto"/>
        </w:rPr>
        <w:t>Note 2 – Summary of Significant Accounting Policies</w:t>
      </w:r>
      <w:r>
        <w:rPr>
          <w:rFonts w:ascii="Arial" w:cs="Arial" w:eastAsia="Arial" w:hAnsi="Arial"/>
          <w:sz w:val="14"/>
          <w:szCs w:val="14"/>
          <w:color w:val="auto"/>
        </w:rPr>
        <w:t xml:space="preserve"> and further discussed in more details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Matters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currently involved in certain legal proceedings and, as required, have accrued estimates of probable and estimable losses for the resolution of these claims, including legal costs.</w:t>
      </w:r>
    </w:p>
    <w:p>
      <w:pPr>
        <w:spacing w:after="0" w:line="49" w:lineRule="exact"/>
        <w:rPr>
          <w:sz w:val="20"/>
          <w:szCs w:val="20"/>
          <w:color w:val="auto"/>
        </w:rPr>
      </w:pPr>
    </w:p>
    <w:p>
      <w:pPr>
        <w:ind w:left="640" w:right="160" w:hanging="320"/>
        <w:spacing w:after="0" w:line="226" w:lineRule="auto"/>
        <w:tabs>
          <w:tab w:leader="none" w:pos="64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 xml:space="preserve">Where we are the </w:t>
      </w:r>
      <w:r>
        <w:rPr>
          <w:rFonts w:ascii="Arial" w:cs="Arial" w:eastAsia="Arial" w:hAnsi="Arial"/>
          <w:sz w:val="18"/>
          <w:szCs w:val="18"/>
          <w:i w:val="1"/>
          <w:iCs w:val="1"/>
          <w:u w:val="single" w:color="auto"/>
          <w:color w:val="auto"/>
        </w:rPr>
        <w:t>plaintiffs</w:t>
      </w:r>
      <w:r>
        <w:rPr>
          <w:rFonts w:ascii="Arial" w:cs="Arial" w:eastAsia="Arial" w:hAnsi="Arial"/>
          <w:sz w:val="18"/>
          <w:szCs w:val="18"/>
          <w:color w:val="auto"/>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81" w:lineRule="exact"/>
        <w:rPr>
          <w:rFonts w:ascii="Arial" w:cs="Arial" w:eastAsia="Arial" w:hAnsi="Arial"/>
          <w:sz w:val="29"/>
          <w:szCs w:val="29"/>
          <w:color w:val="auto"/>
          <w:vertAlign w:val="superscript"/>
        </w:rPr>
      </w:pPr>
    </w:p>
    <w:p>
      <w:pPr>
        <w:ind w:left="640" w:right="20" w:hanging="320"/>
        <w:spacing w:after="0" w:line="232" w:lineRule="auto"/>
        <w:tabs>
          <w:tab w:leader="none" w:pos="64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 xml:space="preserve">Where we are the </w:t>
      </w:r>
      <w:r>
        <w:rPr>
          <w:rFonts w:ascii="Arial" w:cs="Arial" w:eastAsia="Arial" w:hAnsi="Arial"/>
          <w:sz w:val="18"/>
          <w:szCs w:val="18"/>
          <w:i w:val="1"/>
          <w:iCs w:val="1"/>
          <w:u w:val="single" w:color="auto"/>
          <w:color w:val="auto"/>
        </w:rPr>
        <w:t>defendants</w:t>
      </w:r>
      <w:r>
        <w:rPr>
          <w:rFonts w:ascii="Arial" w:cs="Arial" w:eastAsia="Arial" w:hAnsi="Arial"/>
          <w:sz w:val="18"/>
          <w:szCs w:val="18"/>
          <w:color w:val="auto"/>
        </w:rPr>
        <w:t>,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time-to-time, we are involved with claims and lawsuits arising in the ordinary course of our business that may include contractual obligations, insurance claims, tax claims, employment matters, and anti-trust issues, among other matters.</w:t>
      </w:r>
    </w:p>
    <w:p>
      <w:pPr>
        <w:spacing w:after="0" w:line="200" w:lineRule="exact"/>
        <w:rPr>
          <w:rFonts w:ascii="Arial" w:cs="Arial" w:eastAsia="Arial" w:hAnsi="Arial"/>
          <w:sz w:val="29"/>
          <w:szCs w:val="29"/>
          <w:color w:val="auto"/>
          <w:vertAlign w:val="superscript"/>
        </w:rPr>
      </w:pPr>
    </w:p>
    <w:p>
      <w:pPr>
        <w:spacing w:after="0" w:line="221" w:lineRule="exact"/>
        <w:rPr>
          <w:rFonts w:ascii="Arial" w:cs="Arial" w:eastAsia="Arial" w:hAnsi="Arial"/>
          <w:sz w:val="29"/>
          <w:szCs w:val="29"/>
          <w:color w:val="auto"/>
          <w:vertAlign w:val="superscript"/>
        </w:rPr>
      </w:pPr>
    </w:p>
    <w:p>
      <w:pPr>
        <w:ind w:left="4920" w:hanging="147"/>
        <w:spacing w:after="0"/>
        <w:tabs>
          <w:tab w:leader="none" w:pos="49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type w:val="continuous"/>
        </w:sectPr>
      </w:pPr>
    </w:p>
    <w:bookmarkStart w:id="117" w:name="page118"/>
    <w:bookmarkEnd w:id="117"/>
    <w:p>
      <w:pPr>
        <w:jc w:val="both"/>
        <w:ind w:right="20"/>
        <w:spacing w:after="0" w:line="276" w:lineRule="auto"/>
        <w:rPr>
          <w:sz w:val="20"/>
          <w:szCs w:val="20"/>
          <w:color w:val="auto"/>
        </w:rPr>
      </w:pPr>
      <w:r>
        <w:rPr>
          <w:rFonts w:ascii="Arial" w:cs="Arial" w:eastAsia="Arial" w:hAnsi="Arial"/>
          <w:sz w:val="17"/>
          <w:szCs w:val="17"/>
          <w:color w:val="auto"/>
        </w:rPr>
        <w:t>All of these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Environmental and Asbestos Claims on Reading Legacy Operations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time-to-time, been named in and may in the future be named in various actions brought under applicable environmental laws. Also, we are in the real estate development business and may encounter from time-to-time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8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From time-to-time, there are claims brought against us relating to the exposure of former employees of our railroad operations to asbestos and coal dust. These are generally covered by an insurance settlement reached in September 1990 with our insurance providers. However, this insurance settlement does not cover litigation by people who were not our employees and who may claim second-hand exposure to asbestos, coal dust and/or other chemicals or elements now recognized as potentially causing cancer in humans. Our known exposure to these types of claims, asserted or probable of being asserted, is not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Tax Audit/Litigation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Internal Revenue Service (the “IRS”) examined the tax return of Craig Corporation (“CRG”) for its tax year ended June 30, 1997. CRG was a stand-alone entity in the year of audit but is now a wholly-owned subsidiary of the Company. In Tax Court, CRG and the IRS agreed to compromise the claims made by the IRS against CRG, and the court order was entered on January 6, 2011. As of December 31, 2018, the remaining federal tax obligation was $3.0 million. For additional information, see </w:t>
      </w:r>
      <w:r>
        <w:rPr>
          <w:rFonts w:ascii="Arial" w:cs="Arial" w:eastAsia="Arial" w:hAnsi="Arial"/>
          <w:sz w:val="17"/>
          <w:szCs w:val="17"/>
          <w:i w:val="1"/>
          <w:iCs w:val="1"/>
          <w:color w:val="auto"/>
        </w:rPr>
        <w:t>Note 9</w:t>
      </w:r>
      <w:r>
        <w:rPr>
          <w:rFonts w:ascii="Arial" w:cs="Arial" w:eastAsia="Arial" w:hAnsi="Arial"/>
          <w:sz w:val="17"/>
          <w:szCs w:val="17"/>
          <w:color w:val="auto"/>
        </w:rPr>
        <w:t xml:space="preserve"> – </w:t>
      </w: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Cotter Jr. Related Litigation Matters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table provides a list of legal matters and current status relating to the termination of James J. Cotter, Jr.’s (“Cotter, Jr.”) as our Company’s president and chief executive officer, to Cotter, Jr.’s subsequent derivative action brought against the Company and our directors alleging, among other things, that such termination violated the fiduciary duties of such directors, and to Cotter, Jr.’s efforts to cause a change of control of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41" w:right="919" w:bottom="1440" w:gutter="0" w:footer="0" w:header="0"/>
        </w:sectPr>
      </w:pPr>
    </w:p>
    <w:bookmarkStart w:id="118" w:name="page119"/>
    <w:bookmarkEnd w:id="118"/>
    <w:p>
      <w:pPr>
        <w:ind w:left="760"/>
        <w:spacing w:after="0"/>
        <w:tabs>
          <w:tab w:leader="none" w:pos="2780" w:val="left"/>
          <w:tab w:leader="none" w:pos="4120" w:val="left"/>
          <w:tab w:leader="none" w:pos="710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568960</wp:posOffset>
            </wp:positionH>
            <wp:positionV relativeFrom="page">
              <wp:posOffset>363220</wp:posOffset>
            </wp:positionV>
            <wp:extent cx="642302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23025" cy="17145"/>
                    </a:xfrm>
                    <a:prstGeom prst="rect">
                      <a:avLst/>
                    </a:prstGeom>
                    <a:noFill/>
                  </pic:spPr>
                </pic:pic>
              </a:graphicData>
            </a:graphic>
          </wp:anchor>
        </w:drawing>
        <w:t>Description</w:t>
      </w:r>
      <w:r>
        <w:rPr>
          <w:sz w:val="20"/>
          <w:szCs w:val="20"/>
          <w:color w:val="auto"/>
        </w:rPr>
        <w:tab/>
      </w:r>
      <w:r>
        <w:rPr>
          <w:rFonts w:ascii="Arial" w:cs="Arial" w:eastAsia="Arial" w:hAnsi="Arial"/>
          <w:sz w:val="14"/>
          <w:szCs w:val="14"/>
          <w:b w:val="1"/>
          <w:bCs w:val="1"/>
          <w:color w:val="auto"/>
        </w:rPr>
        <w:t>Plaintiff</w:t>
      </w:r>
      <w:r>
        <w:rPr>
          <w:sz w:val="20"/>
          <w:szCs w:val="20"/>
          <w:color w:val="auto"/>
        </w:rPr>
        <w:tab/>
      </w:r>
      <w:r>
        <w:rPr>
          <w:rFonts w:ascii="Arial" w:cs="Arial" w:eastAsia="Arial" w:hAnsi="Arial"/>
          <w:sz w:val="14"/>
          <w:szCs w:val="14"/>
          <w:b w:val="1"/>
          <w:bCs w:val="1"/>
          <w:color w:val="auto"/>
        </w:rPr>
        <w:t>Filed with</w:t>
      </w:r>
      <w:r>
        <w:rPr>
          <w:sz w:val="20"/>
          <w:szCs w:val="20"/>
          <w:color w:val="auto"/>
        </w:rPr>
        <w:tab/>
      </w:r>
      <w:r>
        <w:rPr>
          <w:rFonts w:ascii="Arial" w:cs="Arial" w:eastAsia="Arial" w:hAnsi="Arial"/>
          <w:sz w:val="13"/>
          <w:szCs w:val="13"/>
          <w:b w:val="1"/>
          <w:bCs w:val="1"/>
          <w:color w:val="auto"/>
        </w:rPr>
        <w:t>Current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6350</wp:posOffset>
            </wp:positionV>
            <wp:extent cx="6423025" cy="1046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23025" cy="1046480"/>
                    </a:xfrm>
                    <a:prstGeom prst="rect">
                      <a:avLst/>
                    </a:prstGeom>
                    <a:noFill/>
                  </pic:spPr>
                </pic:pic>
              </a:graphicData>
            </a:graphic>
          </wp:anchor>
        </w:drawing>
      </w:r>
    </w:p>
    <w:p>
      <w:pPr>
        <w:sectPr>
          <w:pgSz w:w="11900" w:h="16838" w:orient="portrait"/>
          <w:cols w:equalWidth="0" w:num="1">
            <w:col w:w="9680"/>
          </w:cols>
          <w:pgMar w:left="1180" w:top="576" w:right="10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20" w:type="dxa"/>
            <w:vAlign w:val="bottom"/>
          </w:tcPr>
          <w:p>
            <w:pPr>
              <w:spacing w:after="0"/>
              <w:rPr>
                <w:sz w:val="20"/>
                <w:szCs w:val="20"/>
                <w:color w:val="auto"/>
              </w:rPr>
            </w:pPr>
            <w:r>
              <w:rPr>
                <w:rFonts w:ascii="Arial" w:cs="Arial" w:eastAsia="Arial" w:hAnsi="Arial"/>
                <w:sz w:val="16"/>
                <w:szCs w:val="16"/>
                <w:color w:val="auto"/>
              </w:rPr>
              <w:t>Cotter, Jr. Derivative Litigation</w:t>
            </w:r>
          </w:p>
        </w:tc>
        <w:tc>
          <w:tcPr>
            <w:tcW w:w="1020" w:type="dxa"/>
            <w:vAlign w:val="bottom"/>
          </w:tcPr>
          <w:p>
            <w:pPr>
              <w:jc w:val="center"/>
              <w:spacing w:after="0"/>
              <w:rPr>
                <w:sz w:val="20"/>
                <w:szCs w:val="20"/>
                <w:color w:val="auto"/>
              </w:rPr>
            </w:pPr>
            <w:r>
              <w:rPr>
                <w:rFonts w:ascii="Arial" w:cs="Arial" w:eastAsia="Arial" w:hAnsi="Arial"/>
                <w:sz w:val="16"/>
                <w:szCs w:val="16"/>
                <w:color w:val="auto"/>
                <w:w w:val="88"/>
              </w:rPr>
              <w:t>Cotter, Jr.</w:t>
            </w:r>
          </w:p>
        </w:tc>
        <w:tc>
          <w:tcPr>
            <w:tcW w:w="1600" w:type="dxa"/>
            <w:vAlign w:val="bottom"/>
          </w:tcPr>
          <w:p>
            <w:pPr>
              <w:ind w:left="160"/>
              <w:spacing w:after="0"/>
              <w:rPr>
                <w:sz w:val="20"/>
                <w:szCs w:val="20"/>
                <w:color w:val="auto"/>
              </w:rPr>
            </w:pPr>
            <w:r>
              <w:rPr>
                <w:rFonts w:ascii="Arial" w:cs="Arial" w:eastAsia="Arial" w:hAnsi="Arial"/>
                <w:sz w:val="16"/>
                <w:szCs w:val="16"/>
                <w:color w:val="auto"/>
                <w:w w:val="93"/>
              </w:rPr>
              <w:t>Nevada District Court</w:t>
            </w: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 xml:space="preserve">against all Director: </w:t>
            </w:r>
            <w:r>
              <w:rPr>
                <w:rFonts w:ascii="Arial" w:cs="Arial" w:eastAsia="Arial" w:hAnsi="Arial"/>
                <w:sz w:val="16"/>
                <w:szCs w:val="16"/>
                <w:i w:val="1"/>
                <w:iCs w:val="1"/>
                <w:color w:val="auto"/>
              </w:rPr>
              <w:t>James J.</w:t>
            </w: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i w:val="1"/>
                <w:iCs w:val="1"/>
                <w:color w:val="auto"/>
              </w:rPr>
              <w:t>Cotter, Jr., individually and</w:t>
            </w: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i w:val="1"/>
                <w:iCs w:val="1"/>
                <w:color w:val="auto"/>
              </w:rPr>
              <w:t>derivatively on behalf of Reading</w:t>
            </w: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i w:val="1"/>
                <w:iCs w:val="1"/>
                <w:color w:val="auto"/>
              </w:rPr>
              <w:t>International, Inc. vs. Margaret</w:t>
            </w: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i w:val="1"/>
                <w:iCs w:val="1"/>
                <w:color w:val="auto"/>
              </w:rPr>
              <w:t xml:space="preserve">Cotter, et al.” </w:t>
            </w:r>
            <w:r>
              <w:rPr>
                <w:rFonts w:ascii="Arial" w:cs="Arial" w:eastAsia="Arial" w:hAnsi="Arial"/>
                <w:sz w:val="16"/>
                <w:szCs w:val="16"/>
                <w:color w:val="auto"/>
              </w:rPr>
              <w:t>Case No,: A-15-</w:t>
            </w: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2520" w:type="dxa"/>
            <w:vAlign w:val="bottom"/>
          </w:tcPr>
          <w:p>
            <w:pPr>
              <w:spacing w:after="0"/>
              <w:rPr>
                <w:sz w:val="20"/>
                <w:szCs w:val="20"/>
                <w:color w:val="auto"/>
              </w:rPr>
            </w:pPr>
            <w:r>
              <w:rPr>
                <w:rFonts w:ascii="Arial" w:cs="Arial" w:eastAsia="Arial" w:hAnsi="Arial"/>
                <w:sz w:val="16"/>
                <w:szCs w:val="16"/>
                <w:color w:val="auto"/>
              </w:rPr>
              <w:t>719860-V</w:t>
            </w: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15"/>
        </w:trPr>
        <w:tc>
          <w:tcPr>
            <w:tcW w:w="2520" w:type="dxa"/>
            <w:vAlign w:val="bottom"/>
          </w:tcPr>
          <w:p>
            <w:pPr>
              <w:spacing w:after="0"/>
              <w:rPr>
                <w:sz w:val="20"/>
                <w:szCs w:val="20"/>
                <w:color w:val="auto"/>
              </w:rPr>
            </w:pPr>
            <w:r>
              <w:rPr>
                <w:rFonts w:ascii="Arial" w:cs="Arial" w:eastAsia="Arial" w:hAnsi="Arial"/>
                <w:sz w:val="16"/>
                <w:szCs w:val="16"/>
                <w:color w:val="auto"/>
              </w:rPr>
              <w:t>Employment Agreement</w:t>
            </w:r>
          </w:p>
        </w:tc>
        <w:tc>
          <w:tcPr>
            <w:tcW w:w="1020" w:type="dxa"/>
            <w:vAlign w:val="bottom"/>
          </w:tcPr>
          <w:p>
            <w:pPr>
              <w:jc w:val="center"/>
              <w:spacing w:after="0"/>
              <w:rPr>
                <w:sz w:val="20"/>
                <w:szCs w:val="20"/>
                <w:color w:val="auto"/>
              </w:rPr>
            </w:pPr>
            <w:r>
              <w:rPr>
                <w:rFonts w:ascii="Arial" w:cs="Arial" w:eastAsia="Arial" w:hAnsi="Arial"/>
                <w:sz w:val="16"/>
                <w:szCs w:val="16"/>
                <w:color w:val="auto"/>
              </w:rPr>
              <w:t>RDI</w:t>
            </w:r>
          </w:p>
        </w:tc>
        <w:tc>
          <w:tcPr>
            <w:tcW w:w="1600" w:type="dxa"/>
            <w:vAlign w:val="bottom"/>
          </w:tcPr>
          <w:p>
            <w:pPr>
              <w:jc w:val="center"/>
              <w:ind w:left="132"/>
              <w:spacing w:after="0"/>
              <w:rPr>
                <w:sz w:val="20"/>
                <w:szCs w:val="20"/>
                <w:color w:val="auto"/>
              </w:rPr>
            </w:pPr>
            <w:r>
              <w:rPr>
                <w:rFonts w:ascii="Arial" w:cs="Arial" w:eastAsia="Arial" w:hAnsi="Arial"/>
                <w:sz w:val="18"/>
                <w:szCs w:val="18"/>
                <w:color w:val="auto"/>
                <w:w w:val="92"/>
              </w:rPr>
              <w:t>American</w:t>
            </w: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 xml:space="preserve">Arbitration: </w:t>
            </w:r>
            <w:r>
              <w:rPr>
                <w:rFonts w:ascii="Arial" w:cs="Arial" w:eastAsia="Arial" w:hAnsi="Arial"/>
                <w:sz w:val="16"/>
                <w:szCs w:val="16"/>
                <w:i w:val="1"/>
                <w:iCs w:val="1"/>
                <w:color w:val="auto"/>
              </w:rPr>
              <w:t>Reading International,</w:t>
            </w:r>
          </w:p>
        </w:tc>
        <w:tc>
          <w:tcPr>
            <w:tcW w:w="1020" w:type="dxa"/>
            <w:vAlign w:val="bottom"/>
          </w:tcPr>
          <w:p>
            <w:pPr>
              <w:spacing w:after="0"/>
              <w:rPr>
                <w:sz w:val="17"/>
                <w:szCs w:val="17"/>
                <w:color w:val="auto"/>
              </w:rPr>
            </w:pPr>
          </w:p>
        </w:tc>
        <w:tc>
          <w:tcPr>
            <w:tcW w:w="160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5"/>
              </w:rPr>
              <w:t>Arbitration</w:t>
            </w:r>
          </w:p>
        </w:tc>
      </w:tr>
      <w:tr>
        <w:trPr>
          <w:trHeight w:val="203"/>
        </w:trPr>
        <w:tc>
          <w:tcPr>
            <w:tcW w:w="2520" w:type="dxa"/>
            <w:vAlign w:val="bottom"/>
          </w:tcPr>
          <w:p>
            <w:pPr>
              <w:spacing w:after="0"/>
              <w:rPr>
                <w:sz w:val="20"/>
                <w:szCs w:val="20"/>
                <w:color w:val="auto"/>
              </w:rPr>
            </w:pPr>
            <w:r>
              <w:rPr>
                <w:rFonts w:ascii="Arial" w:cs="Arial" w:eastAsia="Arial" w:hAnsi="Arial"/>
                <w:sz w:val="16"/>
                <w:szCs w:val="16"/>
                <w:i w:val="1"/>
                <w:iCs w:val="1"/>
                <w:color w:val="auto"/>
              </w:rPr>
              <w:t>Inc. v. James J. Cotter, AAA Case</w:t>
            </w:r>
          </w:p>
        </w:tc>
        <w:tc>
          <w:tcPr>
            <w:tcW w:w="1020" w:type="dxa"/>
            <w:vAlign w:val="bottom"/>
          </w:tcPr>
          <w:p>
            <w:pPr>
              <w:spacing w:after="0"/>
              <w:rPr>
                <w:sz w:val="17"/>
                <w:szCs w:val="17"/>
                <w:color w:val="auto"/>
              </w:rPr>
            </w:pPr>
          </w:p>
        </w:tc>
        <w:tc>
          <w:tcPr>
            <w:tcW w:w="160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3"/>
              </w:rPr>
              <w:t>Association</w:t>
            </w:r>
          </w:p>
        </w:tc>
      </w:tr>
      <w:tr>
        <w:trPr>
          <w:trHeight w:val="203"/>
        </w:trPr>
        <w:tc>
          <w:tcPr>
            <w:tcW w:w="2520" w:type="dxa"/>
            <w:vAlign w:val="bottom"/>
          </w:tcPr>
          <w:p>
            <w:pPr>
              <w:spacing w:after="0"/>
              <w:rPr>
                <w:sz w:val="20"/>
                <w:szCs w:val="20"/>
                <w:color w:val="auto"/>
              </w:rPr>
            </w:pPr>
            <w:r>
              <w:rPr>
                <w:rFonts w:ascii="Arial" w:cs="Arial" w:eastAsia="Arial" w:hAnsi="Arial"/>
                <w:sz w:val="16"/>
                <w:szCs w:val="16"/>
                <w:i w:val="1"/>
                <w:iCs w:val="1"/>
                <w:color w:val="auto"/>
              </w:rPr>
              <w:t>No. 01-15-0004-2384, filed July</w:t>
            </w: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2520" w:type="dxa"/>
            <w:vAlign w:val="bottom"/>
          </w:tcPr>
          <w:p>
            <w:pPr>
              <w:spacing w:after="0"/>
              <w:rPr>
                <w:sz w:val="20"/>
                <w:szCs w:val="20"/>
                <w:color w:val="auto"/>
              </w:rPr>
            </w:pPr>
            <w:r>
              <w:rPr>
                <w:rFonts w:ascii="Arial" w:cs="Arial" w:eastAsia="Arial" w:hAnsi="Arial"/>
                <w:sz w:val="16"/>
                <w:szCs w:val="16"/>
                <w:i w:val="1"/>
                <w:iCs w:val="1"/>
                <w:color w:val="auto"/>
              </w:rPr>
              <w:t>2015</w:t>
            </w: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2720" w:val="left"/>
          <w:tab w:leader="none" w:pos="3720" w:val="left"/>
        </w:tabs>
        <w:rPr>
          <w:sz w:val="20"/>
          <w:szCs w:val="20"/>
          <w:color w:val="auto"/>
        </w:rPr>
      </w:pPr>
      <w:r>
        <w:rPr>
          <w:rFonts w:ascii="Arial" w:cs="Arial" w:eastAsia="Arial" w:hAnsi="Arial"/>
          <w:sz w:val="16"/>
          <w:szCs w:val="16"/>
          <w:color w:val="auto"/>
        </w:rPr>
        <w:t>Direct Case against the Company</w:t>
      </w:r>
      <w:r>
        <w:rPr>
          <w:sz w:val="20"/>
          <w:szCs w:val="20"/>
          <w:color w:val="auto"/>
        </w:rPr>
        <w:tab/>
      </w:r>
      <w:r>
        <w:rPr>
          <w:rFonts w:ascii="Arial" w:cs="Arial" w:eastAsia="Arial" w:hAnsi="Arial"/>
          <w:sz w:val="16"/>
          <w:szCs w:val="16"/>
          <w:color w:val="auto"/>
        </w:rPr>
        <w:t>Cotter, Jr.</w:t>
      </w:r>
      <w:r>
        <w:rPr>
          <w:sz w:val="20"/>
          <w:szCs w:val="20"/>
          <w:color w:val="auto"/>
        </w:rPr>
        <w:tab/>
      </w:r>
      <w:r>
        <w:rPr>
          <w:rFonts w:ascii="Arial" w:cs="Arial" w:eastAsia="Arial" w:hAnsi="Arial"/>
          <w:sz w:val="14"/>
          <w:szCs w:val="14"/>
          <w:color w:val="auto"/>
        </w:rPr>
        <w:t>Nevada District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-109855</wp:posOffset>
            </wp:positionV>
            <wp:extent cx="6423025" cy="1560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23025" cy="156083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seeking reimbursement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advancement of attorney’s fees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incurred with respect to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Arbitration: </w:t>
      </w:r>
      <w:r>
        <w:rPr>
          <w:rFonts w:ascii="Arial" w:cs="Arial" w:eastAsia="Arial" w:hAnsi="Arial"/>
          <w:sz w:val="16"/>
          <w:szCs w:val="16"/>
          <w:i w:val="1"/>
          <w:iCs w:val="1"/>
          <w:color w:val="auto"/>
        </w:rPr>
        <w:t>James J. Cotter, Jr. v.</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Reading International, Inc.,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Nevada corporation; Does 1-100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Roe Entities, 1-100, inclusive,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Case No. A-16-735305-B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Summary judgment has been entered against Cotter, Jr., and in favor of all defendants and a $1.55 million cost judgment has been entered against Cotter, Jr., and in favor of our Company. Cotter, Jr. has appealed both judgements. Our application for $5.9 million in attorneys fees was denied, and we have appealed that determination. The issues on appeal are currently being briefed. No date for oral argument has been set. It is unlikely that any hearing will be held this year.</w:t>
      </w:r>
    </w:p>
    <w:p>
      <w:pPr>
        <w:spacing w:after="0" w:line="5"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While our Company is the named claimant, this matter relates essentially to Cotter, Jr.’s claims for compensation and damages related to his termination as our Company’s president and chief executive officer. The Arbitrator has determined that, while Cotter, Jr. had breached his obligations under his Employment Agreement with our Company, Cotter, Jr’s failure to resign as an officer and/director of our Company was not sufficiently material to allow our Company relief from its obligations under the Employment Agreement to pay certain specified separation amounts, totaling $313,000 (the “Separation Payment Amount”) plus interest at the rate of 10% from June 12, 2016, until the award was paid in full on March 6, 2019.</w:t>
      </w:r>
    </w:p>
    <w:p>
      <w:pPr>
        <w:spacing w:after="0" w:line="172"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The Arbitrator denied on substantive grounds Cotter, Jr’s claims for consequential damages and for damages based on various tort theories and/or upon wrongful termination claims and, denied on jurisdictional grounds, Cotter Jr’s claims that the unvested stock options granted to him under his Employment Agreement did not expire upon his termination and continued to be exercisable by him so long as he continued as a director of our Company.</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Determining that Cotter, Jr. was the prevailing party, the Arbitrator has awarded Cotter, Jr. $443,000 of his requested $787,769 in attorney’s fees and costs. The Arbitrator also assessed the costs of the arbitration against our Company and ordered a reimbursement of such costs paid to date by Cotter Jr. in the amount of $19,250.</w:t>
      </w:r>
    </w:p>
    <w:p>
      <w:pPr>
        <w:spacing w:after="0" w:line="17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determinations of the Arbitrator are final and binding on the parties, and not subject to appeal.</w:t>
      </w:r>
    </w:p>
    <w:p>
      <w:pPr>
        <w:spacing w:after="0" w:line="17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interest and any cost reimbursements awarded to Cotter, Jr., was approximately $86,000.</w:t>
      </w:r>
    </w:p>
    <w:p>
      <w:pPr>
        <w:spacing w:after="0" w:line="18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Summary judgment entered in favor of the Company on October 3, 2016. The period for appeal of this judgment has now lapsed.</w:t>
      </w:r>
    </w:p>
    <w:p>
      <w:pPr>
        <w:spacing w:after="0" w:line="1558" w:lineRule="exact"/>
        <w:rPr>
          <w:sz w:val="20"/>
          <w:szCs w:val="20"/>
          <w:color w:val="auto"/>
        </w:rPr>
      </w:pPr>
    </w:p>
    <w:p>
      <w:pPr>
        <w:sectPr>
          <w:pgSz w:w="11900" w:h="16838" w:orient="portrait"/>
          <w:cols w:equalWidth="0" w:num="2">
            <w:col w:w="5160" w:space="280"/>
            <w:col w:w="4240"/>
          </w:cols>
          <w:pgMar w:left="1180" w:top="576" w:right="10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70485</wp:posOffset>
            </wp:positionV>
            <wp:extent cx="6465570" cy="514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680"/>
          </w:cols>
          <w:pgMar w:left="1180" w:top="576" w:right="103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03"/>
        </w:trPr>
        <w:tc>
          <w:tcPr>
            <w:tcW w:w="2780" w:type="dxa"/>
            <w:vAlign w:val="bottom"/>
          </w:tcPr>
          <w:p>
            <w:pPr>
              <w:ind w:left="280"/>
              <w:spacing w:after="0"/>
              <w:rPr>
                <w:sz w:val="20"/>
                <w:szCs w:val="20"/>
                <w:color w:val="auto"/>
              </w:rPr>
            </w:pPr>
            <w:r>
              <w:rPr>
                <w:rFonts w:ascii="Arial" w:cs="Arial" w:eastAsia="Arial" w:hAnsi="Arial"/>
                <w:sz w:val="16"/>
                <w:szCs w:val="16"/>
                <w:color w:val="auto"/>
              </w:rPr>
              <w:t>Cotter Trust Litigation:</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Ellen Cotter</w:t>
            </w:r>
          </w:p>
        </w:tc>
        <w:tc>
          <w:tcPr>
            <w:tcW w:w="1620" w:type="dxa"/>
            <w:vAlign w:val="bottom"/>
          </w:tcPr>
          <w:p>
            <w:pPr>
              <w:jc w:val="center"/>
              <w:spacing w:after="0"/>
              <w:rPr>
                <w:sz w:val="20"/>
                <w:szCs w:val="20"/>
                <w:color w:val="auto"/>
              </w:rPr>
            </w:pPr>
            <w:r>
              <w:rPr>
                <w:rFonts w:ascii="Arial" w:cs="Arial" w:eastAsia="Arial" w:hAnsi="Arial"/>
                <w:sz w:val="16"/>
                <w:szCs w:val="16"/>
                <w:color w:val="auto"/>
                <w:w w:val="95"/>
              </w:rPr>
              <w:t>California Superior</w:t>
            </w:r>
          </w:p>
        </w:tc>
        <w:tc>
          <w:tcPr>
            <w:tcW w:w="4580" w:type="dxa"/>
            <w:vAlign w:val="bottom"/>
          </w:tcPr>
          <w:p>
            <w:pPr>
              <w:ind w:left="180"/>
              <w:spacing w:after="0"/>
              <w:rPr>
                <w:sz w:val="20"/>
                <w:szCs w:val="20"/>
                <w:color w:val="auto"/>
              </w:rPr>
            </w:pPr>
            <w:r>
              <w:rPr>
                <w:rFonts w:ascii="Arial" w:cs="Arial" w:eastAsia="Arial" w:hAnsi="Arial"/>
                <w:sz w:val="16"/>
                <w:szCs w:val="16"/>
                <w:color w:val="auto"/>
                <w:w w:val="98"/>
              </w:rPr>
              <w:t>The California Superior Court has ruled that Cotter, Jr., is not a</w:t>
            </w:r>
          </w:p>
        </w:tc>
      </w:tr>
      <w:tr>
        <w:trPr>
          <w:trHeight w:val="203"/>
        </w:trPr>
        <w:tc>
          <w:tcPr>
            <w:tcW w:w="2780" w:type="dxa"/>
            <w:vAlign w:val="bottom"/>
          </w:tcPr>
          <w:p>
            <w:pPr>
              <w:ind w:left="280"/>
              <w:spacing w:after="0"/>
              <w:rPr>
                <w:sz w:val="20"/>
                <w:szCs w:val="20"/>
                <w:color w:val="auto"/>
              </w:rPr>
            </w:pPr>
            <w:r>
              <w:rPr>
                <w:rFonts w:ascii="Arial" w:cs="Arial" w:eastAsia="Arial" w:hAnsi="Arial"/>
                <w:sz w:val="16"/>
                <w:szCs w:val="16"/>
                <w:color w:val="auto"/>
              </w:rPr>
              <w:t>Determination of Status of Cotter,</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and</w:t>
            </w:r>
          </w:p>
        </w:tc>
        <w:tc>
          <w:tcPr>
            <w:tcW w:w="1620" w:type="dxa"/>
            <w:vAlign w:val="bottom"/>
          </w:tcPr>
          <w:p>
            <w:pPr>
              <w:jc w:val="center"/>
              <w:spacing w:after="0"/>
              <w:rPr>
                <w:sz w:val="20"/>
                <w:szCs w:val="20"/>
                <w:color w:val="auto"/>
              </w:rPr>
            </w:pPr>
            <w:r>
              <w:rPr>
                <w:rFonts w:ascii="Arial" w:cs="Arial" w:eastAsia="Arial" w:hAnsi="Arial"/>
                <w:sz w:val="16"/>
                <w:szCs w:val="16"/>
                <w:color w:val="auto"/>
                <w:w w:val="97"/>
              </w:rPr>
              <w:t>Court</w:t>
            </w:r>
          </w:p>
        </w:tc>
        <w:tc>
          <w:tcPr>
            <w:tcW w:w="4580" w:type="dxa"/>
            <w:vAlign w:val="bottom"/>
          </w:tcPr>
          <w:p>
            <w:pPr>
              <w:ind w:left="180"/>
              <w:spacing w:after="0"/>
              <w:rPr>
                <w:sz w:val="20"/>
                <w:szCs w:val="20"/>
                <w:color w:val="auto"/>
              </w:rPr>
            </w:pPr>
            <w:r>
              <w:rPr>
                <w:rFonts w:ascii="Arial" w:cs="Arial" w:eastAsia="Arial" w:hAnsi="Arial"/>
                <w:sz w:val="16"/>
                <w:szCs w:val="16"/>
                <w:color w:val="auto"/>
              </w:rPr>
              <w:t>trustee of either the James J. Cotter Living Trust (the “Cotter</w:t>
            </w:r>
          </w:p>
        </w:tc>
      </w:tr>
      <w:tr>
        <w:trPr>
          <w:trHeight w:val="203"/>
        </w:trPr>
        <w:tc>
          <w:tcPr>
            <w:tcW w:w="2780" w:type="dxa"/>
            <w:vAlign w:val="bottom"/>
          </w:tcPr>
          <w:p>
            <w:pPr>
              <w:ind w:left="280"/>
              <w:spacing w:after="0"/>
              <w:rPr>
                <w:sz w:val="20"/>
                <w:szCs w:val="20"/>
                <w:color w:val="auto"/>
              </w:rPr>
            </w:pPr>
            <w:r>
              <w:rPr>
                <w:rFonts w:ascii="Arial" w:cs="Arial" w:eastAsia="Arial" w:hAnsi="Arial"/>
                <w:sz w:val="16"/>
                <w:szCs w:val="16"/>
                <w:color w:val="auto"/>
                <w:w w:val="95"/>
              </w:rPr>
              <w:t xml:space="preserve">Jr., as Trustee: </w:t>
            </w:r>
            <w:r>
              <w:rPr>
                <w:rFonts w:ascii="Arial" w:cs="Arial" w:eastAsia="Arial" w:hAnsi="Arial"/>
                <w:sz w:val="16"/>
                <w:szCs w:val="16"/>
                <w:i w:val="1"/>
                <w:iCs w:val="1"/>
                <w:color w:val="auto"/>
                <w:w w:val="95"/>
              </w:rPr>
              <w:t>In re James J. Cotter</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Margaret</w:t>
            </w: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8"/>
              </w:rPr>
              <w:t>Living Trust”) or of the voting trust established under the Living</w:t>
            </w:r>
          </w:p>
        </w:tc>
      </w:tr>
      <w:tr>
        <w:trPr>
          <w:trHeight w:val="203"/>
        </w:trPr>
        <w:tc>
          <w:tcPr>
            <w:tcW w:w="2780" w:type="dxa"/>
            <w:vAlign w:val="bottom"/>
          </w:tcPr>
          <w:p>
            <w:pPr>
              <w:ind w:left="280"/>
              <w:spacing w:after="0"/>
              <w:rPr>
                <w:sz w:val="20"/>
                <w:szCs w:val="20"/>
                <w:color w:val="auto"/>
              </w:rPr>
            </w:pPr>
            <w:r>
              <w:rPr>
                <w:rFonts w:ascii="Arial" w:cs="Arial" w:eastAsia="Arial" w:hAnsi="Arial"/>
                <w:sz w:val="16"/>
                <w:szCs w:val="16"/>
                <w:i w:val="1"/>
                <w:iCs w:val="1"/>
                <w:color w:val="auto"/>
              </w:rPr>
              <w:t>Living Trust dated August 1, 2000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Cotter, as</w:t>
            </w: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9"/>
              </w:rPr>
              <w:t>Trust (the “Cotter Voting Trust”) to eventually hold the Class B</w:t>
            </w:r>
          </w:p>
        </w:tc>
      </w:tr>
      <w:tr>
        <w:trPr>
          <w:trHeight w:val="203"/>
        </w:trPr>
        <w:tc>
          <w:tcPr>
            <w:tcW w:w="2780" w:type="dxa"/>
            <w:vAlign w:val="bottom"/>
          </w:tcPr>
          <w:p>
            <w:pPr>
              <w:ind w:left="280"/>
              <w:spacing w:after="0"/>
              <w:rPr>
                <w:sz w:val="20"/>
                <w:szCs w:val="20"/>
                <w:color w:val="auto"/>
              </w:rPr>
            </w:pPr>
            <w:r>
              <w:rPr>
                <w:rFonts w:ascii="Arial" w:cs="Arial" w:eastAsia="Arial" w:hAnsi="Arial"/>
                <w:sz w:val="16"/>
                <w:szCs w:val="16"/>
                <w:color w:val="auto"/>
              </w:rPr>
              <w:t>(Case No. BP159755)</w:t>
            </w:r>
          </w:p>
        </w:tc>
        <w:tc>
          <w:tcPr>
            <w:tcW w:w="1140" w:type="dxa"/>
            <w:vAlign w:val="bottom"/>
          </w:tcPr>
          <w:p>
            <w:pPr>
              <w:jc w:val="center"/>
              <w:spacing w:after="0"/>
              <w:rPr>
                <w:sz w:val="20"/>
                <w:szCs w:val="20"/>
                <w:color w:val="auto"/>
              </w:rPr>
            </w:pPr>
            <w:r>
              <w:rPr>
                <w:rFonts w:ascii="Arial" w:cs="Arial" w:eastAsia="Arial" w:hAnsi="Arial"/>
                <w:sz w:val="16"/>
                <w:szCs w:val="16"/>
                <w:color w:val="auto"/>
                <w:w w:val="86"/>
              </w:rPr>
              <w:t>Trustees</w:t>
            </w: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8"/>
              </w:rPr>
              <w:t>Voting Common Stock beneficially owned by Mr. Cotter, Sr., at</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rPr>
              <w:t>the time of his passing. The California Superior Court further</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rPr>
              <w:t>determined that Ellen Cotter and Margaret Cotter are the sole</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5"/>
              </w:rPr>
              <w:t>trustees of the Cotter Living Trust and that Margaret Cotter is the</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9"/>
              </w:rPr>
              <w:t>sole trustee of the Cotter Voting Trust. Accordingly, Cotter, Jr.,</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9"/>
              </w:rPr>
              <w:t>has neither dispositive power nor voting power over any of the</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rPr>
              <w:t>Class B Voting Common Stock currently held by the Cotter</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6"/>
              </w:rPr>
              <w:t>Estate or the Cotter Living Trust, or which it is anticipated will be</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rPr>
              <w:t>held by the Cotter Voting Trust. The time to appeal that ruling</w:t>
            </w:r>
          </w:p>
        </w:tc>
      </w:tr>
      <w:tr>
        <w:trPr>
          <w:trHeight w:val="206"/>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rPr>
              <w:t>has now lapsed.</w:t>
            </w:r>
          </w:p>
        </w:tc>
      </w:tr>
      <w:tr>
        <w:trPr>
          <w:trHeight w:val="415"/>
        </w:trPr>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5"/>
              </w:rPr>
              <w:t>At December 31, 2018, the Cotter Estate held 427,808 shares of</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6"/>
              </w:rPr>
              <w:t>Class B Voting Stock, representing 25.5% of the voting power of</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5"/>
              </w:rPr>
              <w:t>such class. The Cotter Living Trust held 696,080 shares of Class</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rPr>
              <w:t>B Voting Stock at such date, representing 41.4% of the voting</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rPr>
              <w:t>power of such class.  It is anticipated that, when funded, the</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7"/>
              </w:rPr>
              <w:t>Cotter Voting Trust will own 1,123,888 shares of Class B Voting</w:t>
            </w: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w w:val="95"/>
              </w:rPr>
              <w:t>Stock, representing 66.9% of the voting power of such class (the</w:t>
            </w:r>
          </w:p>
        </w:tc>
      </w:tr>
      <w:tr>
        <w:trPr>
          <w:trHeight w:val="206"/>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580" w:type="dxa"/>
            <w:vAlign w:val="bottom"/>
          </w:tcPr>
          <w:p>
            <w:pPr>
              <w:ind w:left="180"/>
              <w:spacing w:after="0"/>
              <w:rPr>
                <w:sz w:val="20"/>
                <w:szCs w:val="20"/>
                <w:color w:val="auto"/>
              </w:rPr>
            </w:pPr>
            <w:r>
              <w:rPr>
                <w:rFonts w:ascii="Arial" w:cs="Arial" w:eastAsia="Arial" w:hAnsi="Arial"/>
                <w:sz w:val="16"/>
                <w:szCs w:val="16"/>
                <w:color w:val="auto"/>
              </w:rPr>
              <w:t>“Cotter Voting Stock”).</w:t>
            </w:r>
          </w:p>
        </w:tc>
      </w:tr>
      <w:tr>
        <w:trPr>
          <w:trHeight w:val="222"/>
        </w:trPr>
        <w:tc>
          <w:tcPr>
            <w:tcW w:w="2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193"/>
        </w:trPr>
        <w:tc>
          <w:tcPr>
            <w:tcW w:w="2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Cotter Trust Litigation: Ex Parte</w:t>
            </w:r>
          </w:p>
        </w:tc>
        <w:tc>
          <w:tcPr>
            <w:tcW w:w="1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Cotter, Jr.</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California Superior</w:t>
            </w: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 xml:space="preserve">In response to the </w:t>
            </w:r>
            <w:r>
              <w:rPr>
                <w:rFonts w:ascii="Arial" w:cs="Arial" w:eastAsia="Arial" w:hAnsi="Arial"/>
                <w:sz w:val="16"/>
                <w:szCs w:val="16"/>
                <w:i w:val="1"/>
                <w:iCs w:val="1"/>
                <w:color w:val="auto"/>
                <w:w w:val="98"/>
              </w:rPr>
              <w:t>ex parte</w:t>
            </w:r>
            <w:r>
              <w:rPr>
                <w:rFonts w:ascii="Arial" w:cs="Arial" w:eastAsia="Arial" w:hAnsi="Arial"/>
                <w:sz w:val="16"/>
                <w:szCs w:val="16"/>
                <w:color w:val="auto"/>
                <w:w w:val="98"/>
              </w:rPr>
              <w:t xml:space="preserve"> petition of Cotter, Jr. filed on March</w:t>
            </w:r>
          </w:p>
        </w:tc>
      </w:tr>
      <w:tr>
        <w:trPr>
          <w:trHeight w:val="203"/>
        </w:trPr>
        <w:tc>
          <w:tcPr>
            <w:tcW w:w="2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motion seeking appointment of a</w:t>
            </w: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Court</w:t>
            </w: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 2016, the California Superior Court on March 23, 2018</w:t>
            </w:r>
          </w:p>
        </w:tc>
      </w:tr>
      <w:tr>
        <w:trPr>
          <w:trHeight w:val="203"/>
        </w:trPr>
        <w:tc>
          <w:tcPr>
            <w:tcW w:w="27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 xml:space="preserve">Trustee </w:t>
            </w:r>
            <w:r>
              <w:rPr>
                <w:rFonts w:ascii="Arial" w:cs="Arial" w:eastAsia="Arial" w:hAnsi="Arial"/>
                <w:sz w:val="16"/>
                <w:szCs w:val="16"/>
                <w:i w:val="1"/>
                <w:iCs w:val="1"/>
                <w:color w:val="auto"/>
                <w:w w:val="98"/>
              </w:rPr>
              <w:t>Ad Litem</w:t>
            </w:r>
            <w:r>
              <w:rPr>
                <w:rFonts w:ascii="Arial" w:cs="Arial" w:eastAsia="Arial" w:hAnsi="Arial"/>
                <w:sz w:val="16"/>
                <w:szCs w:val="16"/>
                <w:color w:val="auto"/>
                <w:w w:val="98"/>
              </w:rPr>
              <w:t xml:space="preserve"> to Solicit Offers to</w:t>
            </w: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 xml:space="preserve">directed that an unnamed temporary trustee </w:t>
            </w:r>
            <w:r>
              <w:rPr>
                <w:rFonts w:ascii="Arial" w:cs="Arial" w:eastAsia="Arial" w:hAnsi="Arial"/>
                <w:sz w:val="16"/>
                <w:szCs w:val="16"/>
                <w:i w:val="1"/>
                <w:iCs w:val="1"/>
                <w:color w:val="auto"/>
                <w:w w:val="93"/>
              </w:rPr>
              <w:t>ad litem</w:t>
            </w:r>
            <w:r>
              <w:rPr>
                <w:rFonts w:ascii="Arial" w:cs="Arial" w:eastAsia="Arial" w:hAnsi="Arial"/>
                <w:sz w:val="16"/>
                <w:szCs w:val="16"/>
                <w:color w:val="auto"/>
                <w:w w:val="93"/>
              </w:rPr>
              <w:t xml:space="preserve"> be appointed</w:t>
            </w:r>
          </w:p>
        </w:tc>
      </w:tr>
      <w:tr>
        <w:trPr>
          <w:trHeight w:val="203"/>
        </w:trPr>
        <w:tc>
          <w:tcPr>
            <w:tcW w:w="27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 xml:space="preserve">Purchase Cotter Voting Stock: </w:t>
            </w:r>
            <w:r>
              <w:rPr>
                <w:rFonts w:ascii="Arial" w:cs="Arial" w:eastAsia="Arial" w:hAnsi="Arial"/>
                <w:sz w:val="16"/>
                <w:szCs w:val="16"/>
                <w:i w:val="1"/>
                <w:iCs w:val="1"/>
                <w:color w:val="auto"/>
                <w:w w:val="98"/>
              </w:rPr>
              <w:t>In re</w:t>
            </w: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to solicit offers to purchase the Cotter Voting Stock. Ellen Cotter</w:t>
            </w:r>
          </w:p>
        </w:tc>
      </w:tr>
      <w:tr>
        <w:trPr>
          <w:trHeight w:val="203"/>
        </w:trPr>
        <w:tc>
          <w:tcPr>
            <w:tcW w:w="2780" w:type="dxa"/>
            <w:vAlign w:val="bottom"/>
            <w:shd w:val="clear" w:color="auto" w:fill="CCEEFF"/>
          </w:tcPr>
          <w:p>
            <w:pPr>
              <w:ind w:left="280"/>
              <w:spacing w:after="0"/>
              <w:rPr>
                <w:sz w:val="20"/>
                <w:szCs w:val="20"/>
                <w:color w:val="auto"/>
              </w:rPr>
            </w:pPr>
            <w:r>
              <w:rPr>
                <w:rFonts w:ascii="Arial" w:cs="Arial" w:eastAsia="Arial" w:hAnsi="Arial"/>
                <w:sz w:val="16"/>
                <w:szCs w:val="16"/>
                <w:i w:val="1"/>
                <w:iCs w:val="1"/>
                <w:color w:val="auto"/>
              </w:rPr>
              <w:t>James J. Cotter Living Trust dated</w:t>
            </w: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and Margaret Cotter appealed that March 23, 2018 order of the</w:t>
            </w:r>
          </w:p>
        </w:tc>
      </w:tr>
      <w:tr>
        <w:trPr>
          <w:trHeight w:val="203"/>
        </w:trPr>
        <w:tc>
          <w:tcPr>
            <w:tcW w:w="2780" w:type="dxa"/>
            <w:vAlign w:val="bottom"/>
            <w:shd w:val="clear" w:color="auto" w:fill="CCEEFF"/>
          </w:tcPr>
          <w:p>
            <w:pPr>
              <w:ind w:left="280"/>
              <w:spacing w:after="0"/>
              <w:rPr>
                <w:sz w:val="20"/>
                <w:szCs w:val="20"/>
                <w:color w:val="auto"/>
              </w:rPr>
            </w:pPr>
            <w:r>
              <w:rPr>
                <w:rFonts w:ascii="Arial" w:cs="Arial" w:eastAsia="Arial" w:hAnsi="Arial"/>
                <w:sz w:val="16"/>
                <w:szCs w:val="16"/>
                <w:i w:val="1"/>
                <w:iCs w:val="1"/>
                <w:color w:val="auto"/>
              </w:rPr>
              <w:t xml:space="preserve">August 1, 2000 </w:t>
            </w:r>
            <w:r>
              <w:rPr>
                <w:rFonts w:ascii="Arial" w:cs="Arial" w:eastAsia="Arial" w:hAnsi="Arial"/>
                <w:sz w:val="16"/>
                <w:szCs w:val="16"/>
                <w:color w:val="auto"/>
              </w:rPr>
              <w:t>(Case No.</w:t>
            </w: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California Superior Court with a writ application filed as Trustees</w:t>
            </w:r>
          </w:p>
        </w:tc>
      </w:tr>
      <w:tr>
        <w:trPr>
          <w:trHeight w:val="203"/>
        </w:trPr>
        <w:tc>
          <w:tcPr>
            <w:tcW w:w="2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BP159755)</w:t>
            </w: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of the Cotter Living Trust, and Margaret Cotter, as Trustee of the</w:t>
            </w:r>
          </w:p>
        </w:tc>
      </w:tr>
      <w:tr>
        <w:trPr>
          <w:trHeight w:val="203"/>
        </w:trPr>
        <w:tc>
          <w:tcPr>
            <w:tcW w:w="2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Cotter Voting Trust. In response to their writ application, the</w:t>
            </w:r>
          </w:p>
        </w:tc>
      </w:tr>
      <w:tr>
        <w:trPr>
          <w:trHeight w:val="203"/>
        </w:trPr>
        <w:tc>
          <w:tcPr>
            <w:tcW w:w="2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California Court of Appeals on April 12, 2018 stayed the</w:t>
            </w:r>
          </w:p>
        </w:tc>
      </w:tr>
      <w:tr>
        <w:trPr>
          <w:trHeight w:val="203"/>
        </w:trPr>
        <w:tc>
          <w:tcPr>
            <w:tcW w:w="2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California Superior Court’s order and issued its own order to</w:t>
            </w:r>
          </w:p>
        </w:tc>
      </w:tr>
      <w:tr>
        <w:trPr>
          <w:trHeight w:val="203"/>
        </w:trPr>
        <w:tc>
          <w:tcPr>
            <w:tcW w:w="2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show cause why the Superior Court’s direction should not be</w:t>
            </w:r>
          </w:p>
        </w:tc>
      </w:tr>
      <w:tr>
        <w:trPr>
          <w:trHeight w:val="203"/>
        </w:trPr>
        <w:tc>
          <w:tcPr>
            <w:tcW w:w="2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vacated and a new and different order denying the appointment of</w:t>
            </w:r>
          </w:p>
        </w:tc>
      </w:tr>
      <w:tr>
        <w:trPr>
          <w:trHeight w:val="206"/>
        </w:trPr>
        <w:tc>
          <w:tcPr>
            <w:tcW w:w="2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such a trustee </w:t>
            </w:r>
            <w:r>
              <w:rPr>
                <w:rFonts w:ascii="Arial" w:cs="Arial" w:eastAsia="Arial" w:hAnsi="Arial"/>
                <w:sz w:val="16"/>
                <w:szCs w:val="16"/>
                <w:i w:val="1"/>
                <w:iCs w:val="1"/>
                <w:color w:val="auto"/>
              </w:rPr>
              <w:t>ad litem</w:t>
            </w:r>
            <w:r>
              <w:rPr>
                <w:rFonts w:ascii="Arial" w:cs="Arial" w:eastAsia="Arial" w:hAnsi="Arial"/>
                <w:sz w:val="16"/>
                <w:szCs w:val="16"/>
                <w:color w:val="auto"/>
              </w:rPr>
              <w:t xml:space="preserve"> be issued.</w:t>
            </w:r>
          </w:p>
        </w:tc>
      </w:tr>
      <w:tr>
        <w:trPr>
          <w:trHeight w:val="415"/>
        </w:trPr>
        <w:tc>
          <w:tcPr>
            <w:tcW w:w="27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 positions of the parties have been briefed, but no hearing</w:t>
            </w:r>
          </w:p>
        </w:tc>
      </w:tr>
      <w:tr>
        <w:trPr>
          <w:trHeight w:val="203"/>
        </w:trPr>
        <w:tc>
          <w:tcPr>
            <w:tcW w:w="2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date has been set. Our Company is not a party to this matter, and</w:t>
            </w:r>
          </w:p>
        </w:tc>
      </w:tr>
      <w:tr>
        <w:trPr>
          <w:trHeight w:val="206"/>
        </w:trPr>
        <w:tc>
          <w:tcPr>
            <w:tcW w:w="2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no remedy or relief is sought against our Company in this matter.</w:t>
            </w:r>
          </w:p>
        </w:tc>
      </w:tr>
      <w:tr>
        <w:trPr>
          <w:trHeight w:val="222"/>
        </w:trPr>
        <w:tc>
          <w:tcPr>
            <w:tcW w:w="2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the Directors and Officers Liability Insurance Policy covering Cotter, Jr.’s claims in the Derivative Case ($10.0 million) has been exhausted, the financial burden of defending our Directors against these claims, as required by applicable Nevada Law, has fallen upon our Company. During 2018, out-of-pocket third party costs in the amount of approximately $3.5 million were incurred by our Company in defending against these claims.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STOMP Arbitration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April 2015, Liberty Theatres, LLC (“Liberty”), a wholly owned subsidiary of our Company, commenced an American Arbitration Association arbitration proceeding against The Stomp Company Limited Partnership (“Stomp”), the producer of the show STOMP, in response to Stomp’s purported termination of their license agreement with Liberty relating to such show. Later that year, the Arbitrator issued his Partial Final Award of Arbitration, providing for, among other things (i) the issuance of a permanent injunction prohibiting Stomp from “transferring or taking actions to market, promote, or otherwise facilitate any transfer of, STOMP to another theatre in New York City having fewer than 500 seats without Liberty’s prior written consent”, (ii) the Stomp’s Notice of Termination purportedly terminating the parties’ license agreement was invalid, null and void and the License Agreement remains in full force and effect, and (iii) the award to Liberty of its reasonable attorneys’ fees in an amount to be determined by the Arbitrator. In April 2016, we were awarded $2.3 million in attorney’s fees and costs and thereafter entered into a settlement agreement with the defendants providing, among other things, for the payment of the award over time and the continued performance of STOMP at our Orpheum Theatre.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6" w:right="8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auto"/>
        </w:rPr>
        <w:t>NOTE 13 –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non-controlling interests in our consolidated subsidiaries are comprised of the following:</w:t>
      </w:r>
    </w:p>
    <w:p>
      <w:pPr>
        <w:spacing w:after="0" w:line="35" w:lineRule="exact"/>
        <w:rPr>
          <w:sz w:val="20"/>
          <w:szCs w:val="20"/>
          <w:color w:val="auto"/>
        </w:rPr>
      </w:pPr>
    </w:p>
    <w:p>
      <w:pPr>
        <w:ind w:left="640" w:hanging="320"/>
        <w:spacing w:after="0"/>
        <w:tabs>
          <w:tab w:leader="none" w:pos="640" w:val="left"/>
        </w:tabs>
        <w:numPr>
          <w:ilvl w:val="0"/>
          <w:numId w:val="94"/>
        </w:numPr>
        <w:rPr>
          <w:rFonts w:ascii="Arial" w:cs="Arial" w:eastAsia="Arial" w:hAnsi="Arial"/>
          <w:sz w:val="26"/>
          <w:szCs w:val="26"/>
          <w:color w:val="auto"/>
          <w:vertAlign w:val="superscript"/>
        </w:rPr>
      </w:pPr>
      <w:r>
        <w:rPr>
          <w:rFonts w:ascii="Arial" w:cs="Arial" w:eastAsia="Arial" w:hAnsi="Arial"/>
          <w:sz w:val="16"/>
          <w:szCs w:val="16"/>
          <w:color w:val="auto"/>
        </w:rPr>
        <w:t>Australia Country Cinemas Pty Ltd. -- 25% non-controlling interest owned by Panorama Cinemas for the 21st Century Pty Ltd.;</w:t>
      </w:r>
    </w:p>
    <w:p>
      <w:pPr>
        <w:spacing w:after="0" w:line="96" w:lineRule="exact"/>
        <w:rPr>
          <w:rFonts w:ascii="Arial" w:cs="Arial" w:eastAsia="Arial" w:hAnsi="Arial"/>
          <w:sz w:val="26"/>
          <w:szCs w:val="26"/>
          <w:color w:val="auto"/>
          <w:vertAlign w:val="superscript"/>
        </w:rPr>
      </w:pPr>
    </w:p>
    <w:p>
      <w:pPr>
        <w:ind w:left="640" w:right="380" w:hanging="320"/>
        <w:spacing w:after="0" w:line="191" w:lineRule="auto"/>
        <w:tabs>
          <w:tab w:leader="none" w:pos="640" w:val="left"/>
        </w:tabs>
        <w:numPr>
          <w:ilvl w:val="0"/>
          <w:numId w:val="94"/>
        </w:numPr>
        <w:rPr>
          <w:rFonts w:ascii="Arial" w:cs="Arial" w:eastAsia="Arial" w:hAnsi="Arial"/>
          <w:sz w:val="29"/>
          <w:szCs w:val="29"/>
          <w:color w:val="auto"/>
          <w:vertAlign w:val="superscript"/>
        </w:rPr>
      </w:pPr>
      <w:r>
        <w:rPr>
          <w:rFonts w:ascii="Arial" w:cs="Arial" w:eastAsia="Arial" w:hAnsi="Arial"/>
          <w:sz w:val="18"/>
          <w:szCs w:val="18"/>
          <w:color w:val="auto"/>
        </w:rPr>
        <w:t>Shadow View Land and Farming, LLC -- 50% non-controlling membership interest owned by either the estate of Mr. James J. Cotter, Sr. (the “Cotter Estate”) or the James J. Cotter Sr. Living Trust (the “Cotter Trust”); and,</w:t>
      </w:r>
    </w:p>
    <w:p>
      <w:pPr>
        <w:spacing w:after="0" w:line="80" w:lineRule="exact"/>
        <w:rPr>
          <w:rFonts w:ascii="Arial" w:cs="Arial" w:eastAsia="Arial" w:hAnsi="Arial"/>
          <w:sz w:val="29"/>
          <w:szCs w:val="29"/>
          <w:color w:val="auto"/>
          <w:vertAlign w:val="superscript"/>
        </w:rPr>
      </w:pPr>
    </w:p>
    <w:p>
      <w:pPr>
        <w:ind w:left="640" w:right="260" w:hanging="320"/>
        <w:spacing w:after="0" w:line="198" w:lineRule="auto"/>
        <w:tabs>
          <w:tab w:leader="none" w:pos="640" w:val="left"/>
        </w:tabs>
        <w:numPr>
          <w:ilvl w:val="0"/>
          <w:numId w:val="94"/>
        </w:numPr>
        <w:rPr>
          <w:rFonts w:ascii="Arial" w:cs="Arial" w:eastAsia="Arial" w:hAnsi="Arial"/>
          <w:sz w:val="29"/>
          <w:szCs w:val="29"/>
          <w:color w:val="auto"/>
          <w:vertAlign w:val="superscript"/>
        </w:rPr>
      </w:pPr>
      <w:r>
        <w:rPr>
          <w:rFonts w:ascii="Arial" w:cs="Arial" w:eastAsia="Arial" w:hAnsi="Arial"/>
          <w:sz w:val="18"/>
          <w:szCs w:val="18"/>
          <w:color w:val="auto"/>
        </w:rPr>
        <w:t>Sutton Hill Properties, LLC -- 25% non-controlling interest owned by Sutton Hill Capital, LLC (which in turn is 50% owned by the Cotter Estate and/or the Cotter Trust).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non-controlling interest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Australian Country Cinemas, Pty Ltd</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Shadow View Land and Farming, LLC</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Sutton Hill Properties, LLC</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b w:val="1"/>
                <w:bCs w:val="1"/>
                <w:color w:val="auto"/>
              </w:rPr>
              <w:t>Non-controlling interests in consolidated subsidiaries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4,337</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4,331</w:t>
            </w:r>
          </w:p>
        </w:tc>
        <w:tc>
          <w:tcPr>
            <w:tcW w:w="0" w:type="dxa"/>
            <w:vAlign w:val="bottom"/>
          </w:tcPr>
          <w:p>
            <w:pPr>
              <w:spacing w:after="0"/>
              <w:rPr>
                <w:sz w:val="1"/>
                <w:szCs w:val="1"/>
                <w:color w:val="auto"/>
              </w:rPr>
            </w:pPr>
          </w:p>
        </w:tc>
      </w:tr>
      <w:tr>
        <w:trPr>
          <w:trHeight w:val="432"/>
        </w:trPr>
        <w:tc>
          <w:tcPr>
            <w:tcW w:w="6480" w:type="dxa"/>
            <w:vAlign w:val="bottom"/>
            <w:gridSpan w:val="3"/>
          </w:tcPr>
          <w:p>
            <w:pPr>
              <w:spacing w:after="0"/>
              <w:rPr>
                <w:sz w:val="20"/>
                <w:szCs w:val="20"/>
                <w:color w:val="auto"/>
              </w:rPr>
            </w:pPr>
            <w:r>
              <w:rPr>
                <w:rFonts w:ascii="Arial" w:cs="Arial" w:eastAsia="Arial" w:hAnsi="Arial"/>
                <w:sz w:val="18"/>
                <w:szCs w:val="18"/>
                <w:color w:val="auto"/>
                <w:w w:val="92"/>
              </w:rPr>
              <w:t>The components of income/(loss) attributable to non-controlling interests are as follows: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Australian Country Cinemas, Pty Ltd</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Shadow View Land and Farming, LLC</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Sutton Hill Properties, LLC</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Net income attributable to non-controlling interests in consolidated</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vMerge w:val="continue"/>
          </w:tcPr>
          <w:p>
            <w:pPr>
              <w:spacing w:after="0"/>
              <w:rPr>
                <w:sz w:val="15"/>
                <w:szCs w:val="15"/>
                <w:color w:val="auto"/>
              </w:rPr>
            </w:pPr>
          </w:p>
        </w:tc>
        <w:tc>
          <w:tcPr>
            <w:tcW w:w="140" w:type="dxa"/>
            <w:vAlign w:val="bottom"/>
            <w:vMerge w:val="restart"/>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132</w:t>
            </w:r>
          </w:p>
        </w:tc>
        <w:tc>
          <w:tcPr>
            <w:tcW w:w="80" w:type="dxa"/>
            <w:vAlign w:val="bottom"/>
          </w:tcPr>
          <w:p>
            <w:pPr>
              <w:spacing w:after="0"/>
              <w:rPr>
                <w:sz w:val="15"/>
                <w:szCs w:val="15"/>
                <w:color w:val="auto"/>
              </w:rPr>
            </w:pPr>
          </w:p>
        </w:tc>
        <w:tc>
          <w:tcPr>
            <w:tcW w:w="360" w:type="dxa"/>
            <w:vAlign w:val="bottom"/>
            <w:gridSpan w:val="2"/>
            <w:vMerge w:val="restart"/>
          </w:tcPr>
          <w:p>
            <w:pPr>
              <w:jc w:val="right"/>
              <w:ind w:right="125"/>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5"/>
                <w:szCs w:val="15"/>
                <w:color w:val="auto"/>
              </w:rPr>
            </w:pPr>
          </w:p>
        </w:tc>
        <w:tc>
          <w:tcPr>
            <w:tcW w:w="40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b w:val="1"/>
                <w:bCs w:val="1"/>
                <w:color w:val="auto"/>
              </w:rPr>
              <w:t>subsidiaries</w:t>
            </w:r>
          </w:p>
        </w:tc>
        <w:tc>
          <w:tcPr>
            <w:tcW w:w="14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Shadow View Land and Farming, LLC</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Coachella Valley land is held in Shadow View Land and Farming, LLC, in which the Cotter Estate or the Cotter Trust now owns a 50% interest. We are the managing member of Shadow View Land and Farming, LLC. We consolidate the Cotter Estate’s and/or the Cotter Trust’s interest in the property and its expenses with that of our interest and show their interest as a non-controlling interest.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SHARE-BASED COMPENSATION AND SHARE REPURCHASE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Stock Incentive Plan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may grant stock options and other share-based payment awards of our Class A Stock to eligible employees, directors, and consultants under the 2010 Stock Incentive Plan (the “2010 Plan”), which originally allows for an aggregate total number of 1,250,000 shares of Class A Nonvoting Common Stock authorized for issuance under the 2010 Plan. As of September 30, 2017, there were 302,540 shares authorized for issuance under the 2010 Plan and available for future grants or awards.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Company’s 2017 Annual Stockholders’ Meeting held on November 7, 2017, the Company's stockholders, upon recommendation of the Board of Directors, approved an amendment to the Company's 2010 Plan to increase the number of shares of common stock issuable under such plan by an additional 947,460 shares. The effect of the increase is to restore the amount of shares of Class A Common Stock available under the 2010 Stock Incentive Plan from the 302,540 shares available as of September 30, 2017, back up to its original reserve of 1,250,000 shares. There were no new grants during the 4</w:t>
      </w:r>
      <w:r>
        <w:rPr>
          <w:rFonts w:ascii="Arial" w:cs="Arial" w:eastAsia="Arial" w:hAnsi="Arial"/>
          <w:sz w:val="7"/>
          <w:szCs w:val="7"/>
          <w:color w:val="auto"/>
        </w:rPr>
        <w:t>th</w:t>
      </w:r>
      <w:r>
        <w:rPr>
          <w:rFonts w:ascii="Arial" w:cs="Arial" w:eastAsia="Arial" w:hAnsi="Arial"/>
          <w:sz w:val="16"/>
          <w:szCs w:val="16"/>
          <w:color w:val="auto"/>
        </w:rPr>
        <w:t xml:space="preserve"> quarter of 2017. During 2018 option grants of 126,840 were issued, and restricted stock units of 97,600 issued. Accordingly, as of December 31, 2018, we had 1,031,970 shares remaining for future issuances.</w:t>
      </w:r>
    </w:p>
    <w:p>
      <w:pPr>
        <w:spacing w:after="0" w:line="16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Since the adoption of the 2010 Plan, the Company has granted awards primarily in the form of stock options or stock grants. In the first quarter of 2016, the Company started to award restricted stock units (“RSUs”) to directors and certain members of management. Stock options are generally granted at exercise prices equal to the grant-date market prices and typically expire no later than five years from the grant date. In contrast to a stock option where the grantee buys the Company’s share at an exercise price determined on grant date, an RSU entitles the grantee to receive one share for every RSU based on a vesting plan. At the discretion of our Compensation and Stock Options Committee, the vesting period of stock options and RSUs ranges from zero to four years. At the time the options are exercised or RSUs vest, at the discretion of management, we will issue treasury shares or make a new issuance of shares to the option or RSU holder.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estimate the grant-date fair value of our stock options using the Black-Scholes option-valuation model, which takes into account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assumptions such as the dividend yield, the risk-free interest rate, the expected stock price volatility, and the expected life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options. We expense the estimated grant-date fair values of options over the vesting period on a straight-line basis. Based on our historical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experience and the relative market price to strike price of the options, we have not hereto estimated any forfeitures of vested or unvested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in the option-valuation model for the years 2018, 2017 and 2016 were as follows: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0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 price</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Weighted average fair value</w:t>
            </w:r>
          </w:p>
        </w:tc>
        <w:tc>
          <w:tcPr>
            <w:tcW w:w="23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r>
    </w:tbl>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compensation expense of $425,000, $310,000, and $284,000 for 2018, 2017, and 2016, respectively. At December 31, 2018, the total unrecognized estimated compensation cost related to non-vested stock options was $881,000 which is expected to be recognized over a weighted average vesting period of 1.81 years. Cash and other consideration received from option exercises during 2018, 2017, and 2016 totaled $361,000, $574,000 and $146,000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status of RDI’s outstanding stock options for the three years ended December 31, 2018:</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w w:val="91"/>
              </w:rPr>
              <w:t>Outstanding Stock Options</w:t>
            </w:r>
          </w:p>
        </w:tc>
        <w:tc>
          <w:tcPr>
            <w:tcW w:w="1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020" w:type="dxa"/>
            <w:vAlign w:val="bottom"/>
          </w:tcPr>
          <w:p>
            <w:pPr>
              <w:spacing w:after="0"/>
              <w:rPr>
                <w:sz w:val="10"/>
                <w:szCs w:val="10"/>
                <w:color w:val="auto"/>
              </w:rPr>
            </w:pPr>
          </w:p>
        </w:tc>
        <w:tc>
          <w:tcPr>
            <w:tcW w:w="1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3"/>
            <w:vMerge w:val="restart"/>
          </w:tcPr>
          <w:p>
            <w:pPr>
              <w:jc w:val="right"/>
              <w:ind w:right="134"/>
              <w:spacing w:after="0"/>
              <w:rPr>
                <w:sz w:val="20"/>
                <w:szCs w:val="20"/>
                <w:color w:val="auto"/>
              </w:rPr>
            </w:pPr>
            <w:r>
              <w:rPr>
                <w:rFonts w:ascii="Arial" w:cs="Arial" w:eastAsia="Arial" w:hAnsi="Arial"/>
                <w:sz w:val="14"/>
                <w:szCs w:val="14"/>
                <w:b w:val="1"/>
                <w:bCs w:val="1"/>
                <w:color w:val="auto"/>
              </w:rPr>
              <w:t>Weighted Average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jc w:val="center"/>
              <w:ind w:right="119"/>
              <w:spacing w:after="0" w:line="126"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77"/>
              <w:spacing w:after="0" w:line="126"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3020" w:type="dxa"/>
            <w:vAlign w:val="bottom"/>
          </w:tcPr>
          <w:p>
            <w:pPr>
              <w:spacing w:after="0"/>
              <w:rPr>
                <w:sz w:val="15"/>
                <w:szCs w:val="15"/>
                <w:color w:val="auto"/>
              </w:rPr>
            </w:pPr>
          </w:p>
        </w:tc>
        <w:tc>
          <w:tcPr>
            <w:tcW w:w="120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4"/>
                <w:szCs w:val="14"/>
                <w:b w:val="1"/>
                <w:bCs w:val="1"/>
                <w:color w:val="auto"/>
                <w:w w:val="90"/>
              </w:rPr>
              <w:t>Options</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Contractual Life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1200" w:type="dxa"/>
            <w:vAlign w:val="bottom"/>
            <w:gridSpan w:val="3"/>
          </w:tcPr>
          <w:p>
            <w:pPr>
              <w:ind w:left="200"/>
              <w:spacing w:after="0"/>
              <w:rPr>
                <w:sz w:val="20"/>
                <w:szCs w:val="20"/>
                <w:color w:val="auto"/>
              </w:rPr>
            </w:pPr>
            <w:r>
              <w:rPr>
                <w:rFonts w:ascii="Arial" w:cs="Arial" w:eastAsia="Arial" w:hAnsi="Arial"/>
                <w:sz w:val="14"/>
                <w:szCs w:val="14"/>
                <w:b w:val="1"/>
                <w:bCs w:val="1"/>
                <w:color w:val="auto"/>
              </w:rPr>
              <w:t>Class A</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Class B</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Class A</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Class A&amp;B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Class A&amp;B</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486,565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2,188,011</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169,327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(46,815)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220,002</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(74,000)</w:t>
            </w:r>
          </w:p>
        </w:tc>
        <w:tc>
          <w:tcPr>
            <w:tcW w:w="18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535,077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3,615,191</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169,762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(177,750)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702,840</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524,589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3,054,325</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126,840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610,249</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(4,960)</w:t>
            </w:r>
          </w:p>
        </w:tc>
        <w:tc>
          <w:tcPr>
            <w:tcW w:w="18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1,530,528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status of RDI’s vested and unvested stock options as of December 31, 2018, 2017 and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Vested and Unvested Stock Options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Weighted Average</w:t>
            </w:r>
          </w:p>
        </w:tc>
        <w:tc>
          <w:tcPr>
            <w:tcW w:w="1820" w:type="dxa"/>
            <w:vAlign w:val="bottom"/>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0"/>
                <w:szCs w:val="10"/>
                <w:color w:val="auto"/>
              </w:rPr>
            </w:pPr>
          </w:p>
        </w:tc>
        <w:tc>
          <w:tcPr>
            <w:tcW w:w="960" w:type="dxa"/>
            <w:vAlign w:val="bottom"/>
          </w:tcPr>
          <w:p>
            <w:pPr>
              <w:jc w:val="center"/>
              <w:ind w:right="57"/>
              <w:spacing w:after="0" w:line="126" w:lineRule="exact"/>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4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94"/>
              </w:rPr>
              <w:t>Options</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Vested</w:t>
            </w:r>
          </w:p>
        </w:tc>
        <w:tc>
          <w:tcPr>
            <w:tcW w:w="1200" w:type="dxa"/>
            <w:vAlign w:val="bottom"/>
            <w:gridSpan w:val="3"/>
          </w:tcPr>
          <w:p>
            <w:pPr>
              <w:ind w:left="220"/>
              <w:spacing w:after="0"/>
              <w:rPr>
                <w:sz w:val="20"/>
                <w:szCs w:val="20"/>
                <w:color w:val="auto"/>
              </w:rPr>
            </w:pPr>
            <w:r>
              <w:rPr>
                <w:rFonts w:ascii="Arial" w:cs="Arial" w:eastAsia="Arial" w:hAnsi="Arial"/>
                <w:sz w:val="14"/>
                <w:szCs w:val="14"/>
                <w:b w:val="1"/>
                <w:bCs w:val="1"/>
                <w:color w:val="auto"/>
              </w:rPr>
              <w:t>Class A</w:t>
            </w: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w w:val="93"/>
              </w:rPr>
              <w:t>Class A</w:t>
            </w:r>
          </w:p>
        </w:tc>
        <w:tc>
          <w:tcPr>
            <w:tcW w:w="3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Class B</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Class A&amp;B</w:t>
            </w:r>
          </w:p>
        </w:tc>
        <w:tc>
          <w:tcPr>
            <w:tcW w:w="14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Class A&amp;B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00" w:type="dxa"/>
            <w:vAlign w:val="bottom"/>
            <w:gridSpan w:val="4"/>
            <w:vMerge w:val="continue"/>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880" w:type="dxa"/>
            <w:vAlign w:val="bottom"/>
          </w:tcPr>
          <w:p>
            <w:pPr>
              <w:jc w:val="right"/>
              <w:spacing w:after="0"/>
              <w:rPr>
                <w:sz w:val="20"/>
                <w:szCs w:val="20"/>
                <w:color w:val="auto"/>
              </w:rPr>
            </w:pPr>
            <w:r>
              <w:rPr>
                <w:rFonts w:ascii="Arial" w:cs="Arial" w:eastAsia="Arial" w:hAnsi="Arial"/>
                <w:sz w:val="18"/>
                <w:szCs w:val="18"/>
                <w:color w:val="auto"/>
              </w:rPr>
              <w:t>186,832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9.84</w:t>
            </w:r>
          </w:p>
        </w:tc>
        <w:tc>
          <w:tcPr>
            <w:tcW w:w="30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2,202,772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Unvested</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880" w:type="dxa"/>
            <w:vAlign w:val="bottom"/>
          </w:tcPr>
          <w:p>
            <w:pPr>
              <w:jc w:val="right"/>
              <w:spacing w:after="0"/>
              <w:rPr>
                <w:sz w:val="20"/>
                <w:szCs w:val="20"/>
                <w:color w:val="auto"/>
              </w:rPr>
            </w:pPr>
            <w:r>
              <w:rPr>
                <w:rFonts w:ascii="Arial" w:cs="Arial" w:eastAsia="Arial" w:hAnsi="Arial"/>
                <w:sz w:val="18"/>
                <w:szCs w:val="18"/>
                <w:color w:val="auto"/>
              </w:rPr>
              <w:t>337,757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13.86</w:t>
            </w:r>
          </w:p>
        </w:tc>
        <w:tc>
          <w:tcPr>
            <w:tcW w:w="30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121</w:t>
            </w:r>
          </w:p>
        </w:tc>
        <w:tc>
          <w:tcPr>
            <w:tcW w:w="740" w:type="dxa"/>
            <w:vAlign w:val="bottom"/>
          </w:tcPr>
          <w:p>
            <w:pPr>
              <w:jc w:val="right"/>
              <w:ind w:right="53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41" w:right="8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i w:val="1"/>
          <w:iCs w:val="1"/>
          <w:color w:val="auto"/>
        </w:rPr>
        <w:t>Termination of Previous President’s Unvested Stock Options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James Cotter, Jr. has asserted in past communications with the Company that options to acquire 50,000 shares of Class A Stock, issued to him in connection with his retention as the President of our Company, survived his termination as President. On August 3, 2016, our Compensation and Stock Options Committee met, reviewed the issue and determined that such 50,000 options had in fact terminated with the termination of Mr. Cotter, Jr.’s employment as President. Accordingly, these options are not, and have not been outstanding since the effective date of Mr. Cotter, Jr’s termination. This was recorded as a forfeiture during the quarter ended September 30, 2016. Mr. Cotter, Jr., attempted to assert his claims with respect to such shares in the arbitration related to the payment of his severance benefits. The arbitrator determined that such claims were beyond the scope of the arbitration, and made no substantive determination with respect to Mr. Cotter, Jr’s claims.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estimate the grant-date fair values of our RSUs using the Company’s stock price at grant-date and record such fair values as compensation expense over the vesting period on a straight-line basis. During 2018 and 2017, RSU awards were granted to both our directors and certain members of management. These RSU awards vest 25% at the end of each year for 4 years (in the case of members of management) and vest 100% at the end of one year (in the case of directors). During the years ended December 31, 2018 and December 31, 2017, we recognized compensation expense of $1.0 million and $668,000 respectively. The total unrecognized compensation expense related to these unvested RSUs was $1.4 million as of December 31, 2018.</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Below is a table that shows the restricted stock units that have been issued and vested during the years ending December 31, 2018 along with the dollar value of these awards: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5"/>
              </w:rPr>
              <w:t>Number of RSUs</w:t>
            </w:r>
          </w:p>
        </w:tc>
        <w:tc>
          <w:tcPr>
            <w:tcW w:w="1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value of RSUs</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60" w:type="dxa"/>
            <w:vAlign w:val="bottom"/>
            <w:vMerge w:val="restart"/>
          </w:tcPr>
          <w:p>
            <w:pPr>
              <w:spacing w:after="0"/>
              <w:rPr>
                <w:sz w:val="20"/>
                <w:szCs w:val="20"/>
                <w:color w:val="auto"/>
              </w:rPr>
            </w:pPr>
            <w:r>
              <w:rPr>
                <w:rFonts w:ascii="Arial" w:cs="Arial" w:eastAsia="Arial" w:hAnsi="Arial"/>
                <w:sz w:val="18"/>
                <w:szCs w:val="18"/>
                <w:color w:val="auto"/>
              </w:rPr>
              <w:t>2016</w:t>
            </w: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Granted</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Vesting</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Unvested</w:t>
            </w: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9"/>
                <w:szCs w:val="19"/>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Vesting</w:t>
            </w:r>
          </w:p>
        </w:tc>
        <w:tc>
          <w:tcPr>
            <w:tcW w:w="240" w:type="dxa"/>
            <w:vAlign w:val="bottom"/>
          </w:tcPr>
          <w:p>
            <w:pPr>
              <w:spacing w:after="0"/>
              <w:rPr>
                <w:sz w:val="19"/>
                <w:szCs w:val="19"/>
                <w:color w:val="auto"/>
              </w:rPr>
            </w:pPr>
          </w:p>
        </w:tc>
        <w:tc>
          <w:tcPr>
            <w:tcW w:w="1060" w:type="dxa"/>
            <w:vAlign w:val="bottom"/>
          </w:tcPr>
          <w:p>
            <w:pPr>
              <w:jc w:val="right"/>
              <w:ind w:right="274"/>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68,153</w:t>
            </w: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51,650</w:t>
            </w: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16,503</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815,160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613,208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201,952</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70,538</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1,124,348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475,779</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2018</w:t>
            </w:r>
          </w:p>
        </w:tc>
        <w:tc>
          <w:tcPr>
            <w:tcW w:w="1120" w:type="dxa"/>
            <w:vAlign w:val="bottom"/>
          </w:tcPr>
          <w:p>
            <w:pPr>
              <w:jc w:val="right"/>
              <w:spacing w:after="0"/>
              <w:rPr>
                <w:sz w:val="20"/>
                <w:szCs w:val="20"/>
                <w:color w:val="auto"/>
              </w:rPr>
            </w:pPr>
            <w:r>
              <w:rPr>
                <w:rFonts w:ascii="Arial" w:cs="Arial" w:eastAsia="Arial" w:hAnsi="Arial"/>
                <w:sz w:val="18"/>
                <w:szCs w:val="18"/>
                <w:color w:val="auto"/>
              </w:rPr>
              <w:t>97,600</w:t>
            </w: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97,600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1,567,171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1,567,171</w:t>
            </w:r>
          </w:p>
        </w:tc>
        <w:tc>
          <w:tcPr>
            <w:tcW w:w="0" w:type="dxa"/>
            <w:vAlign w:val="bottom"/>
          </w:tcPr>
          <w:p>
            <w:pPr>
              <w:spacing w:after="0"/>
              <w:rPr>
                <w:sz w:val="1"/>
                <w:szCs w:val="1"/>
                <w:color w:val="auto"/>
              </w:rPr>
            </w:pPr>
          </w:p>
        </w:tc>
      </w:tr>
      <w:tr>
        <w:trPr>
          <w:trHeight w:val="217"/>
        </w:trPr>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3,506,679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1,261,777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2,244,902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Repurchase Plan</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March 14, 2019, the Board of Directors extended our Company’s stock buy-back program for two years, through March 2, 2021. The Board did not increase the authorized amount, which was initially fixed at $25.0 million. At the present time, $16.2 million of that authorization remains available to repurchase Class A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Repurchase Plan</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May 16, 2014, the Company's Board of Directors authorized management, at its discretion, to spend up to an aggregate of $10.0 million to acquire shares of the Company’s common stock. This approved stock repurchase plan supersedes and effectively cancels the program that was approved by the Board of Directors on May 14, 2004, which allowed management to purchase up to 350,000 shares of the Company’s common stock. As of December 31, 2016, we have fully spent the $10.0 million budget at an average price of $11.74.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auto"/>
        </w:rPr>
        <w:t>NOTE 15 –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each component of accumulated other comprehensive income attributable to RDI:</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Accrued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Gain (Losses)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Hedge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on Available-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Currency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for-Sale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Service</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180" w:type="dxa"/>
            <w:vAlign w:val="bottom"/>
            <w:gridSpan w:val="4"/>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Items</w:t>
            </w:r>
            <w:r>
              <w:rPr>
                <w:rFonts w:ascii="Arial" w:cs="Arial" w:eastAsia="Arial" w:hAnsi="Arial"/>
                <w:sz w:val="7"/>
                <w:szCs w:val="7"/>
                <w:b w:val="1"/>
                <w:bCs w:val="1"/>
                <w:color w:val="auto"/>
                <w:w w:val="97"/>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Investments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Costs</w:t>
            </w:r>
            <w:r>
              <w:rPr>
                <w:rFonts w:ascii="Arial" w:cs="Arial" w:eastAsia="Arial" w:hAnsi="Arial"/>
                <w:sz w:val="7"/>
                <w:szCs w:val="7"/>
                <w:b w:val="1"/>
                <w:bCs w:val="1"/>
                <w:color w:val="auto"/>
                <w:w w:val="88"/>
              </w:rPr>
              <w:t>(2)</w:t>
            </w:r>
          </w:p>
        </w:tc>
        <w:tc>
          <w:tcPr>
            <w:tcW w:w="14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r>
              <w:rPr>
                <w:rFonts w:ascii="Arial" w:cs="Arial" w:eastAsia="Arial" w:hAnsi="Arial"/>
                <w:sz w:val="7"/>
                <w:szCs w:val="7"/>
                <w:b w:val="1"/>
                <w:bCs w:val="1"/>
                <w:color w:val="auto"/>
                <w:w w:val="88"/>
              </w:rPr>
              <w:t>(3)</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Change related to derivatives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Total change in hedge fair value recorded in Other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change related to derivatives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(14,888)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Net of income tax expense of $389,000.</w:t>
      </w:r>
    </w:p>
    <w:p>
      <w:pPr>
        <w:ind w:left="640" w:hanging="320"/>
        <w:spacing w:after="0" w:line="221" w:lineRule="auto"/>
        <w:tabs>
          <w:tab w:leader="none" w:pos="6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Net of income tax expense of $54,000.</w:t>
      </w:r>
    </w:p>
    <w:p>
      <w:pPr>
        <w:ind w:left="640" w:hanging="320"/>
        <w:spacing w:after="0"/>
        <w:tabs>
          <w:tab w:leader="none" w:pos="6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Net of income tax benefit of $48,000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 FAIR VALUE MEASUREMENTS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(either recurring or non-recurring basis) are classified and disclosed in one of the following categories:</w:t>
      </w:r>
    </w:p>
    <w:p>
      <w:pPr>
        <w:spacing w:after="0" w:line="52" w:lineRule="exact"/>
        <w:rPr>
          <w:sz w:val="20"/>
          <w:szCs w:val="20"/>
          <w:color w:val="auto"/>
        </w:rPr>
      </w:pPr>
    </w:p>
    <w:p>
      <w:pPr>
        <w:ind w:left="640" w:right="100" w:hanging="320"/>
        <w:spacing w:after="0" w:line="221" w:lineRule="auto"/>
        <w:tabs>
          <w:tab w:leader="none" w:pos="64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(unadjusted) prices in active markets that are accessible at the measurement date for identical, unrestricted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or liabilities. This consist primarily of investments in marketable securities which are our investments associated with the ownership of marketable securities in U.S. and New Zealand. These investments are valued based on observable market quotes on the last trading date of the reporting period.</w:t>
      </w:r>
    </w:p>
    <w:p>
      <w:pPr>
        <w:spacing w:after="0" w:line="80" w:lineRule="exact"/>
        <w:rPr>
          <w:rFonts w:ascii="Arial" w:cs="Arial" w:eastAsia="Arial" w:hAnsi="Arial"/>
          <w:sz w:val="29"/>
          <w:szCs w:val="29"/>
          <w:color w:val="auto"/>
          <w:vertAlign w:val="superscript"/>
        </w:rPr>
      </w:pPr>
    </w:p>
    <w:p>
      <w:pPr>
        <w:ind w:left="640" w:right="40" w:hanging="320"/>
        <w:spacing w:after="0" w:line="243" w:lineRule="auto"/>
        <w:tabs>
          <w:tab w:leader="none" w:pos="640" w:val="left"/>
        </w:tabs>
        <w:numPr>
          <w:ilvl w:val="0"/>
          <w:numId w:val="96"/>
        </w:numPr>
        <w:rPr>
          <w:rFonts w:ascii="Arial" w:cs="Arial" w:eastAsia="Arial" w:hAnsi="Arial"/>
          <w:sz w:val="28"/>
          <w:szCs w:val="28"/>
          <w:color w:val="auto"/>
          <w:vertAlign w:val="superscript"/>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Quoted prices in active markets for similar assets and liabilities, or inputs that are observable, either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for substantially the full term of the asset or liability. 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2018 and 2017, we concluded that the credit valuation adjustments were not significant to the overall valuation of our derivatives.</w:t>
      </w:r>
    </w:p>
    <w:p>
      <w:pPr>
        <w:spacing w:after="0" w:line="75" w:lineRule="exact"/>
        <w:rPr>
          <w:rFonts w:ascii="Arial" w:cs="Arial" w:eastAsia="Arial" w:hAnsi="Arial"/>
          <w:sz w:val="28"/>
          <w:szCs w:val="28"/>
          <w:color w:val="auto"/>
          <w:vertAlign w:val="superscript"/>
        </w:rPr>
      </w:pPr>
    </w:p>
    <w:p>
      <w:pPr>
        <w:ind w:left="640" w:right="620" w:hanging="320"/>
        <w:spacing w:after="0" w:line="200" w:lineRule="auto"/>
        <w:tabs>
          <w:tab w:leader="none" w:pos="64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may require significant judgment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fair value of the assets and liabilities. This category includes:</w:t>
      </w:r>
    </w:p>
    <w:p>
      <w:pPr>
        <w:spacing w:after="0" w:line="80" w:lineRule="exact"/>
        <w:rPr>
          <w:rFonts w:ascii="Arial" w:cs="Arial" w:eastAsia="Arial" w:hAnsi="Arial"/>
          <w:sz w:val="29"/>
          <w:szCs w:val="29"/>
          <w:color w:val="auto"/>
          <w:vertAlign w:val="superscript"/>
        </w:rPr>
      </w:pPr>
    </w:p>
    <w:p>
      <w:pPr>
        <w:ind w:left="960" w:right="40" w:hanging="315"/>
        <w:spacing w:after="0" w:line="255" w:lineRule="auto"/>
        <w:tabs>
          <w:tab w:leader="none" w:pos="96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 includes secured and unsecured notes payable, trust preferred securities and other debt instruments. The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71" w:lineRule="exact"/>
        <w:rPr>
          <w:rFonts w:ascii="Arial" w:cs="Arial" w:eastAsia="Arial" w:hAnsi="Arial"/>
          <w:sz w:val="18"/>
          <w:szCs w:val="18"/>
          <w:color w:val="auto"/>
        </w:rPr>
      </w:pPr>
    </w:p>
    <w:p>
      <w:pPr>
        <w:ind w:left="960" w:right="40" w:hanging="315"/>
        <w:spacing w:after="0" w:line="302" w:lineRule="auto"/>
        <w:tabs>
          <w:tab w:leader="none" w:pos="960" w:val="left"/>
        </w:tabs>
        <w:numPr>
          <w:ilvl w:val="1"/>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Goodwill, Other Intangibles and Other Long-lived Assets </w:t>
      </w:r>
      <w:r>
        <w:rPr>
          <w:rFonts w:ascii="Arial" w:cs="Arial" w:eastAsia="Arial" w:hAnsi="Arial"/>
          <w:sz w:val="16"/>
          <w:szCs w:val="16"/>
          <w:color w:val="auto"/>
        </w:rPr>
        <w:t>- refer to the “</w:t>
      </w:r>
      <w:r>
        <w:rPr>
          <w:rFonts w:ascii="Arial" w:cs="Arial" w:eastAsia="Arial" w:hAnsi="Arial"/>
          <w:sz w:val="16"/>
          <w:szCs w:val="16"/>
          <w:i w:val="1"/>
          <w:iCs w:val="1"/>
          <w:color w:val="auto"/>
        </w:rPr>
        <w:t xml:space="preserve">Impairment of Long-Lived Assets” section in Note 2 – Summary of Significant Accounting Policies </w:t>
      </w:r>
      <w:r>
        <w:rPr>
          <w:rFonts w:ascii="Arial" w:cs="Arial" w:eastAsia="Arial" w:hAnsi="Arial"/>
          <w:sz w:val="16"/>
          <w:szCs w:val="16"/>
          <w:color w:val="auto"/>
        </w:rPr>
        <w:t>for a description of valuation methodology used for fair value measurements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intangible assets and long-lived assets. Given this category represents several lines in our Consolidated Balance Sheet and since the recorded values agree to fair values, we did not include this in the subsequent tables presented.</w:t>
      </w:r>
    </w:p>
    <w:p>
      <w:pPr>
        <w:spacing w:after="0" w:line="15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Also, our Level 1 financial instruments include cash and cash equivalents, receivables, and accounts payable and accrued liabilities. The carrying values of these financial instruments approximate the fair values due to their short maturities. There have been no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124" w:name="page125"/>
    <w:bookmarkEnd w:id="124"/>
    <w:p>
      <w:pPr>
        <w:ind w:right="180"/>
        <w:spacing w:after="0" w:line="277" w:lineRule="auto"/>
        <w:rPr>
          <w:sz w:val="20"/>
          <w:szCs w:val="20"/>
          <w:color w:val="auto"/>
        </w:rPr>
      </w:pPr>
      <w:r>
        <w:rPr>
          <w:rFonts w:ascii="Arial" w:cs="Arial" w:eastAsia="Arial" w:hAnsi="Arial"/>
          <w:sz w:val="18"/>
          <w:szCs w:val="18"/>
          <w:color w:val="auto"/>
        </w:rPr>
        <w:t>changes in the methodologies used at December 31, 2018 and 2017. Additionally, there were no transfers of assets and liabilities between Levels 1, 2, or 3 during the three years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2018 and 2017, we do not have material financial assets and liabilities carried and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Nonrecurring Fair Value Measurements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tables provide information about financial assets and liabilities not carried at fair value on a nonrecurring basis in our 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1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12"/>
          </w:tcPr>
          <w:p>
            <w:pPr>
              <w:jc w:val="right"/>
              <w:ind w:right="448"/>
              <w:spacing w:after="0"/>
              <w:rPr>
                <w:sz w:val="20"/>
                <w:szCs w:val="20"/>
                <w:color w:val="auto"/>
              </w:rPr>
            </w:pPr>
            <w:r>
              <w:rPr>
                <w:rFonts w:ascii="Arial" w:cs="Arial" w:eastAsia="Arial" w:hAnsi="Arial"/>
                <w:sz w:val="14"/>
                <w:szCs w:val="14"/>
                <w:b w:val="1"/>
                <w:bCs w:val="1"/>
                <w:color w:val="auto"/>
              </w:rPr>
              <w:t>Fair Value Measurements at December 31, 2018</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78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Value</w:t>
            </w:r>
            <w:r>
              <w:rPr>
                <w:rFonts w:ascii="Arial" w:cs="Arial" w:eastAsia="Arial" w:hAnsi="Arial"/>
                <w:sz w:val="7"/>
                <w:szCs w:val="7"/>
                <w:b w:val="1"/>
                <w:bCs w:val="1"/>
                <w:color w:val="auto"/>
                <w:w w:val="91"/>
              </w:rPr>
              <w:t>(1)</w:t>
            </w:r>
          </w:p>
        </w:tc>
        <w:tc>
          <w:tcPr>
            <w:tcW w:w="1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8"/>
                <w:szCs w:val="18"/>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Financial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60"/>
              <w:spacing w:after="0"/>
              <w:rPr>
                <w:sz w:val="20"/>
                <w:szCs w:val="20"/>
                <w:color w:val="auto"/>
              </w:rPr>
            </w:pPr>
            <w:r>
              <w:rPr>
                <w:rFonts w:ascii="Arial" w:cs="Arial" w:eastAsia="Arial" w:hAnsi="Arial"/>
                <w:sz w:val="14"/>
                <w:szCs w:val="14"/>
                <w:color w:val="auto"/>
              </w:rPr>
              <w:t>Notes payable</w:t>
            </w:r>
          </w:p>
        </w:tc>
        <w:tc>
          <w:tcPr>
            <w:tcW w:w="2780" w:type="dxa"/>
            <w:vAlign w:val="bottom"/>
            <w:gridSpan w:val="2"/>
          </w:tcPr>
          <w:p>
            <w:pPr>
              <w:ind w:left="160"/>
              <w:spacing w:after="0"/>
              <w:rPr>
                <w:sz w:val="20"/>
                <w:szCs w:val="20"/>
                <w:color w:val="auto"/>
              </w:rPr>
            </w:pPr>
            <w:r>
              <w:rPr>
                <w:rFonts w:ascii="Arial" w:cs="Arial" w:eastAsia="Arial" w:hAnsi="Arial"/>
                <w:sz w:val="14"/>
                <w:szCs w:val="14"/>
                <w:color w:val="auto"/>
              </w:rPr>
              <w:t>Debt - current and long-term portion</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139,130</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143,564</w:t>
            </w:r>
          </w:p>
        </w:tc>
        <w:tc>
          <w:tcPr>
            <w:tcW w:w="160" w:type="dxa"/>
            <w:vAlign w:val="bottom"/>
          </w:tcPr>
          <w:p>
            <w:pPr>
              <w:spacing w:after="0"/>
              <w:rPr>
                <w:sz w:val="15"/>
                <w:szCs w:val="15"/>
                <w:color w:val="auto"/>
              </w:rPr>
            </w:pP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143,564</w:t>
            </w: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Subordinated debt</w:t>
            </w:r>
          </w:p>
        </w:tc>
        <w:tc>
          <w:tcPr>
            <w:tcW w:w="2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Subordinated debt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18,895</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18,895</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167,043</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162,459</w:t>
            </w:r>
          </w:p>
        </w:tc>
        <w:tc>
          <w:tcPr>
            <w:tcW w:w="160" w:type="dxa"/>
            <w:vAlign w:val="bottom"/>
          </w:tcPr>
          <w:p>
            <w:pPr>
              <w:spacing w:after="0"/>
              <w:rPr>
                <w:sz w:val="13"/>
                <w:szCs w:val="13"/>
                <w:color w:val="auto"/>
              </w:rPr>
            </w:pP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162,459</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2"/>
          </w:tcPr>
          <w:p>
            <w:pPr>
              <w:jc w:val="right"/>
              <w:ind w:right="448"/>
              <w:spacing w:after="0"/>
              <w:rPr>
                <w:sz w:val="20"/>
                <w:szCs w:val="20"/>
                <w:color w:val="auto"/>
              </w:rPr>
            </w:pPr>
            <w:r>
              <w:rPr>
                <w:rFonts w:ascii="Arial" w:cs="Arial" w:eastAsia="Arial" w:hAnsi="Arial"/>
                <w:sz w:val="14"/>
                <w:szCs w:val="14"/>
                <w:b w:val="1"/>
                <w:bCs w:val="1"/>
                <w:color w:val="auto"/>
              </w:rPr>
              <w:t>Fair Value Measurements at December 31, 2017</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78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Value</w:t>
            </w:r>
            <w:r>
              <w:rPr>
                <w:rFonts w:ascii="Arial" w:cs="Arial" w:eastAsia="Arial" w:hAnsi="Arial"/>
                <w:sz w:val="7"/>
                <w:szCs w:val="7"/>
                <w:b w:val="1"/>
                <w:bCs w:val="1"/>
                <w:color w:val="auto"/>
                <w:w w:val="91"/>
              </w:rPr>
              <w:t>(1)</w:t>
            </w:r>
          </w:p>
        </w:tc>
        <w:tc>
          <w:tcPr>
            <w:tcW w:w="1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8"/>
                <w:szCs w:val="18"/>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Financial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60"/>
              <w:spacing w:after="0"/>
              <w:rPr>
                <w:sz w:val="20"/>
                <w:szCs w:val="20"/>
                <w:color w:val="auto"/>
              </w:rPr>
            </w:pPr>
            <w:r>
              <w:rPr>
                <w:rFonts w:ascii="Arial" w:cs="Arial" w:eastAsia="Arial" w:hAnsi="Arial"/>
                <w:sz w:val="14"/>
                <w:szCs w:val="14"/>
                <w:color w:val="auto"/>
              </w:rPr>
              <w:t>Notes payable</w:t>
            </w:r>
          </w:p>
        </w:tc>
        <w:tc>
          <w:tcPr>
            <w:tcW w:w="2780" w:type="dxa"/>
            <w:vAlign w:val="bottom"/>
            <w:gridSpan w:val="2"/>
          </w:tcPr>
          <w:p>
            <w:pPr>
              <w:ind w:left="160"/>
              <w:spacing w:after="0"/>
              <w:rPr>
                <w:sz w:val="20"/>
                <w:szCs w:val="20"/>
                <w:color w:val="auto"/>
              </w:rPr>
            </w:pPr>
            <w:r>
              <w:rPr>
                <w:rFonts w:ascii="Arial" w:cs="Arial" w:eastAsia="Arial" w:hAnsi="Arial"/>
                <w:sz w:val="14"/>
                <w:szCs w:val="14"/>
                <w:color w:val="auto"/>
              </w:rPr>
              <w:t>Debt - current and long-term portion</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106,588</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106,894</w:t>
            </w:r>
          </w:p>
        </w:tc>
        <w:tc>
          <w:tcPr>
            <w:tcW w:w="160" w:type="dxa"/>
            <w:vAlign w:val="bottom"/>
          </w:tcPr>
          <w:p>
            <w:pPr>
              <w:spacing w:after="0"/>
              <w:rPr>
                <w:sz w:val="15"/>
                <w:szCs w:val="15"/>
                <w:color w:val="auto"/>
              </w:rPr>
            </w:pP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106,894</w:t>
            </w: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Subordinated debt</w:t>
            </w:r>
          </w:p>
        </w:tc>
        <w:tc>
          <w:tcPr>
            <w:tcW w:w="2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Subordinated debt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16,088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16,088</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134,501</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122,982</w:t>
            </w:r>
          </w:p>
        </w:tc>
        <w:tc>
          <w:tcPr>
            <w:tcW w:w="160" w:type="dxa"/>
            <w:vAlign w:val="bottom"/>
          </w:tcPr>
          <w:p>
            <w:pPr>
              <w:spacing w:after="0"/>
              <w:rPr>
                <w:sz w:val="13"/>
                <w:szCs w:val="13"/>
                <w:color w:val="auto"/>
              </w:rPr>
            </w:pP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122,982</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These balances are presented gross of deferred financing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 – HEDGE ACCOUNTING</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December 31, 2018 and 2017, the Company held interest rate derivatives in the total notional amount of $8.0 million and $nil,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derivatives are recorded on the balance sheet at fair value and are included in the following line items: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3"/>
          </w:tcPr>
          <w:p>
            <w:pPr>
              <w:jc w:val="center"/>
              <w:ind w:right="668"/>
              <w:spacing w:after="0"/>
              <w:rPr>
                <w:sz w:val="20"/>
                <w:szCs w:val="20"/>
                <w:color w:val="auto"/>
              </w:rPr>
            </w:pPr>
            <w:r>
              <w:rPr>
                <w:rFonts w:ascii="Arial" w:cs="Arial" w:eastAsia="Arial" w:hAnsi="Arial"/>
                <w:sz w:val="14"/>
                <w:szCs w:val="14"/>
                <w:b w:val="1"/>
                <w:bCs w:val="1"/>
                <w:color w:val="auto"/>
                <w:w w:val="95"/>
              </w:rPr>
              <w:t>Liability Derivatives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ind w:right="688"/>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76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500" w:type="dxa"/>
            <w:vAlign w:val="bottom"/>
          </w:tcPr>
          <w:p>
            <w:pPr>
              <w:spacing w:after="0"/>
              <w:rPr>
                <w:sz w:val="20"/>
                <w:szCs w:val="20"/>
                <w:color w:val="auto"/>
              </w:rPr>
            </w:pPr>
            <w:r>
              <w:rPr>
                <w:rFonts w:ascii="Arial" w:cs="Arial" w:eastAsia="Arial" w:hAnsi="Arial"/>
                <w:sz w:val="14"/>
                <w:szCs w:val="14"/>
                <w:b w:val="1"/>
                <w:bCs w:val="1"/>
                <w:color w:val="auto"/>
                <w:w w:val="97"/>
              </w:rPr>
              <w:t>Balance sheet location</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
        </w:trPr>
        <w:tc>
          <w:tcPr>
            <w:tcW w:w="25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2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Interest rate contracts</w:t>
            </w:r>
          </w:p>
        </w:tc>
        <w:tc>
          <w:tcPr>
            <w:tcW w:w="160" w:type="dxa"/>
            <w:vAlign w:val="bottom"/>
            <w:vMerge w:val="continue"/>
            <w:shd w:val="clear" w:color="auto" w:fill="CCEEFF"/>
          </w:tcPr>
          <w:p>
            <w:pPr>
              <w:spacing w:after="0"/>
              <w:rPr>
                <w:sz w:val="11"/>
                <w:szCs w:val="11"/>
                <w:color w:val="auto"/>
              </w:rPr>
            </w:pPr>
          </w:p>
        </w:tc>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Derivative financial instruments - current</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  $</w:t>
            </w:r>
          </w:p>
        </w:tc>
        <w:tc>
          <w:tcPr>
            <w:tcW w:w="78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2580" w:type="dxa"/>
            <w:vAlign w:val="bottom"/>
            <w:vMerge w:val="continue"/>
            <w:shd w:val="clear" w:color="auto" w:fill="CCEEFF"/>
          </w:tcPr>
          <w:p>
            <w:pPr>
              <w:spacing w:after="0"/>
              <w:rPr>
                <w:sz w:val="8"/>
                <w:szCs w:val="8"/>
                <w:color w:val="auto"/>
              </w:rPr>
            </w:pPr>
          </w:p>
        </w:tc>
        <w:tc>
          <w:tcPr>
            <w:tcW w:w="27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portion</w:t>
            </w:r>
          </w:p>
        </w:tc>
        <w:tc>
          <w:tcPr>
            <w:tcW w:w="240" w:type="dxa"/>
            <w:vAlign w:val="bottom"/>
            <w:gridSpan w:val="2"/>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320" w:type="dxa"/>
            <w:vAlign w:val="bottom"/>
            <w:gridSpan w:val="3"/>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80" w:type="dxa"/>
            <w:vAlign w:val="bottom"/>
            <w:shd w:val="clear" w:color="auto" w:fill="CCEEFF"/>
          </w:tcPr>
          <w:p>
            <w:pPr>
              <w:spacing w:after="0"/>
              <w:rPr>
                <w:sz w:val="5"/>
                <w:szCs w:val="5"/>
                <w:color w:val="auto"/>
              </w:rPr>
            </w:pPr>
          </w:p>
        </w:tc>
        <w:tc>
          <w:tcPr>
            <w:tcW w:w="27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27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Derivative financial instruments - non-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2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ind w:left="62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2580" w:type="dxa"/>
            <w:vAlign w:val="bottom"/>
          </w:tcPr>
          <w:p>
            <w:pPr>
              <w:spacing w:after="0"/>
              <w:rPr>
                <w:sz w:val="8"/>
                <w:szCs w:val="8"/>
                <w:color w:val="auto"/>
              </w:rPr>
            </w:pPr>
          </w:p>
        </w:tc>
        <w:tc>
          <w:tcPr>
            <w:tcW w:w="2760" w:type="dxa"/>
            <w:vAlign w:val="bottom"/>
            <w:gridSpan w:val="2"/>
            <w:vMerge w:val="restart"/>
          </w:tcPr>
          <w:p>
            <w:pPr>
              <w:ind w:left="160"/>
              <w:spacing w:after="0"/>
              <w:rPr>
                <w:sz w:val="20"/>
                <w:szCs w:val="20"/>
                <w:color w:val="auto"/>
              </w:rPr>
            </w:pPr>
            <w:r>
              <w:rPr>
                <w:rFonts w:ascii="Arial" w:cs="Arial" w:eastAsia="Arial" w:hAnsi="Arial"/>
                <w:sz w:val="14"/>
                <w:szCs w:val="14"/>
                <w:color w:val="auto"/>
              </w:rPr>
              <w:t>current portion</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2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5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derivatives designated as hedging</w:t>
            </w:r>
          </w:p>
        </w:tc>
        <w:tc>
          <w:tcPr>
            <w:tcW w:w="160" w:type="dxa"/>
            <w:vAlign w:val="bottom"/>
            <w:tcBorders>
              <w:top w:val="single" w:sz="8" w:color="CCEEFF"/>
            </w:tcBorders>
            <w:shd w:val="clear" w:color="auto" w:fill="CCEEFF"/>
          </w:tcPr>
          <w:p>
            <w:pPr>
              <w:spacing w:after="0"/>
              <w:rPr>
                <w:sz w:val="9"/>
                <w:szCs w:val="9"/>
                <w:color w:val="auto"/>
              </w:rPr>
            </w:pPr>
          </w:p>
        </w:tc>
        <w:tc>
          <w:tcPr>
            <w:tcW w:w="26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14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spacing w:after="0"/>
              <w:rPr>
                <w:sz w:val="9"/>
                <w:szCs w:val="9"/>
                <w:color w:val="auto"/>
              </w:rPr>
            </w:pPr>
          </w:p>
        </w:tc>
        <w:tc>
          <w:tcPr>
            <w:tcW w:w="1320" w:type="dxa"/>
            <w:vAlign w:val="bottom"/>
            <w:tcBorders>
              <w:top w:val="single" w:sz="8" w:color="auto"/>
            </w:tcBorders>
            <w:gridSpan w:val="3"/>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vMerge w:val="restart"/>
            <w:shd w:val="clear" w:color="auto" w:fill="CCEEFF"/>
          </w:tcPr>
          <w:p>
            <w:pPr>
              <w:ind w:left="620"/>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78"/>
        </w:trPr>
        <w:tc>
          <w:tcPr>
            <w:tcW w:w="2580" w:type="dxa"/>
            <w:vAlign w:val="bottom"/>
            <w:tcBorders>
              <w:bottom w:val="single" w:sz="8" w:color="CCEEFF"/>
            </w:tcBorders>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instruments</w:t>
            </w:r>
          </w:p>
        </w:tc>
        <w:tc>
          <w:tcPr>
            <w:tcW w:w="16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vMerge w:val="continue"/>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3"/>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8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Total derivatives</w:t>
            </w:r>
          </w:p>
        </w:tc>
        <w:tc>
          <w:tcPr>
            <w:tcW w:w="160" w:type="dxa"/>
            <w:vAlign w:val="bottom"/>
            <w:tcBorders>
              <w:top w:val="single" w:sz="8" w:color="CCEEFF"/>
            </w:tcBorders>
          </w:tcPr>
          <w:p>
            <w:pPr>
              <w:spacing w:after="0"/>
              <w:rPr>
                <w:sz w:val="15"/>
                <w:szCs w:val="15"/>
                <w:color w:val="auto"/>
              </w:rPr>
            </w:pPr>
          </w:p>
        </w:tc>
        <w:tc>
          <w:tcPr>
            <w:tcW w:w="2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c>
          <w:tcPr>
            <w:tcW w:w="140" w:type="dxa"/>
            <w:vAlign w:val="bottom"/>
            <w:tcBorders>
              <w:top w:val="single" w:sz="8" w:color="CCEEFF"/>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no derivatives designated as hedging instruments which are in asset positions.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changes in fair value are recorded in Other Comprehensive Income and released into interest expense in the same period(s) in which the hedged transactions affect earnings. In 2018 and 2017, the derivative instruments affected Comprehensive Income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54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Location of Loss Recognized in Income on Derivatives</w:t>
            </w:r>
          </w:p>
        </w:tc>
        <w:tc>
          <w:tcPr>
            <w:tcW w:w="100" w:type="dxa"/>
            <w:vAlign w:val="bottom"/>
          </w:tcPr>
          <w:p>
            <w:pPr>
              <w:spacing w:after="0"/>
              <w:rPr>
                <w:sz w:val="14"/>
                <w:szCs w:val="14"/>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Amount of Loss Recognized in Income</w:t>
            </w:r>
          </w:p>
        </w:tc>
        <w:tc>
          <w:tcPr>
            <w:tcW w:w="0" w:type="dxa"/>
            <w:vAlign w:val="bottom"/>
          </w:tcPr>
          <w:p>
            <w:pPr>
              <w:spacing w:after="0"/>
              <w:rPr>
                <w:sz w:val="1"/>
                <w:szCs w:val="1"/>
                <w:color w:val="auto"/>
              </w:rPr>
            </w:pPr>
          </w:p>
        </w:tc>
      </w:tr>
      <w:tr>
        <w:trPr>
          <w:trHeight w:val="105"/>
        </w:trPr>
        <w:tc>
          <w:tcPr>
            <w:tcW w:w="22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5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gridSpan w:val="3"/>
            <w:vMerge w:val="restart"/>
          </w:tcPr>
          <w:p>
            <w:pPr>
              <w:jc w:val="right"/>
              <w:ind w:right="9"/>
              <w:spacing w:after="0"/>
              <w:rPr>
                <w:sz w:val="20"/>
                <w:szCs w:val="20"/>
                <w:color w:val="auto"/>
              </w:rPr>
            </w:pPr>
            <w:r>
              <w:rPr>
                <w:rFonts w:ascii="Arial" w:cs="Arial" w:eastAsia="Arial" w:hAnsi="Arial"/>
                <w:sz w:val="14"/>
                <w:szCs w:val="14"/>
                <w:b w:val="1"/>
                <w:bCs w:val="1"/>
                <w:color w:val="auto"/>
              </w:rPr>
              <w:t>on Derivatives</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20" w:type="dxa"/>
            <w:vAlign w:val="bottom"/>
            <w:vMerge w:val="continue"/>
          </w:tcPr>
          <w:p>
            <w:pPr>
              <w:spacing w:after="0"/>
              <w:rPr>
                <w:sz w:val="7"/>
                <w:szCs w:val="7"/>
                <w:color w:val="auto"/>
              </w:rPr>
            </w:pPr>
          </w:p>
        </w:tc>
        <w:tc>
          <w:tcPr>
            <w:tcW w:w="5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220" w:type="dxa"/>
            <w:vAlign w:val="bottom"/>
            <w:tcBorders>
              <w:bottom w:val="single" w:sz="8" w:color="auto"/>
            </w:tcBorders>
            <w:vMerge w:val="continue"/>
          </w:tcPr>
          <w:p>
            <w:pPr>
              <w:spacing w:after="0"/>
              <w:rPr>
                <w:sz w:val="6"/>
                <w:szCs w:val="6"/>
                <w:color w:val="auto"/>
              </w:rPr>
            </w:pPr>
          </w:p>
        </w:tc>
        <w:tc>
          <w:tcPr>
            <w:tcW w:w="5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rate contracts</w:t>
            </w:r>
          </w:p>
        </w:tc>
        <w:tc>
          <w:tcPr>
            <w:tcW w:w="5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Interest expense, net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Loss Recognized in</w:t>
            </w:r>
          </w:p>
        </w:tc>
        <w:tc>
          <w:tcPr>
            <w:tcW w:w="3380" w:type="dxa"/>
            <w:vAlign w:val="bottom"/>
            <w:gridSpan w:val="9"/>
            <w:vMerge w:val="restart"/>
          </w:tcPr>
          <w:p>
            <w:pPr>
              <w:ind w:left="120"/>
              <w:spacing w:after="0"/>
              <w:rPr>
                <w:sz w:val="20"/>
                <w:szCs w:val="20"/>
                <w:color w:val="auto"/>
              </w:rPr>
            </w:pPr>
            <w:r>
              <w:rPr>
                <w:rFonts w:ascii="Arial" w:cs="Arial" w:eastAsia="Arial" w:hAnsi="Arial"/>
                <w:sz w:val="14"/>
                <w:szCs w:val="14"/>
                <w:b w:val="1"/>
                <w:bCs w:val="1"/>
                <w:color w:val="auto"/>
                <w:w w:val="97"/>
              </w:rPr>
              <w:t>Loss Reclassified from OCI into Income (Effective</w:t>
            </w:r>
          </w:p>
        </w:tc>
        <w:tc>
          <w:tcPr>
            <w:tcW w:w="60" w:type="dxa"/>
            <w:vAlign w:val="bottom"/>
          </w:tcPr>
          <w:p>
            <w:pPr>
              <w:spacing w:after="0"/>
              <w:rPr>
                <w:sz w:val="14"/>
                <w:szCs w:val="14"/>
                <w:color w:val="auto"/>
              </w:rPr>
            </w:pPr>
          </w:p>
        </w:tc>
        <w:tc>
          <w:tcPr>
            <w:tcW w:w="32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0"/>
              </w:rPr>
              <w:t>Loss Recognized in Income on Derivatives</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OCI on Derivatives</w:t>
            </w:r>
          </w:p>
        </w:tc>
        <w:tc>
          <w:tcPr>
            <w:tcW w:w="3380" w:type="dxa"/>
            <w:vAlign w:val="bottom"/>
            <w:gridSpan w:val="9"/>
            <w:vMerge w:val="continue"/>
          </w:tcPr>
          <w:p>
            <w:pPr>
              <w:spacing w:after="0"/>
              <w:rPr>
                <w:sz w:val="12"/>
                <w:szCs w:val="12"/>
                <w:color w:val="auto"/>
              </w:rPr>
            </w:pPr>
          </w:p>
        </w:tc>
        <w:tc>
          <w:tcPr>
            <w:tcW w:w="60" w:type="dxa"/>
            <w:vAlign w:val="bottom"/>
          </w:tcPr>
          <w:p>
            <w:pPr>
              <w:spacing w:after="0"/>
              <w:rPr>
                <w:sz w:val="12"/>
                <w:szCs w:val="12"/>
                <w:color w:val="auto"/>
              </w:rPr>
            </w:pPr>
          </w:p>
        </w:tc>
        <w:tc>
          <w:tcPr>
            <w:tcW w:w="3260" w:type="dxa"/>
            <w:vAlign w:val="bottom"/>
            <w:gridSpan w:val="8"/>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(Ineffective Portion and Amount Excluded from</w:t>
            </w: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8"/>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Portion)</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20" w:type="dxa"/>
            <w:vAlign w:val="bottom"/>
            <w:tcBorders>
              <w:bottom w:val="single" w:sz="8" w:color="auto"/>
            </w:tcBorders>
            <w:gridSpan w:val="5"/>
          </w:tcPr>
          <w:p>
            <w:pPr>
              <w:jc w:val="center"/>
              <w:ind w:left="528"/>
              <w:spacing w:after="0"/>
              <w:rPr>
                <w:sz w:val="20"/>
                <w:szCs w:val="20"/>
                <w:color w:val="auto"/>
              </w:rPr>
            </w:pPr>
            <w:r>
              <w:rPr>
                <w:rFonts w:ascii="Arial" w:cs="Arial" w:eastAsia="Arial" w:hAnsi="Arial"/>
                <w:sz w:val="14"/>
                <w:szCs w:val="14"/>
                <w:b w:val="1"/>
                <w:bCs w:val="1"/>
                <w:color w:val="auto"/>
                <w:w w:val="90"/>
              </w:rPr>
              <w:t>Effectiveness Testing)</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8"/>
                <w:szCs w:val="18"/>
                <w:color w:val="auto"/>
              </w:rPr>
            </w:pPr>
          </w:p>
        </w:tc>
        <w:tc>
          <w:tcPr>
            <w:tcW w:w="14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tcPr>
          <w:p>
            <w:pPr>
              <w:ind w:left="620"/>
              <w:spacing w:after="0"/>
              <w:rPr>
                <w:sz w:val="20"/>
                <w:szCs w:val="20"/>
                <w:color w:val="auto"/>
              </w:rPr>
            </w:pPr>
            <w:r>
              <w:rPr>
                <w:rFonts w:ascii="Arial" w:cs="Arial" w:eastAsia="Arial" w:hAnsi="Arial"/>
                <w:sz w:val="14"/>
                <w:szCs w:val="14"/>
                <w:b w:val="1"/>
                <w:bCs w:val="1"/>
                <w:color w:val="auto"/>
              </w:rPr>
              <w:t>Line Item</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5"/>
          </w:tcPr>
          <w:p>
            <w:pPr>
              <w:ind w:left="3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Line Item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5"/>
          </w:tcPr>
          <w:p>
            <w:pPr>
              <w:ind w:lef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18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rate 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w w:val="99"/>
              </w:rPr>
              <w:t>Interest expense, net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8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Interest expense,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w w:val="85"/>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85"/>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2019, the Company expects to release $45,000 to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18 – LEASES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leasing business consists of various arrangements, where we act either (i) as the lessor (for our owned properties rented to third parties), or (ii) as the lessee (mostly our cinema locations on leased-facility models). Below are the rental commitments for these various lease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 Lessor – Future Rental Commitments from our Tenants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Real estate revenue amounted to $15.2 million, $16.4 million, and $13.9 million, for the fiscal years ended December 31, 2018, 2017, and 2016, respectively. Also, there were no material contingent rentals recognized for the three years then ended December 31, 2018. As of December 31, 2018, the minimum future rentals on our real estate properties currently leased to third parties under non-cancellable operating lease arrangements for the next five years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Future</w:t>
            </w:r>
          </w:p>
        </w:tc>
      </w:tr>
      <w:tr>
        <w:trPr>
          <w:trHeight w:val="149"/>
        </w:trPr>
        <w:tc>
          <w:tcPr>
            <w:tcW w:w="8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rPr>
              <w:t>Minimum</w:t>
            </w:r>
          </w:p>
        </w:tc>
      </w:tr>
      <w:tr>
        <w:trPr>
          <w:trHeight w:val="178"/>
        </w:trPr>
        <w:tc>
          <w:tcPr>
            <w:tcW w:w="88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5"/>
                <w:szCs w:val="15"/>
                <w:color w:val="auto"/>
              </w:rPr>
            </w:pPr>
          </w:p>
        </w:tc>
        <w:tc>
          <w:tcPr>
            <w:tcW w:w="104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Rentals</w:t>
            </w:r>
          </w:p>
        </w:tc>
      </w:tr>
      <w:tr>
        <w:trPr>
          <w:trHeight w:val="216"/>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r>
      <w:tr>
        <w:trPr>
          <w:trHeight w:val="216"/>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9,632</w:t>
            </w:r>
          </w:p>
        </w:tc>
      </w:tr>
      <w:tr>
        <w:trPr>
          <w:trHeight w:val="217"/>
        </w:trPr>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40,644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 Lessee – Future Lease Commitments to our Landlords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has entered into various leases for our cinema exhibition segment. We also lease office space and equipment under non-cancelable operating leases. As of December 31, 2018, the remaining terms of these leases, inclusive of renewal options, range from 1 to 35 years. All of our leases are accounted for as operating leases and we do not have any capital leases as of December 31, 2018.</w:t>
      </w:r>
    </w:p>
    <w:p>
      <w:pPr>
        <w:spacing w:after="0" w:line="14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determine the annual base rent expense of our cinemas by amortizing total minimum lease obligations on a straight-line basis over the lease terms. Certain of our cinema leases provide for both base and in addition contingent rentals based upon a specified percentage of cinema revenue with a guaranteed minimum. Substantially all of our leases require the payment of property taxes, insurance, and other costs applicable to the property. The base rent and contingent rental expenses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Base rent expense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29,824</w:t>
            </w:r>
          </w:p>
        </w:tc>
        <w:tc>
          <w:tcPr>
            <w:tcW w:w="20" w:type="dxa"/>
            <w:vAlign w:val="bottom"/>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rental expense</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18"/>
                <w:szCs w:val="18"/>
                <w:color w:val="auto"/>
              </w:rPr>
            </w:pPr>
          </w:p>
        </w:tc>
      </w:tr>
      <w:tr>
        <w:trPr>
          <w:trHeight w:val="230"/>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cinema rent expense</w:t>
            </w: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34,055</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34,135</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31,308</w:t>
            </w:r>
          </w:p>
        </w:tc>
        <w:tc>
          <w:tcPr>
            <w:tcW w:w="20" w:type="dxa"/>
            <w:vAlign w:val="bottom"/>
          </w:tcPr>
          <w:p>
            <w:pPr>
              <w:spacing w:after="0"/>
              <w:rPr>
                <w:sz w:val="19"/>
                <w:szCs w:val="19"/>
                <w:color w:val="auto"/>
              </w:rPr>
            </w:pPr>
          </w:p>
        </w:tc>
      </w:tr>
      <w:tr>
        <w:trPr>
          <w:trHeight w:val="635"/>
        </w:trPr>
        <w:tc>
          <w:tcPr>
            <w:tcW w:w="4880" w:type="dxa"/>
            <w:vAlign w:val="bottom"/>
          </w:tcPr>
          <w:p>
            <w:pPr>
              <w:ind w:left="47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125 -</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8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8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536" w:right="85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color w:val="auto"/>
        </w:rPr>
        <w:t>Future minimum lease payments by year and, in the aggregate, under non-cancelable operating leases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7"/>
          </w:tcPr>
          <w:p>
            <w:pPr>
              <w:jc w:val="center"/>
              <w:ind w:right="192"/>
              <w:spacing w:after="0"/>
              <w:rPr>
                <w:sz w:val="20"/>
                <w:szCs w:val="20"/>
                <w:color w:val="auto"/>
              </w:rPr>
            </w:pPr>
            <w:r>
              <w:rPr>
                <w:rFonts w:ascii="Arial" w:cs="Arial" w:eastAsia="Arial" w:hAnsi="Arial"/>
                <w:sz w:val="14"/>
                <w:szCs w:val="14"/>
                <w:b w:val="1"/>
                <w:bCs w:val="1"/>
                <w:color w:val="auto"/>
                <w:w w:val="92"/>
              </w:rPr>
              <w:t>Minimum Lease Payments at December 31, 2018</w:t>
            </w:r>
          </w:p>
        </w:tc>
        <w:tc>
          <w:tcPr>
            <w:tcW w:w="0" w:type="dxa"/>
            <w:vAlign w:val="bottom"/>
          </w:tcPr>
          <w:p>
            <w:pPr>
              <w:spacing w:after="0"/>
              <w:rPr>
                <w:sz w:val="1"/>
                <w:szCs w:val="1"/>
                <w:color w:val="auto"/>
              </w:rPr>
            </w:pPr>
          </w:p>
        </w:tc>
      </w:tr>
      <w:tr>
        <w:trPr>
          <w:trHeight w:val="126"/>
        </w:trPr>
        <w:tc>
          <w:tcPr>
            <w:tcW w:w="5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jc w:val="center"/>
              <w:ind w:right="460"/>
              <w:spacing w:after="0" w:line="126" w:lineRule="exact"/>
              <w:rPr>
                <w:sz w:val="20"/>
                <w:szCs w:val="20"/>
                <w:color w:val="auto"/>
              </w:rPr>
            </w:pPr>
            <w:r>
              <w:rPr>
                <w:rFonts w:ascii="Arial" w:cs="Arial" w:eastAsia="Arial" w:hAnsi="Arial"/>
                <w:sz w:val="14"/>
                <w:szCs w:val="14"/>
                <w:b w:val="1"/>
                <w:bCs w:val="1"/>
                <w:color w:val="auto"/>
                <w:w w:val="94"/>
              </w:rPr>
              <w:t>Ground</w:t>
            </w:r>
          </w:p>
        </w:tc>
        <w:tc>
          <w:tcPr>
            <w:tcW w:w="260" w:type="dxa"/>
            <w:vAlign w:val="bottom"/>
          </w:tcPr>
          <w:p>
            <w:pPr>
              <w:spacing w:after="0"/>
              <w:rPr>
                <w:sz w:val="10"/>
                <w:szCs w:val="10"/>
                <w:color w:val="auto"/>
              </w:rPr>
            </w:pPr>
          </w:p>
        </w:tc>
        <w:tc>
          <w:tcPr>
            <w:tcW w:w="1320" w:type="dxa"/>
            <w:vAlign w:val="bottom"/>
            <w:gridSpan w:val="2"/>
          </w:tcPr>
          <w:p>
            <w:pPr>
              <w:jc w:val="center"/>
              <w:ind w:right="440"/>
              <w:spacing w:after="0" w:line="126" w:lineRule="exact"/>
              <w:rPr>
                <w:sz w:val="20"/>
                <w:szCs w:val="20"/>
                <w:color w:val="auto"/>
              </w:rPr>
            </w:pPr>
            <w:r>
              <w:rPr>
                <w:rFonts w:ascii="Arial" w:cs="Arial" w:eastAsia="Arial" w:hAnsi="Arial"/>
                <w:sz w:val="14"/>
                <w:szCs w:val="14"/>
                <w:b w:val="1"/>
                <w:bCs w:val="1"/>
                <w:color w:val="auto"/>
                <w:w w:val="89"/>
              </w:rPr>
              <w:t>Premises</w:t>
            </w:r>
          </w:p>
        </w:tc>
        <w:tc>
          <w:tcPr>
            <w:tcW w:w="320" w:type="dxa"/>
            <w:vAlign w:val="bottom"/>
          </w:tcPr>
          <w:p>
            <w:pPr>
              <w:spacing w:after="0"/>
              <w:rPr>
                <w:sz w:val="10"/>
                <w:szCs w:val="10"/>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32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Lease</w:t>
            </w:r>
          </w:p>
        </w:tc>
        <w:tc>
          <w:tcPr>
            <w:tcW w:w="26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Lease</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23,870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21,901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23,802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20,642</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78,741</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89,239</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21,803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193,821</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215,624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We expect the amount of minimum lease payments will fluctuate depending on the foreign currency exchange rates of the Australian dollar to the U.S. dollar and the New Zealand dollar to the U.S. dollar, mainly because a significant portion of our cinema exhibition business is conducted in Australia and New Zealand. See </w:t>
      </w:r>
      <w:r>
        <w:rPr>
          <w:rFonts w:ascii="Arial" w:cs="Arial" w:eastAsia="Arial" w:hAnsi="Arial"/>
          <w:sz w:val="16"/>
          <w:szCs w:val="16"/>
          <w:i w:val="1"/>
          <w:iCs w:val="1"/>
          <w:color w:val="auto"/>
        </w:rPr>
        <w:t>Note 19</w:t>
      </w:r>
      <w:r>
        <w:rPr>
          <w:rFonts w:ascii="Arial" w:cs="Arial" w:eastAsia="Arial" w:hAnsi="Arial"/>
          <w:sz w:val="16"/>
          <w:szCs w:val="16"/>
          <w:color w:val="auto"/>
        </w:rPr>
        <w:t xml:space="preserve"> – </w:t>
      </w:r>
      <w:r>
        <w:rPr>
          <w:rFonts w:ascii="Arial" w:cs="Arial" w:eastAsia="Arial" w:hAnsi="Arial"/>
          <w:sz w:val="16"/>
          <w:szCs w:val="16"/>
          <w:i w:val="1"/>
          <w:iCs w:val="1"/>
          <w:color w:val="auto"/>
        </w:rPr>
        <w:t>Related Parties</w:t>
      </w:r>
      <w:r>
        <w:rPr>
          <w:rFonts w:ascii="Arial" w:cs="Arial" w:eastAsia="Arial" w:hAnsi="Arial"/>
          <w:sz w:val="16"/>
          <w:szCs w:val="16"/>
          <w:color w:val="auto"/>
        </w:rPr>
        <w:t xml:space="preserve"> for the amount of leases associated with any related party leases.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identifies our related parties as of December 31, 2018, in accordance with </w:t>
      </w:r>
      <w:r>
        <w:rPr>
          <w:rFonts w:ascii="Arial" w:cs="Arial" w:eastAsia="Arial" w:hAnsi="Arial"/>
          <w:sz w:val="17"/>
          <w:szCs w:val="17"/>
          <w:i w:val="1"/>
          <w:iCs w:val="1"/>
          <w:color w:val="auto"/>
        </w:rPr>
        <w:t>ASC 850, Related Party Transactions</w:t>
      </w:r>
      <w:r>
        <w:rPr>
          <w:rFonts w:ascii="Arial" w:cs="Arial" w:eastAsia="Arial" w:hAnsi="Arial"/>
          <w:sz w:val="17"/>
          <w:szCs w:val="17"/>
          <w:color w:val="auto"/>
        </w:rPr>
        <w:t>:</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4"/>
                <w:szCs w:val="14"/>
                <w:b w:val="1"/>
                <w:bCs w:val="1"/>
                <w:color w:val="auto"/>
              </w:rPr>
              <w:t>Categories</w:t>
            </w:r>
          </w:p>
        </w:tc>
        <w:tc>
          <w:tcPr>
            <w:tcW w:w="25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b w:val="1"/>
                <w:bCs w:val="1"/>
                <w:color w:val="auto"/>
              </w:rPr>
              <w:t>Related Parties</w:t>
            </w:r>
          </w:p>
        </w:tc>
        <w:tc>
          <w:tcPr>
            <w:tcW w:w="7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33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Discussion Notes</w:t>
            </w:r>
          </w:p>
        </w:tc>
      </w:tr>
      <w:tr>
        <w:trPr>
          <w:trHeight w:val="186"/>
        </w:trPr>
        <w:tc>
          <w:tcPr>
            <w:tcW w:w="2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Principal Owners and immediate</w:t>
            </w: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Cotter Family’s Estate and</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9"/>
              </w:rPr>
              <w:t>The Cotter Family is involved in certain litigation matters. Refer to</w:t>
            </w:r>
          </w:p>
        </w:tc>
      </w:tr>
      <w:tr>
        <w:trPr>
          <w:trHeight w:val="203"/>
        </w:trPr>
        <w:tc>
          <w:tcPr>
            <w:tcW w:w="2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families</w:t>
            </w: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Living Trust (controlling</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 xml:space="preserve">Note 12 – Commitments and Contingencies </w:t>
            </w:r>
            <w:r>
              <w:rPr>
                <w:rFonts w:ascii="Arial" w:cs="Arial" w:eastAsia="Arial" w:hAnsi="Arial"/>
                <w:sz w:val="16"/>
                <w:szCs w:val="16"/>
                <w:color w:val="auto"/>
              </w:rPr>
              <w:t>for further details.</w:t>
            </w:r>
          </w:p>
        </w:tc>
      </w:tr>
      <w:tr>
        <w:trPr>
          <w:trHeight w:val="203"/>
        </w:trPr>
        <w:tc>
          <w:tcPr>
            <w:tcW w:w="2860" w:type="dxa"/>
            <w:vAlign w:val="bottom"/>
            <w:shd w:val="clear" w:color="auto" w:fill="CCEEFF"/>
          </w:tcPr>
          <w:p>
            <w:pPr>
              <w:spacing w:after="0"/>
              <w:rPr>
                <w:sz w:val="17"/>
                <w:szCs w:val="17"/>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family)</w:t>
            </w: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3"/>
        </w:trPr>
        <w:tc>
          <w:tcPr>
            <w:tcW w:w="2860" w:type="dxa"/>
            <w:vAlign w:val="bottom"/>
            <w:shd w:val="clear" w:color="auto" w:fill="CCEEFF"/>
          </w:tcPr>
          <w:p>
            <w:pPr>
              <w:spacing w:after="0"/>
              <w:rPr>
                <w:sz w:val="17"/>
                <w:szCs w:val="17"/>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Mark Cuban (above 10% voting</w:t>
            </w: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12"/>
        </w:trPr>
        <w:tc>
          <w:tcPr>
            <w:tcW w:w="2860" w:type="dxa"/>
            <w:vAlign w:val="bottom"/>
            <w:shd w:val="clear" w:color="auto" w:fill="CCEEFF"/>
          </w:tcPr>
          <w:p>
            <w:pPr>
              <w:spacing w:after="0"/>
              <w:rPr>
                <w:sz w:val="18"/>
                <w:szCs w:val="18"/>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ownership)</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193"/>
        </w:trPr>
        <w:tc>
          <w:tcPr>
            <w:tcW w:w="2860" w:type="dxa"/>
            <w:vAlign w:val="bottom"/>
          </w:tcPr>
          <w:p>
            <w:pPr>
              <w:ind w:left="280"/>
              <w:spacing w:after="0"/>
              <w:rPr>
                <w:sz w:val="20"/>
                <w:szCs w:val="20"/>
                <w:color w:val="auto"/>
              </w:rPr>
            </w:pPr>
            <w:r>
              <w:rPr>
                <w:rFonts w:ascii="Arial" w:cs="Arial" w:eastAsia="Arial" w:hAnsi="Arial"/>
                <w:sz w:val="16"/>
                <w:szCs w:val="16"/>
                <w:color w:val="auto"/>
              </w:rPr>
              <w:t>Key Executive Officers and</w:t>
            </w:r>
          </w:p>
        </w:tc>
        <w:tc>
          <w:tcPr>
            <w:tcW w:w="2520" w:type="dxa"/>
            <w:vAlign w:val="bottom"/>
          </w:tcPr>
          <w:p>
            <w:pPr>
              <w:ind w:left="300"/>
              <w:spacing w:after="0"/>
              <w:rPr>
                <w:sz w:val="20"/>
                <w:szCs w:val="20"/>
                <w:color w:val="auto"/>
              </w:rPr>
            </w:pPr>
            <w:r>
              <w:rPr>
                <w:rFonts w:ascii="Arial" w:cs="Arial" w:eastAsia="Arial" w:hAnsi="Arial"/>
                <w:sz w:val="16"/>
                <w:szCs w:val="16"/>
                <w:color w:val="auto"/>
              </w:rPr>
              <w:t>Ellen M. Cotter</w:t>
            </w:r>
          </w:p>
        </w:tc>
        <w:tc>
          <w:tcPr>
            <w:tcW w:w="700" w:type="dxa"/>
            <w:vAlign w:val="bottom"/>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203"/>
        </w:trPr>
        <w:tc>
          <w:tcPr>
            <w:tcW w:w="2860" w:type="dxa"/>
            <w:vAlign w:val="bottom"/>
          </w:tcPr>
          <w:p>
            <w:pPr>
              <w:ind w:left="280"/>
              <w:spacing w:after="0"/>
              <w:rPr>
                <w:sz w:val="20"/>
                <w:szCs w:val="20"/>
                <w:color w:val="auto"/>
              </w:rPr>
            </w:pPr>
            <w:r>
              <w:rPr>
                <w:rFonts w:ascii="Arial" w:cs="Arial" w:eastAsia="Arial" w:hAnsi="Arial"/>
                <w:sz w:val="16"/>
                <w:szCs w:val="16"/>
                <w:color w:val="auto"/>
              </w:rPr>
              <w:t>immediate families</w:t>
            </w:r>
          </w:p>
        </w:tc>
        <w:tc>
          <w:tcPr>
            <w:tcW w:w="2520" w:type="dxa"/>
            <w:vAlign w:val="bottom"/>
          </w:tcPr>
          <w:p>
            <w:pPr>
              <w:ind w:left="300"/>
              <w:spacing w:after="0"/>
              <w:rPr>
                <w:sz w:val="20"/>
                <w:szCs w:val="20"/>
                <w:color w:val="auto"/>
              </w:rPr>
            </w:pPr>
            <w:r>
              <w:rPr>
                <w:rFonts w:ascii="Arial" w:cs="Arial" w:eastAsia="Arial" w:hAnsi="Arial"/>
                <w:sz w:val="16"/>
                <w:szCs w:val="16"/>
                <w:color w:val="auto"/>
              </w:rPr>
              <w:t>Margaret Cotter</w:t>
            </w: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rPr>
              <w:t>Chief Executive Officer &amp; President</w:t>
            </w:r>
          </w:p>
        </w:tc>
      </w:tr>
      <w:tr>
        <w:trPr>
          <w:trHeight w:val="203"/>
        </w:trPr>
        <w:tc>
          <w:tcPr>
            <w:tcW w:w="2860" w:type="dxa"/>
            <w:vAlign w:val="bottom"/>
          </w:tcPr>
          <w:p>
            <w:pPr>
              <w:spacing w:after="0"/>
              <w:rPr>
                <w:sz w:val="17"/>
                <w:szCs w:val="17"/>
                <w:color w:val="auto"/>
              </w:rPr>
            </w:pPr>
          </w:p>
        </w:tc>
        <w:tc>
          <w:tcPr>
            <w:tcW w:w="2520" w:type="dxa"/>
            <w:vAlign w:val="bottom"/>
          </w:tcPr>
          <w:p>
            <w:pPr>
              <w:ind w:left="300"/>
              <w:spacing w:after="0"/>
              <w:rPr>
                <w:sz w:val="20"/>
                <w:szCs w:val="20"/>
                <w:color w:val="auto"/>
              </w:rPr>
            </w:pPr>
            <w:r>
              <w:rPr>
                <w:rFonts w:ascii="Arial" w:cs="Arial" w:eastAsia="Arial" w:hAnsi="Arial"/>
                <w:sz w:val="16"/>
                <w:szCs w:val="16"/>
                <w:color w:val="auto"/>
              </w:rPr>
              <w:t>Gilbert Avanes</w:t>
            </w:r>
          </w:p>
        </w:tc>
        <w:tc>
          <w:tcPr>
            <w:tcW w:w="700" w:type="dxa"/>
            <w:vAlign w:val="bottom"/>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520" w:type="dxa"/>
            <w:vAlign w:val="bottom"/>
          </w:tcPr>
          <w:p>
            <w:pPr>
              <w:ind w:left="300"/>
              <w:spacing w:after="0"/>
              <w:rPr>
                <w:sz w:val="20"/>
                <w:szCs w:val="20"/>
                <w:color w:val="auto"/>
              </w:rPr>
            </w:pPr>
            <w:r>
              <w:rPr>
                <w:rFonts w:ascii="Arial" w:cs="Arial" w:eastAsia="Arial" w:hAnsi="Arial"/>
                <w:sz w:val="16"/>
                <w:szCs w:val="16"/>
                <w:color w:val="auto"/>
              </w:rPr>
              <w:t>Andrzej J. Matyczynski</w:t>
            </w: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rPr>
              <w:t>EVP Real Estate Development &amp; Management (NY)</w:t>
            </w:r>
          </w:p>
        </w:tc>
      </w:tr>
      <w:tr>
        <w:trPr>
          <w:trHeight w:val="203"/>
        </w:trPr>
        <w:tc>
          <w:tcPr>
            <w:tcW w:w="2860" w:type="dxa"/>
            <w:vAlign w:val="bottom"/>
          </w:tcPr>
          <w:p>
            <w:pPr>
              <w:spacing w:after="0"/>
              <w:rPr>
                <w:sz w:val="17"/>
                <w:szCs w:val="17"/>
                <w:color w:val="auto"/>
              </w:rPr>
            </w:pPr>
          </w:p>
        </w:tc>
        <w:tc>
          <w:tcPr>
            <w:tcW w:w="2520" w:type="dxa"/>
            <w:vAlign w:val="bottom"/>
          </w:tcPr>
          <w:p>
            <w:pPr>
              <w:ind w:left="300"/>
              <w:spacing w:after="0"/>
              <w:rPr>
                <w:sz w:val="20"/>
                <w:szCs w:val="20"/>
                <w:color w:val="auto"/>
              </w:rPr>
            </w:pPr>
            <w:r>
              <w:rPr>
                <w:rFonts w:ascii="Arial" w:cs="Arial" w:eastAsia="Arial" w:hAnsi="Arial"/>
                <w:sz w:val="16"/>
                <w:szCs w:val="16"/>
                <w:color w:val="auto"/>
              </w:rPr>
              <w:t>S Craig Tompkins</w:t>
            </w:r>
          </w:p>
        </w:tc>
        <w:tc>
          <w:tcPr>
            <w:tcW w:w="700" w:type="dxa"/>
            <w:vAlign w:val="bottom"/>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520" w:type="dxa"/>
            <w:vAlign w:val="bottom"/>
          </w:tcPr>
          <w:p>
            <w:pPr>
              <w:ind w:left="300"/>
              <w:spacing w:after="0"/>
              <w:rPr>
                <w:sz w:val="20"/>
                <w:szCs w:val="20"/>
                <w:color w:val="auto"/>
              </w:rPr>
            </w:pPr>
            <w:r>
              <w:rPr>
                <w:rFonts w:ascii="Arial" w:cs="Arial" w:eastAsia="Arial" w:hAnsi="Arial"/>
                <w:sz w:val="16"/>
                <w:szCs w:val="16"/>
                <w:color w:val="auto"/>
              </w:rPr>
              <w:t>Robert F. Smerling</w:t>
            </w: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rPr>
              <w:t>Interim Chief Financial Officer &amp; Treasurer</w:t>
            </w:r>
          </w:p>
        </w:tc>
      </w:tr>
      <w:tr>
        <w:trPr>
          <w:trHeight w:val="203"/>
        </w:trPr>
        <w:tc>
          <w:tcPr>
            <w:tcW w:w="2860" w:type="dxa"/>
            <w:vAlign w:val="bottom"/>
          </w:tcPr>
          <w:p>
            <w:pPr>
              <w:spacing w:after="0"/>
              <w:rPr>
                <w:sz w:val="17"/>
                <w:szCs w:val="17"/>
                <w:color w:val="auto"/>
              </w:rPr>
            </w:pPr>
          </w:p>
        </w:tc>
        <w:tc>
          <w:tcPr>
            <w:tcW w:w="2520" w:type="dxa"/>
            <w:vAlign w:val="bottom"/>
          </w:tcPr>
          <w:p>
            <w:pPr>
              <w:ind w:left="300"/>
              <w:spacing w:after="0"/>
              <w:rPr>
                <w:sz w:val="20"/>
                <w:szCs w:val="20"/>
                <w:color w:val="auto"/>
              </w:rPr>
            </w:pPr>
            <w:r>
              <w:rPr>
                <w:rFonts w:ascii="Arial" w:cs="Arial" w:eastAsia="Arial" w:hAnsi="Arial"/>
                <w:sz w:val="16"/>
                <w:szCs w:val="16"/>
                <w:color w:val="auto"/>
              </w:rPr>
              <w:t>Mark Douglas</w:t>
            </w:r>
          </w:p>
        </w:tc>
        <w:tc>
          <w:tcPr>
            <w:tcW w:w="700" w:type="dxa"/>
            <w:vAlign w:val="bottom"/>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520" w:type="dxa"/>
            <w:vAlign w:val="bottom"/>
          </w:tcPr>
          <w:p>
            <w:pPr>
              <w:ind w:left="300"/>
              <w:spacing w:after="0"/>
              <w:rPr>
                <w:sz w:val="20"/>
                <w:szCs w:val="20"/>
                <w:color w:val="auto"/>
              </w:rPr>
            </w:pPr>
            <w:r>
              <w:rPr>
                <w:rFonts w:ascii="Arial" w:cs="Arial" w:eastAsia="Arial" w:hAnsi="Arial"/>
                <w:sz w:val="16"/>
                <w:szCs w:val="16"/>
                <w:color w:val="auto"/>
              </w:rPr>
              <w:t>Matthew Bourke</w:t>
            </w: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rPr>
              <w:t>EVP Global Operations</w:t>
            </w:r>
          </w:p>
        </w:tc>
      </w:tr>
      <w:tr>
        <w:trPr>
          <w:trHeight w:val="203"/>
        </w:trPr>
        <w:tc>
          <w:tcPr>
            <w:tcW w:w="2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rPr>
              <w:t>EVP General Counsel</w:t>
            </w:r>
          </w:p>
        </w:tc>
      </w:tr>
      <w:tr>
        <w:trPr>
          <w:trHeight w:val="203"/>
        </w:trPr>
        <w:tc>
          <w:tcPr>
            <w:tcW w:w="2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rPr>
              <w:t>President - U.S. Cinemas</w:t>
            </w:r>
          </w:p>
        </w:tc>
      </w:tr>
      <w:tr>
        <w:trPr>
          <w:trHeight w:val="203"/>
        </w:trPr>
        <w:tc>
          <w:tcPr>
            <w:tcW w:w="2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rPr>
              <w:t>Managing Director, Cinemas, Australia &amp; New Zealand</w:t>
            </w:r>
          </w:p>
        </w:tc>
      </w:tr>
      <w:tr>
        <w:trPr>
          <w:trHeight w:val="203"/>
        </w:trPr>
        <w:tc>
          <w:tcPr>
            <w:tcW w:w="2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6"/>
        </w:trPr>
        <w:tc>
          <w:tcPr>
            <w:tcW w:w="2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rPr>
              <w:t>Managing Director, Real Estate, Australia &amp; New Zealand</w:t>
            </w:r>
          </w:p>
        </w:tc>
      </w:tr>
      <w:tr>
        <w:trPr>
          <w:trHeight w:val="222"/>
        </w:trPr>
        <w:tc>
          <w:tcPr>
            <w:tcW w:w="2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193"/>
        </w:trPr>
        <w:tc>
          <w:tcPr>
            <w:tcW w:w="2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Investments in Joint Ventures</w:t>
            </w: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Rialto Cinemas</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6 – Investment in Joint Ventures</w:t>
            </w:r>
          </w:p>
        </w:tc>
      </w:tr>
      <w:tr>
        <w:trPr>
          <w:trHeight w:val="212"/>
        </w:trPr>
        <w:tc>
          <w:tcPr>
            <w:tcW w:w="2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accounted for under equity method</w:t>
            </w: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Mt. Gravatt</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162"/>
        </w:trPr>
        <w:tc>
          <w:tcPr>
            <w:tcW w:w="2860" w:type="dxa"/>
            <w:vAlign w:val="bottom"/>
          </w:tcPr>
          <w:p>
            <w:pPr>
              <w:ind w:left="280"/>
              <w:spacing w:after="0" w:line="162" w:lineRule="exact"/>
              <w:rPr>
                <w:sz w:val="20"/>
                <w:szCs w:val="20"/>
                <w:color w:val="auto"/>
              </w:rPr>
            </w:pPr>
            <w:r>
              <w:rPr>
                <w:rFonts w:ascii="Arial" w:cs="Arial" w:eastAsia="Arial" w:hAnsi="Arial"/>
                <w:sz w:val="16"/>
                <w:szCs w:val="16"/>
                <w:color w:val="auto"/>
              </w:rPr>
              <w:t>Other Affiliates</w:t>
            </w:r>
          </w:p>
        </w:tc>
        <w:tc>
          <w:tcPr>
            <w:tcW w:w="2520" w:type="dxa"/>
            <w:vAlign w:val="bottom"/>
          </w:tcPr>
          <w:p>
            <w:pPr>
              <w:ind w:left="300"/>
              <w:spacing w:after="0" w:line="162" w:lineRule="exact"/>
              <w:rPr>
                <w:sz w:val="20"/>
                <w:szCs w:val="20"/>
                <w:color w:val="auto"/>
              </w:rPr>
            </w:pPr>
            <w:r>
              <w:rPr>
                <w:rFonts w:ascii="Arial" w:cs="Arial" w:eastAsia="Arial" w:hAnsi="Arial"/>
                <w:sz w:val="16"/>
                <w:szCs w:val="16"/>
                <w:color w:val="auto"/>
              </w:rPr>
              <w:t>Entities under common control</w:t>
            </w:r>
          </w:p>
        </w:tc>
        <w:tc>
          <w:tcPr>
            <w:tcW w:w="4740" w:type="dxa"/>
            <w:vAlign w:val="bottom"/>
            <w:gridSpan w:val="3"/>
          </w:tcPr>
          <w:p>
            <w:pPr>
              <w:ind w:left="140"/>
              <w:spacing w:after="0" w:line="162" w:lineRule="exact"/>
              <w:rPr>
                <w:sz w:val="20"/>
                <w:szCs w:val="20"/>
                <w:color w:val="auto"/>
              </w:rPr>
            </w:pPr>
            <w:r>
              <w:rPr>
                <w:rFonts w:ascii="Arial" w:cs="Arial" w:eastAsia="Arial" w:hAnsi="Arial"/>
                <w:sz w:val="16"/>
                <w:szCs w:val="16"/>
                <w:color w:val="auto"/>
                <w:w w:val="99"/>
              </w:rPr>
              <w:t xml:space="preserve">Refer to </w:t>
            </w:r>
            <w:r>
              <w:rPr>
                <w:rFonts w:ascii="Arial" w:cs="Arial" w:eastAsia="Arial" w:hAnsi="Arial"/>
                <w:sz w:val="16"/>
                <w:szCs w:val="16"/>
                <w:b w:val="1"/>
                <w:bCs w:val="1"/>
                <w:color w:val="auto"/>
                <w:w w:val="99"/>
              </w:rPr>
              <w:t>Exhibit 21</w:t>
            </w:r>
            <w:r>
              <w:rPr>
                <w:rFonts w:ascii="Arial" w:cs="Arial" w:eastAsia="Arial" w:hAnsi="Arial"/>
                <w:sz w:val="16"/>
                <w:szCs w:val="16"/>
                <w:color w:val="auto"/>
                <w:w w:val="99"/>
              </w:rPr>
              <w:t xml:space="preserve"> of this 2018 Form 10-K filing for the complete</w:t>
            </w:r>
          </w:p>
        </w:tc>
      </w:tr>
      <w:tr>
        <w:trPr>
          <w:trHeight w:val="20"/>
        </w:trPr>
        <w:tc>
          <w:tcPr>
            <w:tcW w:w="2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13"/>
        </w:trPr>
        <w:tc>
          <w:tcPr>
            <w:tcW w:w="2860" w:type="dxa"/>
            <w:vAlign w:val="bottom"/>
          </w:tcPr>
          <w:p>
            <w:pPr>
              <w:spacing w:after="0"/>
              <w:rPr>
                <w:sz w:val="18"/>
                <w:szCs w:val="18"/>
                <w:color w:val="auto"/>
              </w:rPr>
            </w:pPr>
          </w:p>
        </w:tc>
        <w:tc>
          <w:tcPr>
            <w:tcW w:w="2520" w:type="dxa"/>
            <w:vAlign w:val="bottom"/>
          </w:tcPr>
          <w:p>
            <w:pPr>
              <w:ind w:left="300"/>
              <w:spacing w:after="0"/>
              <w:rPr>
                <w:sz w:val="20"/>
                <w:szCs w:val="20"/>
                <w:color w:val="auto"/>
              </w:rPr>
            </w:pPr>
            <w:r>
              <w:rPr>
                <w:rFonts w:ascii="Arial" w:cs="Arial" w:eastAsia="Arial" w:hAnsi="Arial"/>
                <w:sz w:val="16"/>
                <w:szCs w:val="16"/>
                <w:color w:val="auto"/>
              </w:rPr>
              <w:t>All subsidiaries of RDI</w:t>
            </w: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rPr>
              <w:t>list of subsidiaries. Refer below for further discussions on certain</w:t>
            </w:r>
          </w:p>
        </w:tc>
      </w:tr>
      <w:tr>
        <w:trPr>
          <w:trHeight w:val="203"/>
        </w:trPr>
        <w:tc>
          <w:tcPr>
            <w:tcW w:w="2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740" w:type="dxa"/>
            <w:vAlign w:val="bottom"/>
            <w:gridSpan w:val="3"/>
          </w:tcPr>
          <w:p>
            <w:pPr>
              <w:ind w:left="140"/>
              <w:spacing w:after="0"/>
              <w:rPr>
                <w:sz w:val="20"/>
                <w:szCs w:val="20"/>
                <w:color w:val="auto"/>
              </w:rPr>
            </w:pPr>
            <w:r>
              <w:rPr>
                <w:rFonts w:ascii="Arial" w:cs="Arial" w:eastAsia="Arial" w:hAnsi="Arial"/>
                <w:sz w:val="16"/>
                <w:szCs w:val="16"/>
                <w:color w:val="auto"/>
                <w:w w:val="98"/>
              </w:rPr>
              <w:t>key transactions with related parties, including those with minority</w:t>
            </w:r>
          </w:p>
        </w:tc>
      </w:tr>
      <w:tr>
        <w:trPr>
          <w:trHeight w:val="219"/>
        </w:trPr>
        <w:tc>
          <w:tcPr>
            <w:tcW w:w="28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rPr>
              <w:t>interests.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Sutton Hill Capital</w:t>
      </w:r>
    </w:p>
    <w:p>
      <w:pPr>
        <w:spacing w:after="0" w:line="225"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In 2001, we entered into a transaction with Sutton Hill Capital, LLC (“SHC”) regarding the master leasing, with an option to purchase, of certain cinemas located in Manhattan including our Village East and Cinemas 1,2,3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or the Cotter Trust and a third party.</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previously reported, over the years, two of the cinemas subject to the master leasing agreement have been redeveloped and one (the Cinemas 1,2,3 discussed below) has been acquired. The Village East is the only cinema that remains subject to this master lease. We paid an annual rent of $590,000 for this cinema to SHC in each of 2018, 2017 and 2016. During this same period, we received management fees from the 86</w:t>
      </w:r>
      <w:r>
        <w:rPr>
          <w:rFonts w:ascii="Arial" w:cs="Arial" w:eastAsia="Arial" w:hAnsi="Arial"/>
          <w:sz w:val="8"/>
          <w:szCs w:val="8"/>
          <w:color w:val="auto"/>
        </w:rPr>
        <w:t>th</w:t>
      </w:r>
      <w:r>
        <w:rPr>
          <w:rFonts w:ascii="Arial" w:cs="Arial" w:eastAsia="Arial" w:hAnsi="Arial"/>
          <w:sz w:val="18"/>
          <w:szCs w:val="18"/>
          <w:color w:val="auto"/>
        </w:rPr>
        <w:t xml:space="preserve"> Street Cinema of $172,000, $141,000 and $150,000 during the years ended December 31, 2018, 2017 and 2016, respectively.</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2005, we acquired (i) from a third party the fee interest underlying the Cinemas 1,2,3 and (ii) from SHC its interest in the ground lease estate underlying and the improvements constituting the Cinemas 1,2,3. The ground lease estate and the improvements acquired from SHC were originally a part of the master lease transaction, discussed above. In connection with that transaction, we granted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478" w:gutter="0" w:footer="0" w:header="0"/>
        </w:sectPr>
      </w:pPr>
    </w:p>
    <w:bookmarkStart w:id="127" w:name="page128"/>
    <w:bookmarkEnd w:id="127"/>
    <w:p>
      <w:pPr>
        <w:spacing w:after="0"/>
        <w:rPr>
          <w:sz w:val="20"/>
          <w:szCs w:val="20"/>
          <w:color w:val="auto"/>
        </w:rPr>
      </w:pPr>
      <w:r>
        <w:rPr>
          <w:rFonts w:ascii="Arial" w:cs="Arial" w:eastAsia="Arial" w:hAnsi="Arial"/>
          <w:sz w:val="17"/>
          <w:szCs w:val="17"/>
          <w:color w:val="auto"/>
        </w:rPr>
        <w:t>SHC an option to acquire at cost a 25% interest in the special purpose entity (Sutton Hill Properties, LLC) formed to acquire these fee,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leasehold and improvements interests. On June 28, 2007, SHC exercised this option, paying $3.0 million and assuming a proportionate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of SHP’s liabilities. At the time of the option exercise and the closing of the acquisition of the 25% interest, SHP had debt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$26.9 million, including a $2.9 million, non-interest bearing intercompany loan from the Company. Since the acquisition by SHC of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 interest, SHP has covered its operating costs and debt service through cash flow from the Cinema 1,2,3, (ii) borrowings from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and (iii) pro-rata contributions from the members. We receive an annual management fee equal to 5% of SHP’s gross income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managing the cinema and the property, amounting to $177,000 during 2015. This management fee was modified in 2015, as discussed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 retroactive to December 1, 2014.</w:t>
      </w:r>
    </w:p>
    <w:p>
      <w:pPr>
        <w:spacing w:after="0" w:line="21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On June 29, 2010, we agreed to extend our existing lease from SHC of the Village East Cinema by 10 years, with a new termination date of June 30, 2020. This amendment was reviewed and approved by our Audit and Conflicts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We recorded the Village East Cinema building as a property asset of $4.7 million on our balance sheet based on the cost carry-over basis from an entity under common control with a corresponding capital lease liability of $5.9 million presented under other liabilities (see </w:t>
      </w:r>
      <w:r>
        <w:rPr>
          <w:rFonts w:ascii="Arial" w:cs="Arial" w:eastAsia="Arial" w:hAnsi="Arial"/>
          <w:sz w:val="17"/>
          <w:szCs w:val="17"/>
          <w:i w:val="1"/>
          <w:iCs w:val="1"/>
          <w:color w:val="auto"/>
        </w:rPr>
        <w:t>Note 11 – Pension and Other Liabilities</w:t>
      </w:r>
      <w:r>
        <w:rPr>
          <w:rFonts w:ascii="Arial" w:cs="Arial" w:eastAsia="Arial" w:hAnsi="Arial"/>
          <w:sz w:val="17"/>
          <w:szCs w:val="17"/>
          <w:color w:val="auto"/>
        </w:rPr>
        <w:t>).</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2015, we and SHP entered into an amendment to the management agreement dated as of June 27, 2007 between us and SHP. The amendment, which was retroactive to December 1, 2014, memorialized our undertaking to SHP with respect to $750,000 (the “Renovation Funding Amount”) of renovations to Cinemas 1,2,3 funded or to be funded by us. In consideration of our funding of the renovations, our annual management fee under the management agreement was increased commencing January 1, 2015 by an amount equivalent to 100% of any incremental positive cash flow of Cinemas 1,2,3 over the average annual positive cash flow of the Cinemas 1,2,3 over the three-year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2018 we charged an Improvements Fee of $528,000. In 2017 and 2016, we received no Improvements Fee. This amendment was approved by SHC and by the Audit and Conflicts Committee of our Board of Directors.</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On August 31, 2016, we refinanced the debt of Cinemas 1, 2, 3, pursuant to a $20.0 million loan from Valley National Bank. Refer to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10 – Borrowings </w:t>
      </w:r>
      <w:r>
        <w:rPr>
          <w:rFonts w:ascii="Arial" w:cs="Arial" w:eastAsia="Arial" w:hAnsi="Arial"/>
          <w:sz w:val="17"/>
          <w:szCs w:val="17"/>
          <w:color w:val="auto"/>
        </w:rPr>
        <w:t>for further details on this loan transaction. The proceeds from the loan were used to retire an existing $15.0 million first</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loan and the above referenced $2.9 million intercompany loan, with the remainder to be used for working capital and to cover cash flow shortfalls. Since the cash flow from the Cinemas 1, 2, 3 is not sufficient to service this loan, it is anticipated that the members of SHP (our Company and SHC) will ultimately need to make periodic contributions to the capital of SHP in order to avoid dilution of their respective interests in SHP. In 2016, our Company and SHC funded capital calls of $506,000 and $169,000, respectively. No capital contributions were called or made in 2017 or 2018.</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 and approved by the Audit and Conflicts Committee of our Board of Directors. The Valley National loan matures on September 1, 2019, however the loan includes an option to extend the maturity date to September 1, 2020, which we currently intend to exercise.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OBI Management Agreement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a Theater Management Agreement (the “Management Agreement”), our live theater operations were, until March 2016, managed by Off-Broadway Investments, LLC (“OBI Management”), which is wholly owned by Ms. Margaret Cotter who is the daughter of the late Mr. James J. Cotter, Sr., the sister of Ellen Cotter and James Cotter, Jr., and a member of our Board of Directors. That Management Agreement was terminated effective March 10, 2016 in connection with the retention by our Company of Margaret Cotter as a full time employee.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Theater Management Agreement generally provided for the payment of a combination of fixed and incentive fees for the management of our four live theaters that were operating during this time. Historically, these fees have equated to approximately 21% of the net cash flow generated by these properties. The fee to be paid to OBI for 2016 was $79,000. We also reimbursed OBI for certain travel expenses, shared the cost of an administrative assistant and provided office space at our New York offices.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341" w:right="919" w:bottom="1440" w:gutter="0" w:footer="0" w:header="0"/>
        </w:sectPr>
      </w:pPr>
    </w:p>
    <w:bookmarkStart w:id="128" w:name="page129"/>
    <w:bookmarkEnd w:id="128"/>
    <w:p>
      <w:pPr>
        <w:ind w:left="4" w:right="60"/>
        <w:spacing w:after="0" w:line="302" w:lineRule="auto"/>
        <w:rPr>
          <w:sz w:val="20"/>
          <w:szCs w:val="20"/>
          <w:color w:val="auto"/>
        </w:rPr>
      </w:pPr>
      <w:r>
        <w:rPr>
          <w:rFonts w:ascii="Arial" w:cs="Arial" w:eastAsia="Arial" w:hAnsi="Arial"/>
          <w:sz w:val="16"/>
          <w:szCs w:val="16"/>
          <w:color w:val="auto"/>
        </w:rPr>
        <w:t>OBI Management historically conducted its operations from our office facilities on a rent-free basis, and we shared the cost of one administrative employee of OBI Management. We reimbursed travel related expenses for OBI Management personnel with respect to travel between New York City and Chicago in connection with the management of the Royal George complex. Other than these expenses, OBI Management was responsible for all of its costs and expenses related to the performance of its management functions.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Live Theater Play Investment</w:t>
      </w:r>
    </w:p>
    <w:p>
      <w:pPr>
        <w:spacing w:after="0" w:line="225" w:lineRule="exact"/>
        <w:rPr>
          <w:sz w:val="20"/>
          <w:szCs w:val="20"/>
          <w:color w:val="auto"/>
        </w:rPr>
      </w:pPr>
    </w:p>
    <w:p>
      <w:pPr>
        <w:ind w:left="4" w:right="400"/>
        <w:spacing w:after="0" w:line="279" w:lineRule="auto"/>
        <w:rPr>
          <w:sz w:val="20"/>
          <w:szCs w:val="20"/>
          <w:color w:val="auto"/>
        </w:rPr>
      </w:pPr>
      <w:r>
        <w:rPr>
          <w:rFonts w:ascii="Arial" w:cs="Arial" w:eastAsia="Arial" w:hAnsi="Arial"/>
          <w:sz w:val="17"/>
          <w:szCs w:val="17"/>
          <w:color w:val="auto"/>
        </w:rPr>
        <w:t xml:space="preserve">From time to time, our officers and Directors may invest in plays that lease our live theaters. The play STOMP has been playing in our Orpheum Theatre since prior to the time we acquired the theatre in 2001. The Cotter Estate or the Cotter Trust and a third party own an approximately 5% interest in that play, an interest that they have held since prior to our acquisition of the theater. Refer to </w:t>
      </w:r>
      <w:r>
        <w:rPr>
          <w:rFonts w:ascii="Arial" w:cs="Arial" w:eastAsia="Arial" w:hAnsi="Arial"/>
          <w:sz w:val="17"/>
          <w:szCs w:val="17"/>
          <w:i w:val="1"/>
          <w:iCs w:val="1"/>
          <w:color w:val="auto"/>
        </w:rPr>
        <w:t>Note 12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for more information about the show STOMP.</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Shadow View Land and Farming LLC</w:t>
      </w:r>
    </w:p>
    <w:p>
      <w:pPr>
        <w:spacing w:after="0" w:line="225" w:lineRule="exact"/>
        <w:rPr>
          <w:sz w:val="20"/>
          <w:szCs w:val="20"/>
          <w:color w:val="auto"/>
        </w:rPr>
      </w:pPr>
    </w:p>
    <w:p>
      <w:pPr>
        <w:ind w:left="4" w:right="140"/>
        <w:spacing w:after="0" w:line="293" w:lineRule="auto"/>
        <w:rPr>
          <w:sz w:val="20"/>
          <w:szCs w:val="20"/>
          <w:color w:val="auto"/>
        </w:rPr>
      </w:pPr>
      <w:r>
        <w:rPr>
          <w:rFonts w:ascii="Arial" w:cs="Arial" w:eastAsia="Arial" w:hAnsi="Arial"/>
          <w:sz w:val="16"/>
          <w:szCs w:val="16"/>
          <w:color w:val="auto"/>
        </w:rPr>
        <w:t xml:space="preserve">During 2012, Mr. James J. Cotter, Sr., our then Chairman, Chief Executive Officer and controlling stockholder, contributed $2.5 million cash and $255,000 of his 2011 bonus as his 50% share of the purchase price of a land parcel in Coachella, California and to cover his 50% share of certain costs associated with that acquisition. This land is held in Shadow View Land and Farming, LLC, in which the Cotter Estate or the Cotter Trust owns a 50% interest. We are the managing member of Shadow View Land and Farming, LLC (See Note 13 – </w:t>
      </w:r>
      <w:r>
        <w:rPr>
          <w:rFonts w:ascii="Arial" w:cs="Arial" w:eastAsia="Arial" w:hAnsi="Arial"/>
          <w:sz w:val="16"/>
          <w:szCs w:val="16"/>
          <w:i w:val="1"/>
          <w:iCs w:val="1"/>
          <w:color w:val="auto"/>
        </w:rPr>
        <w:t>Non-Controlling Interests</w:t>
      </w:r>
      <w:r>
        <w:rPr>
          <w:rFonts w:ascii="Arial" w:cs="Arial" w:eastAsia="Arial" w:hAnsi="Arial"/>
          <w:sz w:val="16"/>
          <w:szCs w:val="16"/>
          <w:color w:val="auto"/>
        </w:rPr>
        <w:t>). The property is held debt free, and operating and holding costs are covered by member contributions.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and Conflicts Committee of the Board of Directors is charged with responsibility for oversight of our management of Shadow View.</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20 – INSURANCE RECOVERIES ON IMPAIRMENT AND RELATED LOSSES DUE TO EARTHQUAKE</w:t>
      </w:r>
    </w:p>
    <w:p>
      <w:pPr>
        <w:spacing w:after="0" w:line="229"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On November 14, 2016, we filed an initial insurance claim with our Insurer with respect to earthquake damage to our parking building adjacent to our Courtenay Central entertainment-themed center (“ETC”) in Wellington, New Zealand and to the ETC itself. Also, we filed a separate business interruption claim to recover lost profits as a result of the earthquake. As of December 31, 2016, we recorded a recoverable asset to the extent of our incurred losses that we deemed probable of recoverability under our insurance claim, consisting of the</w:t>
      </w:r>
    </w:p>
    <w:p>
      <w:pPr>
        <w:spacing w:after="0" w:line="2" w:lineRule="exact"/>
        <w:rPr>
          <w:sz w:val="20"/>
          <w:szCs w:val="20"/>
          <w:color w:val="auto"/>
        </w:rPr>
      </w:pPr>
    </w:p>
    <w:p>
      <w:pPr>
        <w:ind w:left="4" w:right="100" w:hanging="4"/>
        <w:spacing w:after="0" w:line="265" w:lineRule="auto"/>
        <w:tabs>
          <w:tab w:leader="none" w:pos="219" w:val="left"/>
        </w:tabs>
        <w:numPr>
          <w:ilvl w:val="0"/>
          <w:numId w:val="98"/>
        </w:numPr>
        <w:rPr>
          <w:rFonts w:ascii="Arial" w:cs="Arial" w:eastAsia="Arial" w:hAnsi="Arial"/>
          <w:sz w:val="17"/>
          <w:szCs w:val="17"/>
          <w:color w:val="auto"/>
        </w:rPr>
      </w:pPr>
      <w:r>
        <w:rPr>
          <w:rFonts w:ascii="Arial" w:cs="Arial" w:eastAsia="Arial" w:hAnsi="Arial"/>
          <w:sz w:val="17"/>
          <w:szCs w:val="17"/>
          <w:color w:val="auto"/>
        </w:rPr>
        <w:t>written down carrying value of the damaged parking building and (ii) a significant portion of the derivative loss contingencies on demolition activities. We received an initial settlement from our Insurer in December 2016 amounting to $5.0 million (NZ$7.1 million). In April 2017, our insurance company concluded that our losses exceeded the earthquake coverage policy limit of $25.0 million</w:t>
      </w:r>
    </w:p>
    <w:p>
      <w:pPr>
        <w:ind w:left="4"/>
        <w:spacing w:after="0"/>
        <w:rPr>
          <w:rFonts w:ascii="Arial" w:cs="Arial" w:eastAsia="Arial" w:hAnsi="Arial"/>
          <w:sz w:val="17"/>
          <w:szCs w:val="17"/>
          <w:color w:val="auto"/>
        </w:rPr>
      </w:pPr>
      <w:r>
        <w:rPr>
          <w:rFonts w:ascii="Arial" w:cs="Arial" w:eastAsia="Arial" w:hAnsi="Arial"/>
          <w:sz w:val="17"/>
          <w:szCs w:val="17"/>
          <w:color w:val="auto"/>
        </w:rPr>
        <w:t>(NZ$36.0 million) and thus paid a final settlement of US$20.0 million (NZ$28.9 million) in May 2017, taking us to the policy limit.</w:t>
      </w:r>
    </w:p>
    <w:p>
      <w:pPr>
        <w:spacing w:after="0" w:line="215" w:lineRule="exact"/>
        <w:rPr>
          <w:sz w:val="20"/>
          <w:szCs w:val="20"/>
          <w:color w:val="auto"/>
        </w:rPr>
      </w:pPr>
    </w:p>
    <w:p>
      <w:pPr>
        <w:ind w:left="4" w:right="180"/>
        <w:spacing w:after="0" w:line="252" w:lineRule="auto"/>
        <w:rPr>
          <w:sz w:val="20"/>
          <w:szCs w:val="20"/>
          <w:color w:val="auto"/>
        </w:rPr>
      </w:pPr>
      <w:r>
        <w:rPr>
          <w:rFonts w:ascii="Arial" w:cs="Arial" w:eastAsia="Arial" w:hAnsi="Arial"/>
          <w:sz w:val="21"/>
          <w:szCs w:val="21"/>
          <w:color w:val="auto"/>
        </w:rPr>
        <w:t>We are currently litigating our claim against QBE Insurance (Australia) Limited (“QBE”) for an additional NZ$5.0 million in recoveries with respect to earthquake damage to our car park under an insurance policy acquired for our benefit by the general contractor working on the seismic strengthening of our car park at the time of the earthquake. No assurances can be given as to the outcome of that litigation.</w:t>
      </w:r>
    </w:p>
    <w:p>
      <w:pPr>
        <w:spacing w:after="0" w:line="18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Over the course of assessing the total magnitude of earthquake damage up to the point of final insurance settlement, we determined our incurred losses and lost profits as follows:</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w w:val="90"/>
              </w:rPr>
              <w:t>Basis for</w:t>
            </w:r>
          </w:p>
        </w:tc>
        <w:tc>
          <w:tcPr>
            <w:tcW w:w="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Allocation of</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0" w:type="dxa"/>
            <w:vAlign w:val="bottom"/>
          </w:tcPr>
          <w:p>
            <w:pPr>
              <w:spacing w:after="0"/>
              <w:rPr>
                <w:sz w:val="1"/>
                <w:szCs w:val="1"/>
                <w:color w:val="auto"/>
              </w:rPr>
            </w:pPr>
          </w:p>
        </w:tc>
      </w:tr>
      <w:tr>
        <w:trPr>
          <w:trHeight w:val="153"/>
        </w:trPr>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Allocation</w:t>
            </w:r>
          </w:p>
        </w:tc>
        <w:tc>
          <w:tcPr>
            <w:tcW w:w="1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149"/>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Covered Risks</w:t>
            </w:r>
          </w:p>
        </w:tc>
        <w:tc>
          <w:tcPr>
            <w:tcW w:w="1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i w:val="1"/>
                <w:iCs w:val="1"/>
                <w:color w:val="auto"/>
              </w:rPr>
              <w:t>(Dollars in</w:t>
            </w:r>
          </w:p>
        </w:tc>
        <w:tc>
          <w:tcPr>
            <w:tcW w:w="42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Commentary</w:t>
            </w: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Allocation</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i w:val="1"/>
                <w:iCs w:val="1"/>
                <w:color w:val="auto"/>
                <w:w w:val="98"/>
              </w:rPr>
              <w:t>(Dollars in</w:t>
            </w:r>
          </w:p>
        </w:tc>
        <w:tc>
          <w:tcPr>
            <w:tcW w:w="0" w:type="dxa"/>
            <w:vAlign w:val="bottom"/>
          </w:tcPr>
          <w:p>
            <w:pPr>
              <w:spacing w:after="0"/>
              <w:rPr>
                <w:sz w:val="1"/>
                <w:szCs w:val="1"/>
                <w:color w:val="auto"/>
              </w:rPr>
            </w:pPr>
          </w:p>
        </w:tc>
      </w:tr>
      <w:tr>
        <w:trPr>
          <w:trHeight w:val="174"/>
        </w:trPr>
        <w:tc>
          <w:tcPr>
            <w:tcW w:w="2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thousands)</w:t>
            </w:r>
          </w:p>
        </w:tc>
        <w:tc>
          <w:tcPr>
            <w:tcW w:w="4200" w:type="dxa"/>
            <w:vAlign w:val="bottom"/>
            <w:gridSpan w:val="3"/>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i w:val="1"/>
                <w:iCs w:val="1"/>
                <w:color w:val="auto"/>
                <w:w w:val="89"/>
              </w:rPr>
              <w:t>thousands)</w:t>
            </w:r>
          </w:p>
        </w:tc>
        <w:tc>
          <w:tcPr>
            <w:tcW w:w="0" w:type="dxa"/>
            <w:vAlign w:val="bottom"/>
          </w:tcPr>
          <w:p>
            <w:pPr>
              <w:spacing w:after="0"/>
              <w:rPr>
                <w:sz w:val="1"/>
                <w:szCs w:val="1"/>
                <w:color w:val="auto"/>
              </w:rPr>
            </w:pPr>
          </w:p>
        </w:tc>
      </w:tr>
      <w:tr>
        <w:trPr>
          <w:trHeight w:val="130"/>
        </w:trPr>
        <w:tc>
          <w:tcPr>
            <w:tcW w:w="214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Property damage</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NZ$</w:t>
            </w:r>
          </w:p>
        </w:tc>
        <w:tc>
          <w:tcPr>
            <w:tcW w:w="8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44,808</w:t>
            </w:r>
          </w:p>
        </w:tc>
        <w:tc>
          <w:tcPr>
            <w:tcW w:w="160" w:type="dxa"/>
            <w:vAlign w:val="bottom"/>
            <w:tcBorders>
              <w:top w:val="single" w:sz="8" w:color="CCEEFF"/>
            </w:tcBorders>
            <w:shd w:val="clear" w:color="auto" w:fill="CCEEFF"/>
          </w:tcPr>
          <w:p>
            <w:pPr>
              <w:spacing w:after="0"/>
              <w:rPr>
                <w:sz w:val="11"/>
                <w:szCs w:val="11"/>
                <w:color w:val="auto"/>
              </w:rPr>
            </w:pPr>
          </w:p>
        </w:tc>
        <w:tc>
          <w:tcPr>
            <w:tcW w:w="388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Estimated replacement cost for Courtenay Central parking</w:t>
            </w:r>
          </w:p>
        </w:tc>
        <w:tc>
          <w:tcPr>
            <w:tcW w:w="1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81%</w:t>
            </w: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w w:val="90"/>
              </w:rPr>
              <w:t>NZ$</w:t>
            </w:r>
          </w:p>
        </w:tc>
        <w:tc>
          <w:tcPr>
            <w:tcW w:w="8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29,093</w:t>
            </w: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building, as determined by an independent construction cost</w:t>
            </w:r>
          </w:p>
        </w:tc>
        <w:tc>
          <w:tcPr>
            <w:tcW w:w="1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consultant.</w:t>
            </w: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40" w:type="dxa"/>
            <w:vAlign w:val="bottom"/>
          </w:tcPr>
          <w:p>
            <w:pPr>
              <w:spacing w:after="0" w:line="130" w:lineRule="exact"/>
              <w:rPr>
                <w:sz w:val="20"/>
                <w:szCs w:val="20"/>
                <w:color w:val="auto"/>
              </w:rPr>
            </w:pPr>
            <w:r>
              <w:rPr>
                <w:rFonts w:ascii="Arial" w:cs="Arial" w:eastAsia="Arial" w:hAnsi="Arial"/>
                <w:sz w:val="14"/>
                <w:szCs w:val="14"/>
                <w:color w:val="auto"/>
              </w:rPr>
              <w:t>Demolition costs</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7,276</w:t>
            </w:r>
          </w:p>
        </w:tc>
        <w:tc>
          <w:tcPr>
            <w:tcW w:w="42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Actual costs incurred and best estimates of remaining costs to</w:t>
            </w:r>
          </w:p>
        </w:tc>
        <w:tc>
          <w:tcPr>
            <w:tcW w:w="1180" w:type="dxa"/>
            <w:vAlign w:val="bottom"/>
          </w:tcPr>
          <w:p>
            <w:pPr>
              <w:jc w:val="center"/>
              <w:spacing w:after="0" w:line="130" w:lineRule="exact"/>
              <w:rPr>
                <w:sz w:val="20"/>
                <w:szCs w:val="20"/>
                <w:color w:val="auto"/>
              </w:rPr>
            </w:pPr>
            <w:r>
              <w:rPr>
                <w:rFonts w:ascii="Arial" w:cs="Arial" w:eastAsia="Arial" w:hAnsi="Arial"/>
                <w:sz w:val="14"/>
                <w:szCs w:val="14"/>
                <w:color w:val="auto"/>
                <w:w w:val="92"/>
              </w:rPr>
              <w:t>13%</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complete the demolition activities of Courtenay Central parking</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0" w:type="dxa"/>
            <w:vAlign w:val="bottom"/>
            <w:gridSpan w:val="3"/>
          </w:tcPr>
          <w:p>
            <w:pPr>
              <w:ind w:left="160"/>
              <w:spacing w:after="0"/>
              <w:rPr>
                <w:sz w:val="20"/>
                <w:szCs w:val="20"/>
                <w:color w:val="auto"/>
              </w:rPr>
            </w:pPr>
            <w:r>
              <w:rPr>
                <w:rFonts w:ascii="Arial" w:cs="Arial" w:eastAsia="Arial" w:hAnsi="Arial"/>
                <w:sz w:val="14"/>
                <w:szCs w:val="14"/>
                <w:color w:val="auto"/>
              </w:rPr>
              <w:t>building</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interruption</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3,415</w:t>
            </w:r>
          </w:p>
        </w:tc>
        <w:tc>
          <w:tcPr>
            <w:tcW w:w="42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Estimated lost profits during the closure period relating to our</w:t>
            </w:r>
          </w:p>
        </w:tc>
        <w:tc>
          <w:tcPr>
            <w:tcW w:w="11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8"/>
              </w:rPr>
              <w:t>6%</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2,217</w:t>
            </w: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various revenue-generating components within Courtenay Central</w:t>
            </w:r>
          </w:p>
        </w:tc>
        <w:tc>
          <w:tcPr>
            <w:tcW w:w="1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2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ETC (including our cinema and property operations)</w:t>
            </w:r>
          </w:p>
        </w:tc>
        <w:tc>
          <w:tcPr>
            <w:tcW w:w="118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NZ$</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55,499</w:t>
            </w:r>
          </w:p>
        </w:tc>
        <w:tc>
          <w:tcPr>
            <w:tcW w:w="1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NZ$</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557" w:right="879" w:bottom="1440" w:gutter="0" w:footer="0" w:header="0"/>
        </w:sectPr>
      </w:pPr>
    </w:p>
    <w:bookmarkStart w:id="129" w:name="page130"/>
    <w:bookmarkEnd w:id="129"/>
    <w:p>
      <w:pPr>
        <w:ind w:right="260"/>
        <w:spacing w:after="0" w:line="277" w:lineRule="auto"/>
        <w:rPr>
          <w:sz w:val="20"/>
          <w:szCs w:val="20"/>
          <w:color w:val="auto"/>
        </w:rPr>
      </w:pPr>
      <w:r>
        <w:rPr>
          <w:rFonts w:ascii="Arial" w:cs="Arial" w:eastAsia="Arial" w:hAnsi="Arial"/>
          <w:sz w:val="18"/>
          <w:szCs w:val="18"/>
          <w:color w:val="auto"/>
        </w:rPr>
        <w:t>As a result of the final settlement, we recorded total insurance gain of $10.7 million (NZ$14.8 million) during the quarter ended June 30, 2017, determined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Recoverable Components</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3"/>
              </w:rPr>
              <w:t>Non-Operating</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3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(mainly in New Zealand Dollars in thousands,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4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08"/>
              <w:spacing w:after="0" w:line="126" w:lineRule="exact"/>
              <w:rPr>
                <w:sz w:val="20"/>
                <w:szCs w:val="20"/>
                <w:color w:val="auto"/>
              </w:rPr>
            </w:pPr>
            <w:r>
              <w:rPr>
                <w:rFonts w:ascii="Arial" w:cs="Arial" w:eastAsia="Arial" w:hAnsi="Arial"/>
                <w:sz w:val="14"/>
                <w:szCs w:val="14"/>
                <w:b w:val="1"/>
                <w:bCs w:val="1"/>
                <w:color w:val="auto"/>
                <w:w w:val="97"/>
              </w:rPr>
              <w:t>Property</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3"/>
              </w:rPr>
              <w:t>Demolition</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8"/>
              <w:spacing w:after="0" w:line="126" w:lineRule="exact"/>
              <w:rPr>
                <w:sz w:val="20"/>
                <w:szCs w:val="20"/>
                <w:color w:val="auto"/>
              </w:rPr>
            </w:pPr>
            <w:r>
              <w:rPr>
                <w:rFonts w:ascii="Arial" w:cs="Arial" w:eastAsia="Arial" w:hAnsi="Arial"/>
                <w:sz w:val="14"/>
                <w:szCs w:val="14"/>
                <w:b w:val="1"/>
                <w:bCs w:val="1"/>
                <w:color w:val="auto"/>
                <w:w w:val="86"/>
              </w:rPr>
              <w:t>Business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Grand Total</w:t>
            </w:r>
          </w:p>
        </w:tc>
        <w:tc>
          <w:tcPr>
            <w:tcW w:w="0" w:type="dxa"/>
            <w:vAlign w:val="bottom"/>
          </w:tcPr>
          <w:p>
            <w:pPr>
              <w:spacing w:after="0"/>
              <w:rPr>
                <w:sz w:val="1"/>
                <w:szCs w:val="1"/>
                <w:color w:val="auto"/>
              </w:rPr>
            </w:pPr>
          </w:p>
        </w:tc>
      </w:tr>
      <w:tr>
        <w:trPr>
          <w:trHeight w:val="178"/>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unless otherwise stated)</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4"/>
              </w:rPr>
              <w:t>f</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Damage</w:t>
            </w:r>
            <w:r>
              <w:rPr>
                <w:rFonts w:ascii="Arial" w:cs="Arial" w:eastAsia="Arial" w:hAnsi="Arial"/>
                <w:sz w:val="7"/>
                <w:szCs w:val="7"/>
                <w:b w:val="1"/>
                <w:bCs w:val="1"/>
                <w:color w:val="auto"/>
                <w:w w:val="95"/>
              </w:rPr>
              <w:t>(1)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8"/>
              </w:rPr>
              <w:t>Costs</w:t>
            </w:r>
            <w:r>
              <w:rPr>
                <w:rFonts w:ascii="Arial" w:cs="Arial" w:eastAsia="Arial" w:hAnsi="Arial"/>
                <w:sz w:val="7"/>
                <w:szCs w:val="7"/>
                <w:b w:val="1"/>
                <w:bCs w:val="1"/>
                <w:color w:val="auto"/>
                <w:w w:val="88"/>
              </w:rPr>
              <w:t>(1)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Interruption</w:t>
            </w:r>
            <w:r>
              <w:rPr>
                <w:rFonts w:ascii="Arial" w:cs="Arial" w:eastAsia="Arial" w:hAnsi="Arial"/>
                <w:sz w:val="7"/>
                <w:szCs w:val="7"/>
                <w:b w:val="1"/>
                <w:bCs w:val="1"/>
                <w:color w:val="auto"/>
                <w:w w:val="98"/>
              </w:rPr>
              <w:t>(2)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w w:val="89"/>
              </w:rPr>
              <w:t>Insurance Proceed Allocation</w:t>
            </w:r>
          </w:p>
        </w:tc>
        <w:tc>
          <w:tcPr>
            <w:tcW w:w="1560" w:type="dxa"/>
            <w:vAlign w:val="bottom"/>
            <w:gridSpan w:val="2"/>
            <w:shd w:val="clear" w:color="auto" w:fill="CCEEFF"/>
          </w:tcPr>
          <w:p>
            <w:pPr>
              <w:spacing w:after="0"/>
              <w:rPr>
                <w:sz w:val="16"/>
                <w:szCs w:val="16"/>
                <w:color w:val="auto"/>
              </w:rPr>
            </w:pP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i w:val="1"/>
                <w:iCs w:val="1"/>
                <w:color w:val="auto"/>
                <w:w w:val="98"/>
              </w:rPr>
              <w:t>A</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36,034</w:t>
            </w:r>
          </w:p>
        </w:tc>
        <w:tc>
          <w:tcPr>
            <w:tcW w:w="0" w:type="dxa"/>
            <w:vAlign w:val="bottom"/>
          </w:tcPr>
          <w:p>
            <w:pPr>
              <w:spacing w:after="0"/>
              <w:rPr>
                <w:sz w:val="1"/>
                <w:szCs w:val="1"/>
                <w:color w:val="auto"/>
              </w:rPr>
            </w:pPr>
          </w:p>
        </w:tc>
      </w:tr>
      <w:tr>
        <w:trPr>
          <w:trHeight w:val="27"/>
        </w:trPr>
        <w:tc>
          <w:tcPr>
            <w:tcW w:w="1780" w:type="dxa"/>
            <w:vAlign w:val="bottom"/>
            <w:shd w:val="clear" w:color="auto" w:fill="000000"/>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0120"/>
          </w:cols>
          <w:pgMar w:left="900" w:top="341" w:right="879" w:bottom="1440" w:gutter="0" w:footer="0" w:header="0"/>
        </w:sectPr>
      </w:pPr>
    </w:p>
    <w:p>
      <w:pPr>
        <w:spacing w:after="0"/>
        <w:rPr>
          <w:sz w:val="20"/>
          <w:szCs w:val="20"/>
          <w:color w:val="auto"/>
        </w:rPr>
      </w:pPr>
      <w:r>
        <w:rPr>
          <w:rFonts w:ascii="Arial" w:cs="Arial" w:eastAsia="Arial" w:hAnsi="Arial"/>
          <w:sz w:val="14"/>
          <w:szCs w:val="14"/>
          <w:b w:val="1"/>
          <w:bCs w:val="1"/>
          <w:i w:val="1"/>
          <w:iCs w:val="1"/>
          <w:u w:val="single" w:color="auto"/>
          <w:color w:val="auto"/>
        </w:rPr>
        <w:t>Movements in Recoverable Components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Total expected incurred losses, November 30, 2016</w:t>
      </w:r>
    </w:p>
    <w:p>
      <w:pPr>
        <w:spacing w:after="0" w:line="11" w:lineRule="exact"/>
        <w:rPr>
          <w:sz w:val="20"/>
          <w:szCs w:val="20"/>
          <w:color w:val="auto"/>
        </w:rPr>
      </w:pPr>
    </w:p>
    <w:p>
      <w:pPr>
        <w:spacing w:after="0" w:line="237" w:lineRule="auto"/>
        <w:rPr>
          <w:sz w:val="20"/>
          <w:szCs w:val="20"/>
          <w:color w:val="auto"/>
        </w:rPr>
      </w:pPr>
      <w:r>
        <w:rPr>
          <w:rFonts w:ascii="Arial" w:cs="Arial" w:eastAsia="Arial" w:hAnsi="Arial"/>
          <w:sz w:val="14"/>
          <w:szCs w:val="14"/>
          <w:b w:val="1"/>
          <w:bCs w:val="1"/>
          <w:i w:val="1"/>
          <w:iCs w:val="1"/>
          <w:u w:val="single" w:color="auto"/>
          <w:color w:val="auto"/>
        </w:rPr>
        <w:t>Less</w:t>
      </w:r>
      <w:r>
        <w:rPr>
          <w:rFonts w:ascii="Arial" w:cs="Arial" w:eastAsia="Arial" w:hAnsi="Arial"/>
          <w:sz w:val="14"/>
          <w:szCs w:val="14"/>
          <w:b w:val="1"/>
          <w:bCs w:val="1"/>
          <w:color w:val="auto"/>
        </w:rPr>
        <w:t>: Casualty Losses recorded in 2016 Earnings</w:t>
      </w:r>
      <w:r>
        <w:rPr>
          <w:rFonts w:ascii="Arial" w:cs="Arial" w:eastAsia="Arial" w:hAnsi="Arial"/>
          <w:sz w:val="7"/>
          <w:szCs w:val="7"/>
          <w:b w:val="1"/>
          <w:bCs w:val="1"/>
          <w:color w:val="auto"/>
        </w:rPr>
        <w:t>(3)</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in NZ$</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in US$</w:t>
      </w:r>
    </w:p>
    <w:p>
      <w:pPr>
        <w:spacing w:after="0"/>
        <w:rPr>
          <w:sz w:val="20"/>
          <w:szCs w:val="20"/>
          <w:color w:val="auto"/>
        </w:rPr>
      </w:pPr>
      <w:r>
        <w:rPr>
          <w:rFonts w:ascii="Arial" w:cs="Arial" w:eastAsia="Arial" w:hAnsi="Arial"/>
          <w:sz w:val="14"/>
          <w:szCs w:val="14"/>
          <w:b w:val="1"/>
          <w:bCs w:val="1"/>
          <w:color w:val="auto"/>
        </w:rPr>
        <w:t>Recoverable Assets, December 31, 2016</w:t>
      </w:r>
      <w:r>
        <w:rPr>
          <w:rFonts w:ascii="Arial" w:cs="Arial" w:eastAsia="Arial" w:hAnsi="Arial"/>
          <w:sz w:val="7"/>
          <w:szCs w:val="7"/>
          <w:b w:val="1"/>
          <w:bCs w:val="1"/>
          <w:color w:val="auto"/>
        </w:rPr>
        <w:t>(4)</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Add</w:t>
      </w:r>
      <w:r>
        <w:rPr>
          <w:rFonts w:ascii="Arial" w:cs="Arial" w:eastAsia="Arial" w:hAnsi="Arial"/>
          <w:sz w:val="14"/>
          <w:szCs w:val="14"/>
          <w:color w:val="auto"/>
        </w:rPr>
        <w:t>: Upward changes in estimates and others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center"/>
              <w:ind w:right="128"/>
              <w:spacing w:after="0"/>
              <w:rPr>
                <w:sz w:val="20"/>
                <w:szCs w:val="20"/>
                <w:color w:val="auto"/>
              </w:rPr>
            </w:pPr>
            <w:r>
              <w:rPr>
                <w:rFonts w:ascii="Arial" w:cs="Arial" w:eastAsia="Arial" w:hAnsi="Arial"/>
                <w:sz w:val="14"/>
                <w:szCs w:val="14"/>
                <w:b w:val="1"/>
                <w:bCs w:val="1"/>
                <w:i w:val="1"/>
                <w:iCs w:val="1"/>
                <w:color w:val="auto"/>
                <w:w w:val="98"/>
              </w:rPr>
              <w:t>B</w:t>
            </w:r>
          </w:p>
        </w:tc>
        <w:tc>
          <w:tcPr>
            <w:tcW w:w="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22,746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22,746</w:t>
            </w:r>
          </w:p>
        </w:tc>
      </w:tr>
      <w:tr>
        <w:trPr>
          <w:trHeight w:val="282"/>
        </w:trPr>
        <w:tc>
          <w:tcPr>
            <w:tcW w:w="620" w:type="dxa"/>
            <w:vAlign w:val="bottom"/>
          </w:tcPr>
          <w:p>
            <w:pPr>
              <w:jc w:val="center"/>
              <w:ind w:right="128"/>
              <w:spacing w:after="0"/>
              <w:rPr>
                <w:sz w:val="20"/>
                <w:szCs w:val="20"/>
                <w:color w:val="auto"/>
              </w:rPr>
            </w:pPr>
            <w:r>
              <w:rPr>
                <w:rFonts w:ascii="Arial" w:cs="Arial" w:eastAsia="Arial" w:hAnsi="Arial"/>
                <w:sz w:val="14"/>
                <w:szCs w:val="14"/>
                <w:b w:val="1"/>
                <w:bCs w:val="1"/>
                <w:i w:val="1"/>
                <w:iCs w:val="1"/>
                <w:color w:val="auto"/>
                <w:w w:val="98"/>
              </w:rPr>
              <w:t>C</w:t>
            </w: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(795)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(1,224)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3"/>
          </w:tcPr>
          <w:p>
            <w:pPr>
              <w:ind w:left="40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96"/>
        </w:trPr>
        <w:tc>
          <w:tcPr>
            <w:tcW w:w="620" w:type="dxa"/>
            <w:vAlign w:val="bottom"/>
          </w:tcPr>
          <w:p>
            <w:pPr>
              <w:jc w:val="center"/>
              <w:ind w:right="128"/>
              <w:spacing w:after="0"/>
              <w:rPr>
                <w:sz w:val="20"/>
                <w:szCs w:val="20"/>
                <w:color w:val="auto"/>
              </w:rPr>
            </w:pPr>
            <w:r>
              <w:rPr>
                <w:rFonts w:ascii="Arial" w:cs="Arial" w:eastAsia="Arial" w:hAnsi="Arial"/>
                <w:sz w:val="14"/>
                <w:szCs w:val="14"/>
                <w:b w:val="1"/>
                <w:bCs w:val="1"/>
                <w:i w:val="1"/>
                <w:iCs w:val="1"/>
                <w:color w:val="auto"/>
                <w:w w:val="98"/>
              </w:rPr>
              <w:t>D</w:t>
            </w:r>
          </w:p>
        </w:tc>
        <w:tc>
          <w:tcPr>
            <w:tcW w:w="500" w:type="dxa"/>
            <w:vAlign w:val="bottom"/>
          </w:tcPr>
          <w:p>
            <w:pPr>
              <w:spacing w:after="0"/>
              <w:rPr>
                <w:sz w:val="20"/>
                <w:szCs w:val="20"/>
                <w:color w:val="auto"/>
              </w:rPr>
            </w:pPr>
            <w:r>
              <w:rPr>
                <w:rFonts w:ascii="Arial" w:cs="Arial" w:eastAsia="Arial" w:hAnsi="Arial"/>
                <w:sz w:val="14"/>
                <w:szCs w:val="14"/>
                <w:i w:val="1"/>
                <w:iCs w:val="1"/>
                <w:color w:val="auto"/>
              </w:rPr>
              <w:t>US$</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(560)</w:t>
            </w:r>
          </w:p>
        </w:tc>
        <w:tc>
          <w:tcPr>
            <w:tcW w:w="40" w:type="dxa"/>
            <w:vAlign w:val="bottom"/>
          </w:tcPr>
          <w:p>
            <w:pPr>
              <w:spacing w:after="0"/>
              <w:rPr>
                <w:sz w:val="17"/>
                <w:szCs w:val="17"/>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i w:val="1"/>
                <w:iCs w:val="1"/>
                <w:color w:val="auto"/>
              </w:rPr>
              <w:t>US$</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(861)</w:t>
            </w:r>
          </w:p>
        </w:tc>
        <w:tc>
          <w:tcPr>
            <w:tcW w:w="10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4"/>
                <w:szCs w:val="14"/>
                <w:i w:val="1"/>
                <w:iCs w:val="1"/>
                <w:color w:val="auto"/>
              </w:rPr>
              <w:t>US$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(1,421)</w:t>
            </w:r>
          </w:p>
        </w:tc>
        <w:tc>
          <w:tcPr>
            <w:tcW w:w="620" w:type="dxa"/>
            <w:vAlign w:val="bottom"/>
            <w:gridSpan w:val="2"/>
          </w:tcPr>
          <w:p>
            <w:pPr>
              <w:ind w:left="40"/>
              <w:spacing w:after="0"/>
              <w:rPr>
                <w:sz w:val="20"/>
                <w:szCs w:val="20"/>
                <w:color w:val="auto"/>
              </w:rPr>
            </w:pPr>
            <w:r>
              <w:rPr>
                <w:rFonts w:ascii="Arial" w:cs="Arial" w:eastAsia="Arial" w:hAnsi="Arial"/>
                <w:sz w:val="14"/>
                <w:szCs w:val="14"/>
                <w:i w:val="1"/>
                <w:iCs w:val="1"/>
                <w:color w:val="auto"/>
              </w:rPr>
              <w:t>US$</w:t>
            </w:r>
          </w:p>
        </w:tc>
        <w:tc>
          <w:tcPr>
            <w:tcW w:w="1100" w:type="dxa"/>
            <w:vAlign w:val="bottom"/>
            <w:gridSpan w:val="3"/>
          </w:tcPr>
          <w:p>
            <w:pPr>
              <w:ind w:left="420"/>
              <w:spacing w:after="0"/>
              <w:rPr>
                <w:sz w:val="20"/>
                <w:szCs w:val="20"/>
                <w:color w:val="auto"/>
              </w:rPr>
            </w:pPr>
            <w:r>
              <w:rPr>
                <w:rFonts w:ascii="Arial" w:cs="Arial" w:eastAsia="Arial" w:hAnsi="Arial"/>
                <w:sz w:val="14"/>
                <w:szCs w:val="14"/>
                <w:i w:val="1"/>
                <w:iCs w:val="1"/>
                <w:color w:val="auto"/>
              </w:rPr>
              <w:t>— US$</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(1,421)</w:t>
            </w: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11"/>
        </w:trPr>
        <w:tc>
          <w:tcPr>
            <w:tcW w:w="620" w:type="dxa"/>
            <w:vAlign w:val="bottom"/>
          </w:tcPr>
          <w:p>
            <w:pPr>
              <w:jc w:val="center"/>
              <w:ind w:right="128"/>
              <w:spacing w:after="0"/>
              <w:rPr>
                <w:sz w:val="20"/>
                <w:szCs w:val="20"/>
                <w:color w:val="auto"/>
              </w:rPr>
            </w:pPr>
            <w:r>
              <w:rPr>
                <w:rFonts w:ascii="Arial" w:cs="Arial" w:eastAsia="Arial" w:hAnsi="Arial"/>
                <w:sz w:val="14"/>
                <w:szCs w:val="14"/>
                <w:b w:val="1"/>
                <w:bCs w:val="1"/>
                <w:i w:val="1"/>
                <w:iCs w:val="1"/>
                <w:color w:val="auto"/>
                <w:w w:val="98"/>
              </w:rPr>
              <w:t>E=B-C</w:t>
            </w:r>
          </w:p>
        </w:tc>
        <w:tc>
          <w:tcPr>
            <w:tcW w:w="500" w:type="dxa"/>
            <w:vAlign w:val="bottom"/>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13,451</w:t>
            </w:r>
          </w:p>
        </w:tc>
        <w:tc>
          <w:tcPr>
            <w:tcW w:w="4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7,276</w:t>
            </w:r>
          </w:p>
        </w:tc>
        <w:tc>
          <w:tcPr>
            <w:tcW w:w="1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20,727</w:t>
            </w:r>
          </w:p>
        </w:tc>
        <w:tc>
          <w:tcPr>
            <w:tcW w:w="4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3"/>
          </w:tcPr>
          <w:p>
            <w:pPr>
              <w:ind w:left="400"/>
              <w:spacing w:after="0"/>
              <w:rPr>
                <w:sz w:val="20"/>
                <w:szCs w:val="20"/>
                <w:color w:val="auto"/>
              </w:rPr>
            </w:pP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20,727</w:t>
            </w:r>
          </w:p>
        </w:tc>
      </w:tr>
      <w:tr>
        <w:trPr>
          <w:trHeight w:val="206"/>
        </w:trPr>
        <w:tc>
          <w:tcPr>
            <w:tcW w:w="620" w:type="dxa"/>
            <w:vAlign w:val="bottom"/>
          </w:tcPr>
          <w:p>
            <w:pPr>
              <w:jc w:val="center"/>
              <w:ind w:right="128"/>
              <w:spacing w:after="0"/>
              <w:rPr>
                <w:sz w:val="20"/>
                <w:szCs w:val="20"/>
                <w:color w:val="auto"/>
              </w:rPr>
            </w:pPr>
            <w:r>
              <w:rPr>
                <w:rFonts w:ascii="Arial" w:cs="Arial" w:eastAsia="Arial" w:hAnsi="Arial"/>
                <w:sz w:val="14"/>
                <w:szCs w:val="14"/>
                <w:b w:val="1"/>
                <w:bCs w:val="1"/>
                <w:i w:val="1"/>
                <w:iCs w:val="1"/>
                <w:color w:val="auto"/>
              </w:rPr>
              <w:t>F</w:t>
            </w:r>
          </w:p>
        </w:tc>
        <w:tc>
          <w:tcPr>
            <w:tcW w:w="5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w w:val="94"/>
              </w:rPr>
              <w:t>111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-739775</wp:posOffset>
            </wp:positionV>
            <wp:extent cx="6423025"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-414020</wp:posOffset>
            </wp:positionV>
            <wp:extent cx="642302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-139700</wp:posOffset>
            </wp:positionV>
            <wp:extent cx="6423025"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140" w:space="320"/>
            <w:col w:w="6660"/>
          </w:cols>
          <w:pgMar w:left="900" w:top="341" w:right="87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3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9"/>
              </w:rPr>
              <w:t>Net recoverable balances charged against proceeds</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i w:val="1"/>
                <w:iCs w:val="1"/>
                <w:color w:val="auto"/>
              </w:rPr>
              <w:t>G=E+F</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13,798</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1"/>
              </w:rPr>
              <w:t>7,276</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21,074</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21,185</w:t>
            </w: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8"/>
              </w:rPr>
              <w:t>Casualty gain, recorded in 2017 Earnings- in NZ$</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H=A-G</w:t>
            </w:r>
          </w:p>
        </w:tc>
        <w:tc>
          <w:tcPr>
            <w:tcW w:w="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15,295</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b w:val="1"/>
                <w:bCs w:val="1"/>
                <w:color w:val="auto"/>
                <w:w w:val="94"/>
              </w:rPr>
              <w:t>(2,552)</w:t>
            </w: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12,743</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14,849</w:t>
            </w: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4"/>
                <w:szCs w:val="14"/>
                <w:b w:val="1"/>
                <w:bCs w:val="1"/>
                <w:i w:val="1"/>
                <w:iCs w:val="1"/>
                <w:color w:val="auto"/>
                <w:w w:val="97"/>
              </w:rPr>
              <w:t>Casualty gain, recorded in 2017 Earnings - in US$</w:t>
            </w:r>
          </w:p>
        </w:tc>
        <w:tc>
          <w:tcPr>
            <w:tcW w:w="84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I</w:t>
            </w:r>
          </w:p>
        </w:tc>
        <w:tc>
          <w:tcPr>
            <w:tcW w:w="50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11,063</w:t>
            </w: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US$</w:t>
            </w:r>
          </w:p>
        </w:tc>
        <w:tc>
          <w:tcPr>
            <w:tcW w:w="760" w:type="dxa"/>
            <w:vAlign w:val="bottom"/>
            <w:gridSpan w:val="2"/>
          </w:tcPr>
          <w:p>
            <w:pPr>
              <w:jc w:val="center"/>
              <w:ind w:left="68"/>
              <w:spacing w:after="0"/>
              <w:rPr>
                <w:sz w:val="20"/>
                <w:szCs w:val="20"/>
                <w:color w:val="auto"/>
              </w:rPr>
            </w:pPr>
            <w:r>
              <w:rPr>
                <w:rFonts w:ascii="Arial" w:cs="Arial" w:eastAsia="Arial" w:hAnsi="Arial"/>
                <w:sz w:val="14"/>
                <w:szCs w:val="14"/>
                <w:b w:val="1"/>
                <w:bCs w:val="1"/>
                <w:i w:val="1"/>
                <w:iCs w:val="1"/>
                <w:color w:val="auto"/>
                <w:w w:val="94"/>
              </w:rPr>
              <w:t>(1,846)</w:t>
            </w:r>
          </w:p>
        </w:tc>
        <w:tc>
          <w:tcPr>
            <w:tcW w:w="48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6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9,217</w:t>
            </w: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US$</w:t>
            </w: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1,523</w:t>
            </w:r>
          </w:p>
        </w:tc>
        <w:tc>
          <w:tcPr>
            <w:tcW w:w="10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10,740</w:t>
            </w:r>
          </w:p>
        </w:tc>
        <w:tc>
          <w:tcPr>
            <w:tcW w:w="0" w:type="dxa"/>
            <w:vAlign w:val="bottom"/>
          </w:tcPr>
          <w:p>
            <w:pPr>
              <w:spacing w:after="0"/>
              <w:rPr>
                <w:sz w:val="1"/>
                <w:szCs w:val="1"/>
                <w:color w:val="auto"/>
              </w:rPr>
            </w:pPr>
          </w:p>
        </w:tc>
      </w:tr>
      <w:tr>
        <w:trPr>
          <w:trHeight w:val="27"/>
        </w:trPr>
        <w:tc>
          <w:tcPr>
            <w:tcW w:w="3240" w:type="dxa"/>
            <w:vAlign w:val="bottom"/>
            <w:vMerge w:val="restart"/>
            <w:shd w:val="clear" w:color="auto" w:fill="CCEEFF"/>
          </w:tcPr>
          <w:p>
            <w:pPr>
              <w:spacing w:after="0" w:line="143" w:lineRule="exact"/>
              <w:rPr>
                <w:sz w:val="20"/>
                <w:szCs w:val="20"/>
                <w:color w:val="auto"/>
              </w:rPr>
            </w:pPr>
            <w:r>
              <w:rPr>
                <w:rFonts w:ascii="Arial" w:cs="Arial" w:eastAsia="Arial" w:hAnsi="Arial"/>
                <w:sz w:val="14"/>
                <w:szCs w:val="14"/>
                <w:b w:val="1"/>
                <w:bCs w:val="1"/>
                <w:i w:val="1"/>
                <w:iCs w:val="1"/>
                <w:color w:val="auto"/>
                <w:w w:val="98"/>
              </w:rPr>
              <w:t>Net Casualty gain for 2016 and 2017 Earnings - in</w:t>
            </w:r>
          </w:p>
        </w:tc>
        <w:tc>
          <w:tcPr>
            <w:tcW w:w="8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324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i w:val="1"/>
                <w:iCs w:val="1"/>
                <w:color w:val="auto"/>
              </w:rPr>
              <w:t>US$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10,503</w:t>
            </w:r>
          </w:p>
        </w:tc>
        <w:tc>
          <w:tcPr>
            <w:tcW w:w="5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US$</w:t>
            </w:r>
          </w:p>
        </w:tc>
        <w:tc>
          <w:tcPr>
            <w:tcW w:w="760" w:type="dxa"/>
            <w:vAlign w:val="bottom"/>
            <w:gridSpan w:val="2"/>
            <w:vMerge w:val="restart"/>
            <w:shd w:val="clear" w:color="auto" w:fill="CCEEFF"/>
          </w:tcPr>
          <w:p>
            <w:pPr>
              <w:jc w:val="center"/>
              <w:ind w:left="68"/>
              <w:spacing w:after="0"/>
              <w:rPr>
                <w:sz w:val="20"/>
                <w:szCs w:val="20"/>
                <w:color w:val="auto"/>
              </w:rPr>
            </w:pPr>
            <w:r>
              <w:rPr>
                <w:rFonts w:ascii="Arial" w:cs="Arial" w:eastAsia="Arial" w:hAnsi="Arial"/>
                <w:sz w:val="14"/>
                <w:szCs w:val="14"/>
                <w:b w:val="1"/>
                <w:bCs w:val="1"/>
                <w:i w:val="1"/>
                <w:iCs w:val="1"/>
                <w:color w:val="auto"/>
                <w:w w:val="94"/>
              </w:rPr>
              <w:t>(2,707)</w:t>
            </w:r>
          </w:p>
        </w:tc>
        <w:tc>
          <w:tcPr>
            <w:tcW w:w="4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i w:val="1"/>
                <w:iCs w:val="1"/>
                <w:color w:val="auto"/>
              </w:rPr>
              <w:t>US$</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7,796</w:t>
            </w:r>
          </w:p>
        </w:tc>
        <w:tc>
          <w:tcPr>
            <w:tcW w:w="6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US$</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1,523</w:t>
            </w: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i w:val="1"/>
                <w:iCs w:val="1"/>
                <w:color w:val="auto"/>
              </w:rPr>
              <w:t>US$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9,319</w:t>
            </w:r>
          </w:p>
        </w:tc>
        <w:tc>
          <w:tcPr>
            <w:tcW w:w="0" w:type="dxa"/>
            <w:vAlign w:val="bottom"/>
          </w:tcPr>
          <w:p>
            <w:pPr>
              <w:spacing w:after="0"/>
              <w:rPr>
                <w:sz w:val="1"/>
                <w:szCs w:val="1"/>
                <w:color w:val="auto"/>
              </w:rPr>
            </w:pPr>
          </w:p>
        </w:tc>
      </w:tr>
      <w:tr>
        <w:trPr>
          <w:trHeight w:val="154"/>
        </w:trPr>
        <w:tc>
          <w:tcPr>
            <w:tcW w:w="324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i w:val="1"/>
                <w:iCs w:val="1"/>
                <w:color w:val="auto"/>
              </w:rPr>
              <w:t>US$</w:t>
            </w:r>
          </w:p>
        </w:tc>
        <w:tc>
          <w:tcPr>
            <w:tcW w:w="84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b w:val="1"/>
                <w:bCs w:val="1"/>
                <w:i w:val="1"/>
                <w:iCs w:val="1"/>
                <w:color w:val="auto"/>
              </w:rPr>
              <w:t>∑(D+I)</w:t>
            </w:r>
          </w:p>
        </w:tc>
        <w:tc>
          <w:tcPr>
            <w:tcW w:w="50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net impact to 2017 earnings of $9.2 million (NZ$12.7 million) is recorded as “</w:t>
      </w:r>
      <w:r>
        <w:rPr>
          <w:rFonts w:ascii="Arial" w:cs="Arial" w:eastAsia="Arial" w:hAnsi="Arial"/>
          <w:sz w:val="14"/>
          <w:szCs w:val="14"/>
          <w:i w:val="1"/>
          <w:iCs w:val="1"/>
          <w:color w:val="auto"/>
        </w:rPr>
        <w:t>Casualty gain</w:t>
      </w:r>
      <w:r>
        <w:rPr>
          <w:rFonts w:ascii="Arial" w:cs="Arial" w:eastAsia="Arial" w:hAnsi="Arial"/>
          <w:sz w:val="14"/>
          <w:szCs w:val="14"/>
          <w:color w:val="auto"/>
        </w:rPr>
        <w:t>” in our Consolidated Statement of Operations.</w:t>
      </w:r>
    </w:p>
    <w:p>
      <w:pPr>
        <w:ind w:left="640" w:right="240" w:hanging="320"/>
        <w:spacing w:after="0" w:line="221" w:lineRule="auto"/>
        <w:tabs>
          <w:tab w:leader="none" w:pos="6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impact to 2017 operating earnings of $1.5 million (NZ$2.1 million) is recorded as part of the applicable segment revenues in our Consolidated Statement of Operations.</w:t>
      </w:r>
    </w:p>
    <w:p>
      <w:pPr>
        <w:ind w:left="640" w:hanging="320"/>
        <w:spacing w:after="0"/>
        <w:tabs>
          <w:tab w:leader="none" w:pos="6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casualty losses recorded in 2016 as a separate line in our Consolidated Statement of Operations is made up the following: (i) 5% deductible of $795,000</w:t>
      </w:r>
    </w:p>
    <w:p>
      <w:pPr>
        <w:ind w:left="640" w:right="20"/>
        <w:spacing w:after="0" w:line="238" w:lineRule="auto"/>
        <w:rPr>
          <w:rFonts w:ascii="Arial" w:cs="Arial" w:eastAsia="Arial" w:hAnsi="Arial"/>
          <w:sz w:val="13"/>
          <w:szCs w:val="13"/>
          <w:color w:val="auto"/>
        </w:rPr>
      </w:pPr>
      <w:r>
        <w:rPr>
          <w:rFonts w:ascii="Arial" w:cs="Arial" w:eastAsia="Arial" w:hAnsi="Arial"/>
          <w:sz w:val="13"/>
          <w:szCs w:val="13"/>
          <w:color w:val="auto"/>
        </w:rPr>
        <w:t>(NZ$560,000) calculated based on the estimated value of the insured damaged parking structure for insurance purposes, and (ii) $862,000 (NZ$1.2 million) of total estimated demolition costs was preliminarily assessed as expenses not reimbursable under our insurance policy and hence, we recorded in profit and loss.</w:t>
      </w:r>
    </w:p>
    <w:p>
      <w:pPr>
        <w:ind w:left="640" w:right="100" w:hanging="320"/>
        <w:spacing w:after="0" w:line="271" w:lineRule="auto"/>
        <w:tabs>
          <w:tab w:leader="none" w:pos="6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recoverable asset of $9.5 million (NZ$13.6 million), net of advance payment of $5.0 million (NZ$7.1 million), as of December 31, 2016 was presented as part of “</w:t>
      </w:r>
      <w:r>
        <w:rPr>
          <w:rFonts w:ascii="Arial" w:cs="Arial" w:eastAsia="Arial" w:hAnsi="Arial"/>
          <w:sz w:val="13"/>
          <w:szCs w:val="13"/>
          <w:i w:val="1"/>
          <w:iCs w:val="1"/>
          <w:color w:val="auto"/>
        </w:rPr>
        <w:t>Other non-current assets</w:t>
      </w:r>
      <w:r>
        <w:rPr>
          <w:rFonts w:ascii="Arial" w:cs="Arial" w:eastAsia="Arial" w:hAnsi="Arial"/>
          <w:sz w:val="13"/>
          <w:szCs w:val="13"/>
          <w:color w:val="auto"/>
        </w:rPr>
        <w:t>” as the timing of the insurance claim receipt was not fixed nor reliably determinable as of the time of our initial assessment.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21 – UNAUDITED QUARTERLY FINANCIAL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53"/>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Fourth</w:t>
            </w:r>
          </w:p>
        </w:tc>
      </w:tr>
      <w:tr>
        <w:trPr>
          <w:trHeight w:val="178"/>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22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5"/>
                <w:szCs w:val="15"/>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253"/>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7"/>
                <w:szCs w:val="7"/>
                <w:b w:val="1"/>
                <w:bCs w:val="1"/>
                <w:color w:val="auto"/>
              </w:rPr>
              <w:t>(1)</w:t>
            </w:r>
          </w:p>
        </w:tc>
      </w:tr>
      <w:tr>
        <w:trPr>
          <w:trHeight w:val="216"/>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75,872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84,262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74,261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74,990</w:t>
            </w: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w:t>
            </w: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Net income attributable to RDI shareholders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4,960</w:t>
            </w: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69,481</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72,440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66,116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71,841</w:t>
            </w: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Net income attributable to RDI shareholders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7,426</w:t>
            </w: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30"/>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0.32</w:t>
            </w:r>
          </w:p>
        </w:tc>
      </w:tr>
    </w:tbl>
    <w:p>
      <w:pPr>
        <w:spacing w:after="0" w:line="183" w:lineRule="exact"/>
        <w:rPr>
          <w:sz w:val="20"/>
          <w:szCs w:val="20"/>
          <w:color w:val="auto"/>
        </w:rPr>
      </w:pPr>
    </w:p>
    <w:p>
      <w:pPr>
        <w:ind w:left="640" w:right="200" w:hanging="320"/>
        <w:spacing w:after="0" w:line="253" w:lineRule="auto"/>
        <w:tabs>
          <w:tab w:leader="none" w:pos="6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Net income for the 4th quarter of 2017 includes approximately $2.5 million net tax benefit from non-recurring items of tax benefit and expense related to the Tax Cuts and Jobs Act enacted December 2017 and dissolution of a non-operating foreign subsidiary.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22 – SUBSEQUENT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cinema location, Devonport, Australia</w:t>
      </w:r>
    </w:p>
    <w:p>
      <w:pPr>
        <w:spacing w:after="0" w:line="21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On January 30, 2019, we purchased the tenant’s interest and other operating assets of an established four-screen cinema in Devonport, Australia, for $1.4 million (AU$2.0 million). We commenced trading from this new cinema site on January 30, 2019.</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purchase will be accounted for as a business combination in the first quarter of 2019 under ASC 805, Business Combinations. As of the date of issue of these Consolidated Financial Statements, we are in the process of engaging third party advisors to complete the fair value assessments required to be able to account for this transaction under ASC 805.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Closure of Courtenay Central Cinema</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light of recently discovered seismic issues pertaining to the cinema structure at our Courtenay Central ETC, in January 2019 we closed the cinema portion and certain interior retail spaces at that center while we reevaluate the center for redevelopment as an entertainment themed urban center with a major food and grocery component.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22"/>
          <w:szCs w:val="22"/>
          <w:b w:val="1"/>
          <w:bCs w:val="1"/>
          <w:u w:val="single" w:color="auto"/>
          <w:color w:val="auto"/>
        </w:rPr>
        <w:t>Schedule II – Valuation and Qualifying Accounts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9"/>
              </w:rPr>
              <w:t>Deductions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14"/>
              <w:spacing w:after="0"/>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4"/>
            <w:vMerge w:val="continue"/>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2018</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jc w:val="right"/>
              <w:ind w:right="129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2016</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Tax valuation allowance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2018</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jc w:val="right"/>
              <w:ind w:right="129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10,593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2016</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4"/>
              <w:spacing w:after="0"/>
              <w:rPr>
                <w:sz w:val="20"/>
                <w:szCs w:val="20"/>
                <w:color w:val="auto"/>
              </w:rPr>
            </w:pPr>
            <w:r>
              <w:rPr>
                <w:rFonts w:ascii="Arial" w:cs="Arial" w:eastAsia="Arial" w:hAnsi="Arial"/>
                <w:sz w:val="18"/>
                <w:szCs w:val="18"/>
                <w:color w:val="auto"/>
              </w:rPr>
              <w:t>130 -</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28" w:right="859" w:bottom="1440" w:gutter="0" w:footer="0" w:header="0"/>
        </w:sectPr>
      </w:pPr>
    </w:p>
    <w:bookmarkStart w:id="131" w:name="page132"/>
    <w:bookmarkEnd w:id="131"/>
    <w:p>
      <w:pPr>
        <w:spacing w:after="0"/>
        <w:rPr>
          <w:sz w:val="20"/>
          <w:szCs w:val="20"/>
          <w:color w:val="auto"/>
        </w:rPr>
      </w:pPr>
      <w:r>
        <w:rPr>
          <w:rFonts w:ascii="Arial" w:cs="Arial" w:eastAsia="Arial" w:hAnsi="Arial"/>
          <w:sz w:val="21"/>
          <w:szCs w:val="21"/>
          <w:b w:val="1"/>
          <w:bCs w:val="1"/>
          <w:u w:val="single" w:color="auto"/>
          <w:color w:val="auto"/>
        </w:rPr>
        <w:t>Item 9 – Change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9A –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 and Attestation of Registered Public Accounting Firm</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management’s report on internal control over financial reporting and our registered public accounting firm’s audit report on the effectiveness of our internal control over financial reporting are included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effective as required by the Securities Exchange Act Rule 13a-15(e) and 15d – 15(e) as of the end of the period covered by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since December 31, 2018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28" w:right="899" w:bottom="1440" w:gutter="0" w:footer="0" w:header="0"/>
        </w:sectPr>
      </w:pPr>
    </w:p>
    <w:bookmarkStart w:id="132" w:name="page133"/>
    <w:bookmarkEnd w:id="132"/>
    <w:p>
      <w:pPr>
        <w:jc w:val="center"/>
        <w:ind w:right="-179"/>
        <w:spacing w:after="0"/>
        <w:rPr>
          <w:sz w:val="20"/>
          <w:szCs w:val="20"/>
          <w:color w:val="auto"/>
        </w:rPr>
      </w:pPr>
      <w:r>
        <w:rPr>
          <w:rFonts w:ascii="Arial" w:cs="Arial" w:eastAsia="Arial" w:hAnsi="Arial"/>
          <w:sz w:val="25"/>
          <w:szCs w:val="25"/>
          <w:b w:val="1"/>
          <w:bCs w:val="1"/>
          <w:u w:val="single" w:color="auto"/>
          <w:color w:val="auto"/>
        </w:rPr>
        <w:t>PART III</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10, 11, 12, 13 and 14</w:t>
      </w:r>
    </w:p>
    <w:p>
      <w:pPr>
        <w:spacing w:after="0" w:line="2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Information required by Part III (Items 10, 11, 12, 13 and 14) of this Form 10-K is hereby incorporated by reference from Reading International, Inc.’s definitive Proxy Statement for its 2019 Annual Meeting of Stockholders, which the company intends to be filed with the Securities and Exchange Commission, pursuant to Regulation 14A, not later than 120 days after the end of the fiscal year. The Board of Directors has set the 2019 Annual Meeting of Stockholders for May 7, 2019, and fixed the record date as April 12, 2019.</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20"/>
          </w:cols>
          <w:pgMar w:left="900" w:top="333" w:right="1079" w:bottom="1440" w:gutter="0" w:footer="0" w:header="0"/>
        </w:sectPr>
      </w:pPr>
    </w:p>
    <w:bookmarkStart w:id="133" w:name="page134"/>
    <w:bookmarkEnd w:id="133"/>
    <w:p>
      <w:pPr>
        <w:ind w:left="4560"/>
        <w:spacing w:after="0"/>
        <w:rPr>
          <w:sz w:val="20"/>
          <w:szCs w:val="20"/>
          <w:color w:val="auto"/>
        </w:rPr>
      </w:pPr>
      <w:r>
        <w:rPr>
          <w:rFonts w:ascii="Arial" w:cs="Arial" w:eastAsia="Arial" w:hAnsi="Arial"/>
          <w:sz w:val="25"/>
          <w:szCs w:val="25"/>
          <w:b w:val="1"/>
          <w:bCs w:val="1"/>
          <w:u w:val="single" w:color="auto"/>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15 – Exhibits, Financial Statement Schedules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The following documents are filed as a part of this report:</w:t>
      </w:r>
    </w:p>
    <w:p>
      <w:pPr>
        <w:spacing w:after="0" w:line="200" w:lineRule="exact"/>
        <w:rPr>
          <w:sz w:val="20"/>
          <w:szCs w:val="20"/>
          <w:color w:val="auto"/>
        </w:rPr>
      </w:pPr>
    </w:p>
    <w:p>
      <w:pPr>
        <w:spacing w:after="0" w:line="24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59"/>
          </w:cols>
          <w:pgMar w:left="900" w:top="333" w:right="1440" w:bottom="1440" w:gutter="0" w:footer="0" w:header="0"/>
        </w:sectPr>
      </w:pPr>
    </w:p>
    <w:bookmarkStart w:id="134" w:name="page135"/>
    <w:bookmarkEnd w:id="134"/>
    <w:p>
      <w:pPr>
        <w:ind w:left="220" w:hanging="220"/>
        <w:spacing w:after="0"/>
        <w:tabs>
          <w:tab w:leader="none" w:pos="2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 xml:space="preserve">The following financial statements are filed as part of Part II, Item 8 –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in this Annual Report on Form 10-K, as summarized below:</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6465570" cy="514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780"/>
          </w:cols>
          <w:pgMar w:left="1220" w:top="341" w:right="8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948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Page</w:t>
            </w:r>
          </w:p>
        </w:tc>
        <w:tc>
          <w:tcPr>
            <w:tcW w:w="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0000EE"/>
            </w:tcBorders>
            <w:gridSpan w:val="3"/>
            <w:shd w:val="clear" w:color="auto" w:fill="CCEEFF"/>
          </w:tcPr>
          <w:p>
            <w:pPr>
              <w:spacing w:after="0" w:line="170"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Management’s Report on Internal Control over Financial Reporting</w:t>
              </w:r>
            </w:hyperlink>
          </w:p>
        </w:tc>
        <w:tc>
          <w:tcPr>
            <w:tcW w:w="4620" w:type="dxa"/>
            <w:vAlign w:val="bottom"/>
            <w:tcBorders>
              <w:bottom w:val="single" w:sz="8" w:color="CCEEFF"/>
            </w:tcBorders>
            <w:gridSpan w:val="4"/>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67</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120" w:type="dxa"/>
            <w:vAlign w:val="bottom"/>
          </w:tcPr>
          <w:p>
            <w:pPr>
              <w:spacing w:after="0"/>
              <w:rPr>
                <w:sz w:val="15"/>
                <w:szCs w:val="15"/>
                <w:color w:val="auto"/>
              </w:rPr>
            </w:pPr>
          </w:p>
        </w:tc>
        <w:tc>
          <w:tcPr>
            <w:tcW w:w="9480" w:type="dxa"/>
            <w:vAlign w:val="bottom"/>
            <w:gridSpan w:val="7"/>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Report of Independent Registered Public Accounting Firm (Consolidated Financial Statements)</w:t>
              </w:r>
            </w:hyperlink>
          </w:p>
        </w:tc>
        <w:tc>
          <w:tcPr>
            <w:tcW w:w="300" w:type="dxa"/>
            <w:vAlign w:val="bottom"/>
          </w:tcPr>
          <w:p>
            <w:pPr>
              <w:jc w:val="center"/>
              <w:spacing w:after="0" w:line="176" w:lineRule="exact"/>
              <w:rPr>
                <w:sz w:val="20"/>
                <w:szCs w:val="20"/>
                <w:color w:val="auto"/>
              </w:rPr>
            </w:pPr>
            <w:r>
              <w:rPr>
                <w:rFonts w:ascii="Arial" w:cs="Arial" w:eastAsia="Arial" w:hAnsi="Arial"/>
                <w:sz w:val="18"/>
                <w:szCs w:val="18"/>
                <w:color w:val="auto"/>
                <w:w w:val="89"/>
              </w:rPr>
              <w:t>68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9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Report of Independent Registered Public Accounting Firm (Internal Control over Financial Reporting)</w:t>
              </w:r>
            </w:hyperlink>
          </w:p>
        </w:tc>
        <w:tc>
          <w:tcPr>
            <w:tcW w:w="2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69</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9480" w:type="dxa"/>
            <w:vAlign w:val="bottom"/>
            <w:gridSpan w:val="7"/>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Balance Sheets as of December 31, 2018 and 2017</w:t>
              </w:r>
            </w:hyperlink>
          </w:p>
        </w:tc>
        <w:tc>
          <w:tcPr>
            <w:tcW w:w="30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9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Income for the Three Years Ended December 31, 2018</w:t>
              </w:r>
            </w:hyperlink>
          </w:p>
        </w:tc>
        <w:tc>
          <w:tcPr>
            <w:tcW w:w="3520" w:type="dxa"/>
            <w:vAlign w:val="bottom"/>
            <w:tcBorders>
              <w:bottom w:val="single" w:sz="8" w:color="CCEEFF"/>
            </w:tcBorders>
            <w:gridSpan w:val="3"/>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32"/>
        </w:trPr>
        <w:tc>
          <w:tcPr>
            <w:tcW w:w="6080" w:type="dxa"/>
            <w:vAlign w:val="bottom"/>
            <w:gridSpan w:val="5"/>
          </w:tcPr>
          <w:p>
            <w:pPr>
              <w:jc w:val="right"/>
              <w:ind w:right="740"/>
              <w:spacing w:after="0"/>
              <w:rPr>
                <w:sz w:val="20"/>
                <w:szCs w:val="20"/>
                <w:color w:val="auto"/>
              </w:rPr>
            </w:pPr>
            <w:r>
              <w:rPr>
                <w:rFonts w:ascii="Arial" w:cs="Arial" w:eastAsia="Arial" w:hAnsi="Arial"/>
                <w:sz w:val="18"/>
                <w:szCs w:val="18"/>
                <w:color w:val="auto"/>
              </w:rPr>
              <w:t>- 135 -</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39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546" w:right="8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8340" w:type="dxa"/>
            <w:vAlign w:val="bottom"/>
            <w:gridSpan w:val="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Comprehensive Income for the Three Years Ended December 31, 2018</w:t>
              </w:r>
            </w:hyperlink>
          </w:p>
        </w:tc>
        <w:tc>
          <w:tcPr>
            <w:tcW w:w="1420" w:type="dxa"/>
            <w:vAlign w:val="bottom"/>
            <w:gridSpan w:val="2"/>
          </w:tcPr>
          <w:p>
            <w:pPr>
              <w:jc w:val="center"/>
              <w:ind w:left="1073"/>
              <w:spacing w:after="0"/>
              <w:rPr>
                <w:sz w:val="20"/>
                <w:szCs w:val="20"/>
                <w:color w:val="auto"/>
              </w:rPr>
            </w:pPr>
            <w:r>
              <w:rPr>
                <w:rFonts w:ascii="Arial" w:cs="Arial" w:eastAsia="Arial" w:hAnsi="Arial"/>
                <w:sz w:val="18"/>
                <w:szCs w:val="18"/>
                <w:color w:val="auto"/>
                <w:w w:val="89"/>
              </w:rPr>
              <w:t>72</w:t>
            </w:r>
          </w:p>
        </w:tc>
        <w:tc>
          <w:tcPr>
            <w:tcW w:w="24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Stockholders’ Equity for the Three Years Ended December 31, 2018</w:t>
              </w:r>
            </w:hyperlink>
          </w:p>
        </w:tc>
        <w:tc>
          <w:tcPr>
            <w:tcW w:w="1400" w:type="dxa"/>
            <w:vAlign w:val="bottom"/>
            <w:tcBorders>
              <w:bottom w:val="single" w:sz="8" w:color="CCEEFF"/>
            </w:tcBorders>
            <w:gridSpan w:val="2"/>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center"/>
              <w:ind w:left="1073"/>
              <w:spacing w:after="0" w:line="176" w:lineRule="exact"/>
              <w:rPr>
                <w:sz w:val="20"/>
                <w:szCs w:val="20"/>
                <w:color w:val="auto"/>
              </w:rPr>
            </w:pPr>
            <w:r>
              <w:rPr>
                <w:rFonts w:ascii="Arial" w:cs="Arial" w:eastAsia="Arial" w:hAnsi="Arial"/>
                <w:sz w:val="18"/>
                <w:szCs w:val="18"/>
                <w:color w:val="auto"/>
                <w:w w:val="89"/>
              </w:rPr>
              <w:t>73</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8340" w:type="dxa"/>
            <w:vAlign w:val="bottom"/>
            <w:gridSpan w:val="9"/>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Statements of Cash Flows for the Three Years Ended December 31, 2018</w:t>
              </w:r>
            </w:hyperlink>
          </w:p>
        </w:tc>
        <w:tc>
          <w:tcPr>
            <w:tcW w:w="1420" w:type="dxa"/>
            <w:vAlign w:val="bottom"/>
            <w:gridSpan w:val="2"/>
          </w:tcPr>
          <w:p>
            <w:pPr>
              <w:jc w:val="center"/>
              <w:ind w:left="1073"/>
              <w:spacing w:after="0" w:line="176" w:lineRule="exact"/>
              <w:rPr>
                <w:sz w:val="20"/>
                <w:szCs w:val="20"/>
                <w:color w:val="auto"/>
              </w:rPr>
            </w:pPr>
            <w:r>
              <w:rPr>
                <w:rFonts w:ascii="Arial" w:cs="Arial" w:eastAsia="Arial" w:hAnsi="Arial"/>
                <w:sz w:val="18"/>
                <w:szCs w:val="18"/>
                <w:color w:val="auto"/>
                <w:w w:val="89"/>
              </w:rPr>
              <w:t>74</w:t>
            </w:r>
          </w:p>
        </w:tc>
        <w:tc>
          <w:tcPr>
            <w:tcW w:w="24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8340" w:type="dxa"/>
            <w:vAlign w:val="bottom"/>
            <w:gridSpan w:val="9"/>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w:t>
              </w:r>
            </w:hyperlink>
          </w:p>
        </w:tc>
        <w:tc>
          <w:tcPr>
            <w:tcW w:w="1420" w:type="dxa"/>
            <w:vAlign w:val="bottom"/>
            <w:gridSpan w:val="2"/>
            <w:shd w:val="clear" w:color="auto" w:fill="CCEEFF"/>
          </w:tcPr>
          <w:p>
            <w:pPr>
              <w:jc w:val="center"/>
              <w:ind w:left="1073"/>
              <w:spacing w:after="0" w:line="176" w:lineRule="exact"/>
              <w:rPr>
                <w:sz w:val="20"/>
                <w:szCs w:val="20"/>
                <w:color w:val="auto"/>
              </w:rPr>
            </w:pPr>
            <w:r>
              <w:rPr>
                <w:rFonts w:ascii="Arial" w:cs="Arial" w:eastAsia="Arial" w:hAnsi="Arial"/>
                <w:sz w:val="18"/>
                <w:szCs w:val="18"/>
                <w:color w:val="auto"/>
                <w:w w:val="89"/>
              </w:rPr>
              <w:t>75</w:t>
            </w:r>
          </w:p>
        </w:tc>
        <w:tc>
          <w:tcPr>
            <w:tcW w:w="24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419"/>
        </w:trPr>
        <w:tc>
          <w:tcPr>
            <w:tcW w:w="1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8"/>
                <w:szCs w:val="18"/>
                <w:i w:val="1"/>
                <w:iCs w:val="1"/>
                <w:color w:val="auto"/>
              </w:rPr>
              <w:t>2.</w:t>
            </w:r>
          </w:p>
        </w:tc>
        <w:tc>
          <w:tcPr>
            <w:tcW w:w="7920" w:type="dxa"/>
            <w:vAlign w:val="bottom"/>
            <w:gridSpan w:val="8"/>
          </w:tcPr>
          <w:p>
            <w:pPr>
              <w:spacing w:after="0"/>
              <w:rPr>
                <w:sz w:val="20"/>
                <w:szCs w:val="20"/>
                <w:color w:val="auto"/>
              </w:rPr>
            </w:pPr>
            <w:r>
              <w:rPr>
                <w:rFonts w:ascii="Arial" w:cs="Arial" w:eastAsia="Arial" w:hAnsi="Arial"/>
                <w:sz w:val="18"/>
                <w:szCs w:val="18"/>
                <w:i w:val="1"/>
                <w:iCs w:val="1"/>
                <w:color w:val="auto"/>
              </w:rPr>
              <w:t>Financial Statements and Schedules for the years ended December 31, 2018, 2017, and 2016</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834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3"/>
          </w:tcPr>
          <w:p>
            <w:pPr>
              <w:jc w:val="center"/>
              <w:ind w:left="793"/>
              <w:spacing w:after="0"/>
              <w:rPr>
                <w:sz w:val="20"/>
                <w:szCs w:val="20"/>
                <w:color w:val="auto"/>
              </w:rPr>
            </w:pPr>
            <w:r>
              <w:rPr>
                <w:rFonts w:ascii="Arial" w:cs="Arial" w:eastAsia="Arial" w:hAnsi="Arial"/>
                <w:sz w:val="14"/>
                <w:szCs w:val="14"/>
                <w:b w:val="1"/>
                <w:bCs w:val="1"/>
                <w:color w:val="auto"/>
                <w:w w:val="89"/>
              </w:rPr>
              <w:t>Page</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0"/>
        </w:trPr>
        <w:tc>
          <w:tcPr>
            <w:tcW w:w="120" w:type="dxa"/>
            <w:vAlign w:val="bottom"/>
            <w:shd w:val="clear" w:color="auto" w:fill="CCEEFF"/>
          </w:tcPr>
          <w:p>
            <w:pPr>
              <w:spacing w:after="0"/>
              <w:rPr>
                <w:sz w:val="16"/>
                <w:szCs w:val="16"/>
                <w:color w:val="auto"/>
              </w:rPr>
            </w:pPr>
          </w:p>
        </w:tc>
        <w:tc>
          <w:tcPr>
            <w:tcW w:w="8340" w:type="dxa"/>
            <w:vAlign w:val="bottom"/>
            <w:gridSpan w:val="9"/>
            <w:shd w:val="clear" w:color="auto" w:fill="CCEEFF"/>
          </w:tcPr>
          <w:p>
            <w:pPr>
              <w:spacing w:after="0" w:line="170" w:lineRule="exact"/>
              <w:rPr>
                <w:rFonts w:ascii="Arial" w:cs="Arial" w:eastAsia="Arial" w:hAnsi="Arial"/>
                <w:sz w:val="18"/>
                <w:szCs w:val="18"/>
                <w:color w:val="0000EE"/>
              </w:rPr>
            </w:pPr>
            <w:hyperlink w:anchor="page131">
              <w:r>
                <w:rPr>
                  <w:rFonts w:ascii="Arial" w:cs="Arial" w:eastAsia="Arial" w:hAnsi="Arial"/>
                  <w:sz w:val="18"/>
                  <w:szCs w:val="18"/>
                  <w:color w:val="0000EE"/>
                </w:rPr>
                <w:t>Schedule II – Valuation and Qualifying Accounts</w:t>
              </w:r>
            </w:hyperlink>
          </w:p>
        </w:tc>
        <w:tc>
          <w:tcPr>
            <w:tcW w:w="1420" w:type="dxa"/>
            <w:vAlign w:val="bottom"/>
            <w:gridSpan w:val="2"/>
            <w:shd w:val="clear" w:color="auto" w:fill="CCEEFF"/>
          </w:tcPr>
          <w:p>
            <w:pPr>
              <w:jc w:val="center"/>
              <w:ind w:left="1033"/>
              <w:spacing w:after="0" w:line="170" w:lineRule="exact"/>
              <w:rPr>
                <w:sz w:val="20"/>
                <w:szCs w:val="20"/>
                <w:color w:val="auto"/>
              </w:rPr>
            </w:pPr>
            <w:r>
              <w:rPr>
                <w:rFonts w:ascii="Arial" w:cs="Arial" w:eastAsia="Arial" w:hAnsi="Arial"/>
                <w:sz w:val="18"/>
                <w:szCs w:val="18"/>
                <w:color w:val="auto"/>
                <w:w w:val="86"/>
              </w:rPr>
              <w:t>112</w:t>
            </w:r>
          </w:p>
        </w:tc>
        <w:tc>
          <w:tcPr>
            <w:tcW w:w="240" w:type="dxa"/>
            <w:vAlign w:val="bottom"/>
            <w:shd w:val="clear" w:color="auto" w:fill="CCEEFF"/>
          </w:tcPr>
          <w:p>
            <w:pPr>
              <w:spacing w:after="0"/>
              <w:rPr>
                <w:sz w:val="16"/>
                <w:szCs w:val="16"/>
                <w:color w:val="auto"/>
              </w:rPr>
            </w:pPr>
          </w:p>
        </w:tc>
      </w:tr>
      <w:tr>
        <w:trPr>
          <w:trHeight w:val="392"/>
        </w:trPr>
        <w:tc>
          <w:tcPr>
            <w:tcW w:w="120" w:type="dxa"/>
            <w:vAlign w:val="bottom"/>
            <w:tcBorders>
              <w:top w:val="single" w:sz="8" w:color="CCEEFF"/>
            </w:tcBorders>
          </w:tcPr>
          <w:p>
            <w:pPr>
              <w:spacing w:after="0"/>
              <w:rPr>
                <w:sz w:val="24"/>
                <w:szCs w:val="24"/>
                <w:color w:val="auto"/>
              </w:rPr>
            </w:pPr>
          </w:p>
        </w:tc>
        <w:tc>
          <w:tcPr>
            <w:tcW w:w="420" w:type="dxa"/>
            <w:vAlign w:val="bottom"/>
            <w:tcBorders>
              <w:top w:val="single" w:sz="8" w:color="0000EE"/>
            </w:tcBorders>
          </w:tcPr>
          <w:p>
            <w:pPr>
              <w:ind w:left="200"/>
              <w:spacing w:after="0"/>
              <w:rPr>
                <w:sz w:val="20"/>
                <w:szCs w:val="20"/>
                <w:color w:val="auto"/>
              </w:rPr>
            </w:pPr>
            <w:r>
              <w:rPr>
                <w:rFonts w:ascii="Arial" w:cs="Arial" w:eastAsia="Arial" w:hAnsi="Arial"/>
                <w:sz w:val="18"/>
                <w:szCs w:val="18"/>
                <w:color w:val="auto"/>
              </w:rPr>
              <w:t>3.</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i w:val="1"/>
                <w:iCs w:val="1"/>
                <w:color w:val="0000EE"/>
                <w:w w:val="91"/>
              </w:rPr>
            </w:pPr>
            <w:hyperlink w:anchor="page139">
              <w:r>
                <w:rPr>
                  <w:rFonts w:ascii="Arial" w:cs="Arial" w:eastAsia="Arial" w:hAnsi="Arial"/>
                  <w:sz w:val="18"/>
                  <w:szCs w:val="18"/>
                  <w:i w:val="1"/>
                  <w:iCs w:val="1"/>
                  <w:color w:val="0000EE"/>
                  <w:w w:val="91"/>
                </w:rPr>
                <w:t>Exhibits</w:t>
              </w:r>
            </w:hyperlink>
          </w:p>
        </w:tc>
        <w:tc>
          <w:tcPr>
            <w:tcW w:w="2520" w:type="dxa"/>
            <w:vAlign w:val="bottom"/>
            <w:tcBorders>
              <w:top w:val="single" w:sz="8" w:color="0000EE"/>
            </w:tcBorders>
            <w:gridSpan w:val="2"/>
          </w:tcPr>
          <w:p>
            <w:pPr>
              <w:spacing w:after="0"/>
              <w:rPr>
                <w:sz w:val="24"/>
                <w:szCs w:val="24"/>
                <w:color w:val="auto"/>
              </w:rPr>
            </w:pPr>
          </w:p>
        </w:tc>
        <w:tc>
          <w:tcPr>
            <w:tcW w:w="4800" w:type="dxa"/>
            <w:vAlign w:val="bottom"/>
            <w:tcBorders>
              <w:top w:val="single" w:sz="8" w:color="CCEEFF"/>
            </w:tcBorders>
            <w:gridSpan w:val="4"/>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453"/>
        </w:trPr>
        <w:tc>
          <w:tcPr>
            <w:tcW w:w="1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w w:val="90"/>
              </w:rPr>
              <w:t>(b)</w:t>
            </w:r>
          </w:p>
        </w:tc>
        <w:tc>
          <w:tcPr>
            <w:tcW w:w="7920" w:type="dxa"/>
            <w:vAlign w:val="bottom"/>
            <w:gridSpan w:val="8"/>
          </w:tcPr>
          <w:p>
            <w:pPr>
              <w:ind w:left="80"/>
              <w:spacing w:after="0"/>
              <w:rPr>
                <w:sz w:val="20"/>
                <w:szCs w:val="20"/>
                <w:color w:val="auto"/>
              </w:rPr>
            </w:pPr>
            <w:r>
              <w:rPr>
                <w:rFonts w:ascii="Arial" w:cs="Arial" w:eastAsia="Arial" w:hAnsi="Arial"/>
                <w:sz w:val="18"/>
                <w:szCs w:val="18"/>
                <w:color w:val="auto"/>
              </w:rPr>
              <w:t>Exhibits</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(a) 3. above.</w:t>
      </w:r>
    </w:p>
    <w:p>
      <w:pPr>
        <w:spacing w:after="0" w:line="225" w:lineRule="exact"/>
        <w:rPr>
          <w:sz w:val="20"/>
          <w:szCs w:val="20"/>
          <w:color w:val="auto"/>
        </w:rPr>
      </w:pPr>
    </w:p>
    <w:p>
      <w:pPr>
        <w:ind w:left="320" w:right="7380"/>
        <w:spacing w:after="0" w:line="624" w:lineRule="auto"/>
        <w:tabs>
          <w:tab w:leader="none" w:pos="61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Financial Statement Schedule See Item (a) 2. above.</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24" w:right="87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70485</wp:posOffset>
            </wp:positionV>
            <wp:extent cx="6465570" cy="514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38" w:name="page139"/>
    <w:bookmarkEnd w:id="138"/>
    <w:p>
      <w:pPr>
        <w:jc w:val="center"/>
        <w:ind w:right="-319"/>
        <w:spacing w:after="0"/>
        <w:rPr>
          <w:sz w:val="20"/>
          <w:szCs w:val="20"/>
          <w:color w:val="auto"/>
        </w:rPr>
      </w:pPr>
      <w:r>
        <w:rPr>
          <w:rFonts w:ascii="Arial" w:cs="Arial" w:eastAsia="Arial" w:hAnsi="Arial"/>
          <w:sz w:val="25"/>
          <w:szCs w:val="25"/>
          <w:b w:val="1"/>
          <w:bCs w:val="1"/>
          <w:u w:val="single" w:color="auto"/>
          <w:color w:val="auto"/>
        </w:rPr>
        <w:t>EXHIBITS</w:t>
      </w:r>
    </w:p>
    <w:p>
      <w:pPr>
        <w:spacing w:after="0" w:line="13" w:lineRule="exact"/>
        <w:rPr>
          <w:sz w:val="20"/>
          <w:szCs w:val="20"/>
          <w:color w:val="auto"/>
        </w:rPr>
      </w:pPr>
    </w:p>
    <w:p>
      <w:pPr>
        <w:ind w:left="2540" w:hanging="100"/>
        <w:spacing w:after="0"/>
        <w:tabs>
          <w:tab w:leader="none" w:pos="2540" w:val="left"/>
        </w:tabs>
        <w:numPr>
          <w:ilvl w:val="1"/>
          <w:numId w:val="103"/>
        </w:numPr>
        <w:rPr>
          <w:rFonts w:ascii="Arial" w:cs="Arial" w:eastAsia="Arial" w:hAnsi="Arial"/>
          <w:sz w:val="14"/>
          <w:szCs w:val="14"/>
          <w:i w:val="1"/>
          <w:iCs w:val="1"/>
          <w:color w:val="auto"/>
        </w:rPr>
      </w:pPr>
      <w:r>
        <w:rPr>
          <w:rFonts w:ascii="Arial" w:cs="Arial" w:eastAsia="Arial" w:hAnsi="Arial"/>
          <w:sz w:val="14"/>
          <w:szCs w:val="14"/>
          <w:i w:val="1"/>
          <w:iCs w:val="1"/>
          <w:color w:val="auto"/>
        </w:rPr>
        <w:t>These exhibits constitute the executive compensation plans and arrangements of the Company.</w:t>
      </w:r>
    </w:p>
    <w:p>
      <w:pPr>
        <w:ind w:left="2080" w:hanging="139"/>
        <w:spacing w:after="0"/>
        <w:tabs>
          <w:tab w:leader="none" w:pos="2080" w:val="left"/>
        </w:tabs>
        <w:numPr>
          <w:ilvl w:val="0"/>
          <w:numId w:val="103"/>
        </w:numPr>
        <w:rPr>
          <w:rFonts w:ascii="Arial" w:cs="Arial" w:eastAsia="Arial" w:hAnsi="Arial"/>
          <w:sz w:val="14"/>
          <w:szCs w:val="14"/>
          <w:i w:val="1"/>
          <w:iCs w:val="1"/>
          <w:color w:val="auto"/>
        </w:rPr>
      </w:pPr>
      <w:r>
        <w:rPr>
          <w:rFonts w:ascii="Arial" w:cs="Arial" w:eastAsia="Arial" w:hAnsi="Arial"/>
          <w:sz w:val="14"/>
          <w:szCs w:val="14"/>
          <w:i w:val="1"/>
          <w:iCs w:val="1"/>
          <w:color w:val="auto"/>
        </w:rPr>
        <w:t>These exhibits are filed as part of this Form 10-K Filing. Links are included within the “</w:t>
      </w:r>
      <w:r>
        <w:rPr>
          <w:rFonts w:ascii="Arial" w:cs="Arial" w:eastAsia="Arial" w:hAnsi="Arial"/>
          <w:sz w:val="14"/>
          <w:szCs w:val="14"/>
          <w:b w:val="1"/>
          <w:bCs w:val="1"/>
          <w:color w:val="auto"/>
        </w:rPr>
        <w:t>Description</w:t>
      </w:r>
      <w:r>
        <w:rPr>
          <w:rFonts w:ascii="Arial" w:cs="Arial" w:eastAsia="Arial" w:hAnsi="Arial"/>
          <w:sz w:val="14"/>
          <w:szCs w:val="14"/>
          <w:i w:val="1"/>
          <w:iCs w:val="1"/>
          <w:color w:val="auto"/>
        </w:rPr>
        <w:t>” column.</w:t>
      </w:r>
    </w:p>
    <w:p>
      <w:pPr>
        <w:ind w:left="1700" w:hanging="99"/>
        <w:spacing w:after="0" w:line="229" w:lineRule="auto"/>
        <w:tabs>
          <w:tab w:leader="none" w:pos="1700" w:val="left"/>
        </w:tabs>
        <w:numPr>
          <w:ilvl w:val="0"/>
          <w:numId w:val="104"/>
        </w:numPr>
        <w:rPr>
          <w:rFonts w:ascii="Arial" w:cs="Arial" w:eastAsia="Arial" w:hAnsi="Arial"/>
          <w:sz w:val="18"/>
          <w:szCs w:val="18"/>
          <w:color w:val="auto"/>
          <w:vertAlign w:val="superscript"/>
        </w:rPr>
      </w:pPr>
      <w:r>
        <w:rPr>
          <w:rFonts w:ascii="Arial" w:cs="Arial" w:eastAsia="Arial" w:hAnsi="Arial"/>
          <w:sz w:val="14"/>
          <w:szCs w:val="14"/>
          <w:i w:val="1"/>
          <w:iCs w:val="1"/>
          <w:color w:val="auto"/>
        </w:rPr>
        <w:t>Included is the amended and restated version of this exhibit, redlined to show the amendment adopted on November 7,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Exhibit</w:t>
            </w:r>
          </w:p>
        </w:tc>
        <w:tc>
          <w:tcPr>
            <w:tcW w:w="4360" w:type="dxa"/>
            <w:vAlign w:val="bottom"/>
            <w:gridSpan w:val="3"/>
            <w:vMerge w:val="restart"/>
          </w:tcPr>
          <w:p>
            <w:pPr>
              <w:ind w:left="1720"/>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17"/>
            <w:vMerge w:val="restart"/>
          </w:tcPr>
          <w:p>
            <w:pPr>
              <w:ind w:left="220"/>
              <w:spacing w:after="0"/>
              <w:rPr>
                <w:sz w:val="20"/>
                <w:szCs w:val="20"/>
                <w:color w:val="auto"/>
              </w:rPr>
            </w:pPr>
            <w:r>
              <w:rPr>
                <w:rFonts w:ascii="Arial" w:cs="Arial" w:eastAsia="Arial" w:hAnsi="Arial"/>
                <w:sz w:val="14"/>
                <w:szCs w:val="14"/>
                <w:b w:val="1"/>
                <w:bCs w:val="1"/>
                <w:color w:val="auto"/>
              </w:rPr>
              <w:t>Links for Exhibits Incorporated by Reference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8"/>
              </w:rPr>
              <w:t>No.</w:t>
            </w:r>
          </w:p>
        </w:tc>
        <w:tc>
          <w:tcPr>
            <w:tcW w:w="4360" w:type="dxa"/>
            <w:vAlign w:val="bottom"/>
            <w:tcBorders>
              <w:bottom w:val="single" w:sz="8" w:color="auto"/>
            </w:tcBorders>
            <w:gridSpan w:val="3"/>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jc w:val="center"/>
              <w:ind w:right="40"/>
              <w:spacing w:after="0" w:line="162" w:lineRule="exact"/>
              <w:rPr>
                <w:sz w:val="20"/>
                <w:szCs w:val="20"/>
                <w:color w:val="auto"/>
              </w:rPr>
            </w:pPr>
            <w:r>
              <w:rPr>
                <w:rFonts w:ascii="Arial" w:cs="Arial" w:eastAsia="Arial" w:hAnsi="Arial"/>
                <w:sz w:val="16"/>
                <w:szCs w:val="16"/>
                <w:color w:val="auto"/>
                <w:w w:val="89"/>
              </w:rPr>
              <w:t>3.1</w:t>
            </w:r>
          </w:p>
        </w:tc>
        <w:tc>
          <w:tcPr>
            <w:tcW w:w="436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Amended and Restated Articles of Incorporation of Reading</w:t>
            </w:r>
          </w:p>
        </w:tc>
        <w:tc>
          <w:tcPr>
            <w:tcW w:w="4680" w:type="dxa"/>
            <w:vAlign w:val="bottom"/>
            <w:gridSpan w:val="19"/>
            <w:shd w:val="clear" w:color="auto" w:fill="CCEEFF"/>
          </w:tcPr>
          <w:p>
            <w:pPr>
              <w:spacing w:after="0" w:line="162" w:lineRule="exact"/>
              <w:rPr>
                <w:rFonts w:ascii="Arial" w:cs="Arial" w:eastAsia="Arial" w:hAnsi="Arial"/>
                <w:sz w:val="16"/>
                <w:szCs w:val="16"/>
                <w:color w:val="auto"/>
                <w:w w:val="95"/>
              </w:rPr>
            </w:pPr>
            <w:hyperlink r:id="rId271">
              <w:r>
                <w:rPr>
                  <w:rFonts w:ascii="Arial" w:cs="Arial" w:eastAsia="Arial" w:hAnsi="Arial"/>
                  <w:sz w:val="16"/>
                  <w:szCs w:val="16"/>
                  <w:color w:val="auto"/>
                  <w:w w:val="95"/>
                </w:rPr>
                <w:t xml:space="preserve">Filed as </w:t>
              </w:r>
              <w:r>
                <w:rPr>
                  <w:rFonts w:ascii="Arial" w:cs="Arial" w:eastAsia="Arial" w:hAnsi="Arial"/>
                  <w:sz w:val="16"/>
                  <w:szCs w:val="16"/>
                  <w:b w:val="1"/>
                  <w:bCs w:val="1"/>
                  <w:color w:val="0000EE"/>
                  <w:w w:val="95"/>
                </w:rPr>
                <w:t>Exhibit 3.1 to the Company’s Annual Report on Form 10-</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436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color w:val="auto"/>
              </w:rPr>
              <w:t>International, Inc., a Nevada corporation, effective as of</w:t>
            </w:r>
          </w:p>
        </w:tc>
        <w:tc>
          <w:tcPr>
            <w:tcW w:w="4680" w:type="dxa"/>
            <w:vAlign w:val="bottom"/>
            <w:gridSpan w:val="19"/>
            <w:shd w:val="clear" w:color="auto" w:fill="CCEEFF"/>
          </w:tcPr>
          <w:p>
            <w:pPr>
              <w:spacing w:after="0" w:line="183" w:lineRule="exact"/>
              <w:rPr>
                <w:rFonts w:ascii="Arial" w:cs="Arial" w:eastAsia="Arial" w:hAnsi="Arial"/>
                <w:sz w:val="16"/>
                <w:szCs w:val="16"/>
                <w:b w:val="1"/>
                <w:bCs w:val="1"/>
                <w:color w:val="0000EE"/>
                <w:w w:val="99"/>
              </w:rPr>
            </w:pPr>
            <w:hyperlink r:id="rId271">
              <w:r>
                <w:rPr>
                  <w:rFonts w:ascii="Arial" w:cs="Arial" w:eastAsia="Arial" w:hAnsi="Arial"/>
                  <w:sz w:val="16"/>
                  <w:szCs w:val="16"/>
                  <w:b w:val="1"/>
                  <w:bCs w:val="1"/>
                  <w:color w:val="0000EE"/>
                  <w:w w:val="99"/>
                </w:rPr>
                <w:t>K for the year ended December 31, 2015</w:t>
              </w:r>
              <w:r>
                <w:rPr>
                  <w:rFonts w:ascii="Arial" w:cs="Arial" w:eastAsia="Arial" w:hAnsi="Arial"/>
                  <w:sz w:val="16"/>
                  <w:szCs w:val="16"/>
                  <w:color w:val="000000"/>
                  <w:w w:val="99"/>
                </w:rPr>
                <w:t>, filed on April 29, 2016</w:t>
              </w:r>
            </w:hyperlink>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August 6, 2014</w:t>
            </w:r>
          </w:p>
        </w:tc>
        <w:tc>
          <w:tcPr>
            <w:tcW w:w="2780" w:type="dxa"/>
            <w:vAlign w:val="bottom"/>
            <w:tcBorders>
              <w:top w:val="single" w:sz="8" w:color="0000EE"/>
            </w:tcBorders>
            <w:gridSpan w:val="13"/>
            <w:shd w:val="clear" w:color="auto" w:fill="CCEEFF"/>
          </w:tcPr>
          <w:p>
            <w:pPr>
              <w:spacing w:after="0"/>
              <w:rPr>
                <w:sz w:val="20"/>
                <w:szCs w:val="20"/>
                <w:color w:val="auto"/>
              </w:rPr>
            </w:pPr>
            <w:r>
              <w:rPr>
                <w:rFonts w:ascii="Arial" w:cs="Arial" w:eastAsia="Arial" w:hAnsi="Arial"/>
                <w:sz w:val="16"/>
                <w:szCs w:val="16"/>
                <w:color w:val="auto"/>
              </w:rPr>
              <w:t>and incorporated herein by reference.</w:t>
            </w:r>
          </w:p>
        </w:tc>
        <w:tc>
          <w:tcPr>
            <w:tcW w:w="1900" w:type="dxa"/>
            <w:vAlign w:val="bottom"/>
            <w:tcBorders>
              <w:top w:val="single" w:sz="8" w:color="CCEEFF"/>
            </w:tcBorders>
            <w:gridSpan w:val="6"/>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ind w:right="40"/>
              <w:spacing w:after="0" w:line="162" w:lineRule="exact"/>
              <w:rPr>
                <w:sz w:val="20"/>
                <w:szCs w:val="20"/>
                <w:color w:val="auto"/>
              </w:rPr>
            </w:pPr>
            <w:r>
              <w:rPr>
                <w:rFonts w:ascii="Arial" w:cs="Arial" w:eastAsia="Arial" w:hAnsi="Arial"/>
                <w:sz w:val="16"/>
                <w:szCs w:val="16"/>
                <w:color w:val="auto"/>
                <w:w w:val="88"/>
              </w:rPr>
              <w:t>3.2+</w:t>
            </w:r>
          </w:p>
        </w:tc>
        <w:tc>
          <w:tcPr>
            <w:tcW w:w="4360" w:type="dxa"/>
            <w:vAlign w:val="bottom"/>
            <w:gridSpan w:val="3"/>
          </w:tcPr>
          <w:p>
            <w:pPr>
              <w:spacing w:after="0" w:line="162" w:lineRule="exact"/>
              <w:rPr>
                <w:sz w:val="20"/>
                <w:szCs w:val="20"/>
                <w:color w:val="auto"/>
              </w:rPr>
            </w:pPr>
            <w:r>
              <w:rPr>
                <w:rFonts w:ascii="Arial" w:cs="Arial" w:eastAsia="Arial" w:hAnsi="Arial"/>
                <w:sz w:val="16"/>
                <w:szCs w:val="16"/>
                <w:color w:val="auto"/>
                <w:w w:val="99"/>
              </w:rPr>
              <w:t>Amended and Restated Bylaws of Reading International, Inc.,</w:t>
            </w:r>
          </w:p>
        </w:tc>
        <w:tc>
          <w:tcPr>
            <w:tcW w:w="4680" w:type="dxa"/>
            <w:vAlign w:val="bottom"/>
            <w:gridSpan w:val="19"/>
          </w:tcPr>
          <w:p>
            <w:pPr>
              <w:spacing w:after="0" w:line="162" w:lineRule="exact"/>
              <w:rPr>
                <w:rFonts w:ascii="Arial" w:cs="Arial" w:eastAsia="Arial" w:hAnsi="Arial"/>
                <w:sz w:val="16"/>
                <w:szCs w:val="16"/>
                <w:color w:val="auto"/>
                <w:w w:val="95"/>
              </w:rPr>
            </w:pPr>
            <w:hyperlink r:id="rId272">
              <w:r>
                <w:rPr>
                  <w:rFonts w:ascii="Arial" w:cs="Arial" w:eastAsia="Arial" w:hAnsi="Arial"/>
                  <w:sz w:val="16"/>
                  <w:szCs w:val="16"/>
                  <w:color w:val="auto"/>
                  <w:w w:val="95"/>
                </w:rPr>
                <w:t xml:space="preserve">Filed as </w:t>
              </w:r>
              <w:r>
                <w:rPr>
                  <w:rFonts w:ascii="Arial" w:cs="Arial" w:eastAsia="Arial" w:hAnsi="Arial"/>
                  <w:sz w:val="16"/>
                  <w:szCs w:val="16"/>
                  <w:b w:val="1"/>
                  <w:bCs w:val="1"/>
                  <w:color w:val="0000EE"/>
                  <w:w w:val="95"/>
                </w:rPr>
                <w:t>Exhibit 3.2 to the Company’s Annual Report on Form 10-</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4360" w:type="dxa"/>
            <w:vAlign w:val="bottom"/>
            <w:gridSpan w:val="3"/>
          </w:tcPr>
          <w:p>
            <w:pPr>
              <w:spacing w:after="0" w:line="183" w:lineRule="exact"/>
              <w:rPr>
                <w:sz w:val="20"/>
                <w:szCs w:val="20"/>
                <w:color w:val="auto"/>
              </w:rPr>
            </w:pPr>
            <w:r>
              <w:rPr>
                <w:rFonts w:ascii="Arial" w:cs="Arial" w:eastAsia="Arial" w:hAnsi="Arial"/>
                <w:sz w:val="16"/>
                <w:szCs w:val="16"/>
                <w:color w:val="auto"/>
              </w:rPr>
              <w:t>a Nevada corporation, effective as of November 7, 2017</w:t>
            </w:r>
            <w:r>
              <w:rPr>
                <w:rFonts w:ascii="Arial" w:cs="Arial" w:eastAsia="Arial" w:hAnsi="Arial"/>
                <w:sz w:val="17"/>
                <w:szCs w:val="17"/>
                <w:color w:val="auto"/>
                <w:vertAlign w:val="superscript"/>
              </w:rPr>
              <w:t>(1)</w:t>
            </w:r>
          </w:p>
        </w:tc>
        <w:tc>
          <w:tcPr>
            <w:tcW w:w="4680" w:type="dxa"/>
            <w:vAlign w:val="bottom"/>
            <w:gridSpan w:val="19"/>
          </w:tcPr>
          <w:p>
            <w:pPr>
              <w:spacing w:after="0" w:line="183" w:lineRule="exact"/>
              <w:rPr>
                <w:rFonts w:ascii="Arial" w:cs="Arial" w:eastAsia="Arial" w:hAnsi="Arial"/>
                <w:sz w:val="16"/>
                <w:szCs w:val="16"/>
                <w:b w:val="1"/>
                <w:bCs w:val="1"/>
                <w:color w:val="0000EE"/>
                <w:w w:val="97"/>
              </w:rPr>
            </w:pPr>
            <w:hyperlink r:id="rId272">
              <w:r>
                <w:rPr>
                  <w:rFonts w:ascii="Arial" w:cs="Arial" w:eastAsia="Arial" w:hAnsi="Arial"/>
                  <w:sz w:val="16"/>
                  <w:szCs w:val="16"/>
                  <w:b w:val="1"/>
                  <w:bCs w:val="1"/>
                  <w:color w:val="0000EE"/>
                  <w:w w:val="97"/>
                </w:rPr>
                <w:t>K for the year ended December 31, 2017</w:t>
              </w:r>
              <w:r>
                <w:rPr>
                  <w:rFonts w:ascii="Arial" w:cs="Arial" w:eastAsia="Arial" w:hAnsi="Arial"/>
                  <w:sz w:val="16"/>
                  <w:szCs w:val="16"/>
                  <w:b w:val="1"/>
                  <w:bCs w:val="1"/>
                  <w:color w:val="000000"/>
                  <w:w w:val="97"/>
                </w:rPr>
                <w:t>,</w:t>
              </w:r>
              <w:r>
                <w:rPr>
                  <w:rFonts w:ascii="Arial" w:cs="Arial" w:eastAsia="Arial" w:hAnsi="Arial"/>
                  <w:sz w:val="16"/>
                  <w:szCs w:val="16"/>
                  <w:b w:val="1"/>
                  <w:bCs w:val="1"/>
                  <w:color w:val="0000EE"/>
                  <w:w w:val="97"/>
                </w:rPr>
                <w:t xml:space="preserve"> </w:t>
              </w:r>
              <w:r>
                <w:rPr>
                  <w:rFonts w:ascii="Arial" w:cs="Arial" w:eastAsia="Arial" w:hAnsi="Arial"/>
                  <w:sz w:val="16"/>
                  <w:szCs w:val="16"/>
                  <w:color w:val="000000"/>
                  <w:w w:val="97"/>
                </w:rPr>
                <w:t>filed on March 16, 2018</w:t>
              </w:r>
            </w:hyperlink>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tcBorders>
              <w:top w:val="single" w:sz="8" w:color="0000EE"/>
            </w:tcBorders>
            <w:gridSpan w:val="13"/>
          </w:tcPr>
          <w:p>
            <w:pPr>
              <w:spacing w:after="0"/>
              <w:rPr>
                <w:sz w:val="20"/>
                <w:szCs w:val="20"/>
                <w:color w:val="auto"/>
              </w:rPr>
            </w:pPr>
            <w:r>
              <w:rPr>
                <w:rFonts w:ascii="Arial" w:cs="Arial" w:eastAsia="Arial" w:hAnsi="Arial"/>
                <w:sz w:val="16"/>
                <w:szCs w:val="16"/>
                <w:color w:val="auto"/>
              </w:rPr>
              <w:t>and incorporated herein by reference.</w:t>
            </w:r>
          </w:p>
        </w:tc>
        <w:tc>
          <w:tcPr>
            <w:tcW w:w="19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080" w:type="dxa"/>
            <w:vAlign w:val="bottom"/>
            <w:shd w:val="clear" w:color="auto" w:fill="CCEEFF"/>
          </w:tcPr>
          <w:p>
            <w:pPr>
              <w:jc w:val="center"/>
              <w:ind w:right="40"/>
              <w:spacing w:after="0" w:line="165" w:lineRule="exact"/>
              <w:rPr>
                <w:sz w:val="20"/>
                <w:szCs w:val="20"/>
                <w:color w:val="auto"/>
              </w:rPr>
            </w:pPr>
            <w:r>
              <w:rPr>
                <w:rFonts w:ascii="Arial" w:cs="Arial" w:eastAsia="Arial" w:hAnsi="Arial"/>
                <w:sz w:val="16"/>
                <w:szCs w:val="16"/>
                <w:color w:val="auto"/>
                <w:w w:val="89"/>
              </w:rPr>
              <w:t>4.1</w:t>
            </w:r>
          </w:p>
        </w:tc>
        <w:tc>
          <w:tcPr>
            <w:tcW w:w="4360" w:type="dxa"/>
            <w:vAlign w:val="bottom"/>
            <w:gridSpan w:val="3"/>
            <w:shd w:val="clear" w:color="auto" w:fill="CCEEFF"/>
          </w:tcPr>
          <w:p>
            <w:pPr>
              <w:spacing w:after="0" w:line="165" w:lineRule="exact"/>
              <w:rPr>
                <w:sz w:val="20"/>
                <w:szCs w:val="20"/>
                <w:color w:val="auto"/>
              </w:rPr>
            </w:pPr>
            <w:r>
              <w:rPr>
                <w:rFonts w:ascii="Arial" w:cs="Arial" w:eastAsia="Arial" w:hAnsi="Arial"/>
                <w:sz w:val="16"/>
                <w:szCs w:val="16"/>
                <w:color w:val="auto"/>
              </w:rPr>
              <w:t>Form of Preferred Securities Certificate evidencing the</w:t>
            </w:r>
          </w:p>
        </w:tc>
        <w:tc>
          <w:tcPr>
            <w:tcW w:w="4680" w:type="dxa"/>
            <w:vAlign w:val="bottom"/>
            <w:gridSpan w:val="19"/>
            <w:shd w:val="clear" w:color="auto" w:fill="CCEEFF"/>
          </w:tcPr>
          <w:p>
            <w:pPr>
              <w:spacing w:after="0" w:line="165" w:lineRule="exact"/>
              <w:rPr>
                <w:rFonts w:ascii="Arial" w:cs="Arial" w:eastAsia="Arial" w:hAnsi="Arial"/>
                <w:sz w:val="16"/>
                <w:szCs w:val="16"/>
                <w:color w:val="auto"/>
                <w:w w:val="95"/>
              </w:rPr>
            </w:pPr>
            <w:hyperlink r:id="rId273">
              <w:r>
                <w:rPr>
                  <w:rFonts w:ascii="Arial" w:cs="Arial" w:eastAsia="Arial" w:hAnsi="Arial"/>
                  <w:sz w:val="16"/>
                  <w:szCs w:val="16"/>
                  <w:color w:val="auto"/>
                  <w:w w:val="95"/>
                </w:rPr>
                <w:t xml:space="preserve">Filed as </w:t>
              </w:r>
              <w:r>
                <w:rPr>
                  <w:rFonts w:ascii="Arial" w:cs="Arial" w:eastAsia="Arial" w:hAnsi="Arial"/>
                  <w:sz w:val="16"/>
                  <w:szCs w:val="16"/>
                  <w:b w:val="1"/>
                  <w:bCs w:val="1"/>
                  <w:color w:val="0000EE"/>
                  <w:w w:val="95"/>
                </w:rPr>
                <w:t>Exhibit 4.1 to the Company’s report on Form 8-K filed on</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436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color w:val="auto"/>
              </w:rPr>
              <w:t>preferred securities of Reading International Trust I</w:t>
            </w:r>
          </w:p>
        </w:tc>
        <w:tc>
          <w:tcPr>
            <w:tcW w:w="4680" w:type="dxa"/>
            <w:vAlign w:val="bottom"/>
            <w:gridSpan w:val="19"/>
            <w:shd w:val="clear" w:color="auto" w:fill="CCEEFF"/>
          </w:tcPr>
          <w:p>
            <w:pPr>
              <w:spacing w:after="0" w:line="183" w:lineRule="exact"/>
              <w:rPr>
                <w:rFonts w:ascii="Arial" w:cs="Arial" w:eastAsia="Arial" w:hAnsi="Arial"/>
                <w:sz w:val="16"/>
                <w:szCs w:val="16"/>
                <w:b w:val="1"/>
                <w:bCs w:val="1"/>
                <w:color w:val="0000EE"/>
              </w:rPr>
            </w:pPr>
            <w:hyperlink r:id="rId273">
              <w:r>
                <w:rPr>
                  <w:rFonts w:ascii="Arial" w:cs="Arial" w:eastAsia="Arial" w:hAnsi="Arial"/>
                  <w:sz w:val="16"/>
                  <w:szCs w:val="16"/>
                  <w:b w:val="1"/>
                  <w:bCs w:val="1"/>
                  <w:color w:val="0000EE"/>
                </w:rPr>
                <w:t>February 9, 2007</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jc w:val="center"/>
              <w:ind w:right="40"/>
              <w:spacing w:after="0" w:line="162" w:lineRule="exact"/>
              <w:rPr>
                <w:sz w:val="20"/>
                <w:szCs w:val="20"/>
                <w:color w:val="auto"/>
              </w:rPr>
            </w:pPr>
            <w:r>
              <w:rPr>
                <w:rFonts w:ascii="Arial" w:cs="Arial" w:eastAsia="Arial" w:hAnsi="Arial"/>
                <w:sz w:val="16"/>
                <w:szCs w:val="16"/>
                <w:color w:val="auto"/>
                <w:w w:val="89"/>
              </w:rPr>
              <w:t>4.2</w:t>
            </w:r>
          </w:p>
        </w:tc>
        <w:tc>
          <w:tcPr>
            <w:tcW w:w="4360" w:type="dxa"/>
            <w:vAlign w:val="bottom"/>
            <w:gridSpan w:val="3"/>
          </w:tcPr>
          <w:p>
            <w:pPr>
              <w:spacing w:after="0" w:line="162" w:lineRule="exact"/>
              <w:rPr>
                <w:sz w:val="20"/>
                <w:szCs w:val="20"/>
                <w:color w:val="auto"/>
              </w:rPr>
            </w:pPr>
            <w:r>
              <w:rPr>
                <w:rFonts w:ascii="Arial" w:cs="Arial" w:eastAsia="Arial" w:hAnsi="Arial"/>
                <w:sz w:val="16"/>
                <w:szCs w:val="16"/>
                <w:color w:val="auto"/>
              </w:rPr>
              <w:t>Form of Common Securities Certificate evidencing common</w:t>
            </w:r>
          </w:p>
        </w:tc>
        <w:tc>
          <w:tcPr>
            <w:tcW w:w="4680" w:type="dxa"/>
            <w:vAlign w:val="bottom"/>
            <w:gridSpan w:val="19"/>
          </w:tcPr>
          <w:p>
            <w:pPr>
              <w:spacing w:after="0" w:line="162" w:lineRule="exact"/>
              <w:rPr>
                <w:rFonts w:ascii="Arial" w:cs="Arial" w:eastAsia="Arial" w:hAnsi="Arial"/>
                <w:sz w:val="16"/>
                <w:szCs w:val="16"/>
                <w:color w:val="auto"/>
                <w:w w:val="95"/>
              </w:rPr>
            </w:pPr>
            <w:hyperlink r:id="rId274">
              <w:r>
                <w:rPr>
                  <w:rFonts w:ascii="Arial" w:cs="Arial" w:eastAsia="Arial" w:hAnsi="Arial"/>
                  <w:sz w:val="16"/>
                  <w:szCs w:val="16"/>
                  <w:color w:val="auto"/>
                  <w:w w:val="95"/>
                </w:rPr>
                <w:t xml:space="preserve">Filed as </w:t>
              </w:r>
              <w:r>
                <w:rPr>
                  <w:rFonts w:ascii="Arial" w:cs="Arial" w:eastAsia="Arial" w:hAnsi="Arial"/>
                  <w:sz w:val="16"/>
                  <w:szCs w:val="16"/>
                  <w:b w:val="1"/>
                  <w:bCs w:val="1"/>
                  <w:color w:val="0000EE"/>
                  <w:w w:val="95"/>
                </w:rPr>
                <w:t>Exhibit 4.2 to the Company’s report on Form 8-K filed on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4360" w:type="dxa"/>
            <w:vAlign w:val="bottom"/>
            <w:gridSpan w:val="3"/>
          </w:tcPr>
          <w:p>
            <w:pPr>
              <w:spacing w:after="0" w:line="183" w:lineRule="exact"/>
              <w:rPr>
                <w:sz w:val="20"/>
                <w:szCs w:val="20"/>
                <w:color w:val="auto"/>
              </w:rPr>
            </w:pPr>
            <w:r>
              <w:rPr>
                <w:rFonts w:ascii="Arial" w:cs="Arial" w:eastAsia="Arial" w:hAnsi="Arial"/>
                <w:sz w:val="16"/>
                <w:szCs w:val="16"/>
                <w:color w:val="auto"/>
              </w:rPr>
              <w:t>securities of Reading International Trust I</w:t>
            </w:r>
          </w:p>
        </w:tc>
        <w:tc>
          <w:tcPr>
            <w:tcW w:w="4680" w:type="dxa"/>
            <w:vAlign w:val="bottom"/>
            <w:gridSpan w:val="19"/>
          </w:tcPr>
          <w:p>
            <w:pPr>
              <w:spacing w:after="0" w:line="183" w:lineRule="exact"/>
              <w:rPr>
                <w:rFonts w:ascii="Arial" w:cs="Arial" w:eastAsia="Arial" w:hAnsi="Arial"/>
                <w:sz w:val="16"/>
                <w:szCs w:val="16"/>
                <w:b w:val="1"/>
                <w:bCs w:val="1"/>
                <w:color w:val="0000EE"/>
              </w:rPr>
            </w:pPr>
            <w:hyperlink r:id="rId274">
              <w:r>
                <w:rPr>
                  <w:rFonts w:ascii="Arial" w:cs="Arial" w:eastAsia="Arial" w:hAnsi="Arial"/>
                  <w:sz w:val="16"/>
                  <w:szCs w:val="16"/>
                  <w:b w:val="1"/>
                  <w:bCs w:val="1"/>
                  <w:color w:val="0000EE"/>
                </w:rPr>
                <w:t>February 9, 2007</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jc w:val="center"/>
              <w:ind w:right="40"/>
              <w:spacing w:after="0" w:line="162" w:lineRule="exact"/>
              <w:rPr>
                <w:sz w:val="20"/>
                <w:szCs w:val="20"/>
                <w:color w:val="auto"/>
              </w:rPr>
            </w:pPr>
            <w:r>
              <w:rPr>
                <w:rFonts w:ascii="Arial" w:cs="Arial" w:eastAsia="Arial" w:hAnsi="Arial"/>
                <w:sz w:val="16"/>
                <w:szCs w:val="16"/>
                <w:color w:val="auto"/>
                <w:w w:val="89"/>
              </w:rPr>
              <w:t>4.3</w:t>
            </w:r>
          </w:p>
        </w:tc>
        <w:tc>
          <w:tcPr>
            <w:tcW w:w="436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w w:val="97"/>
              </w:rPr>
              <w:t>Form of Reading International, Inc. and Reading New Zealand,</w:t>
            </w:r>
          </w:p>
        </w:tc>
        <w:tc>
          <w:tcPr>
            <w:tcW w:w="4680" w:type="dxa"/>
            <w:vAlign w:val="bottom"/>
            <w:gridSpan w:val="19"/>
            <w:shd w:val="clear" w:color="auto" w:fill="CCEEFF"/>
          </w:tcPr>
          <w:p>
            <w:pPr>
              <w:spacing w:after="0" w:line="162" w:lineRule="exact"/>
              <w:rPr>
                <w:rFonts w:ascii="Arial" w:cs="Arial" w:eastAsia="Arial" w:hAnsi="Arial"/>
                <w:sz w:val="16"/>
                <w:szCs w:val="16"/>
                <w:color w:val="auto"/>
                <w:w w:val="95"/>
              </w:rPr>
            </w:pPr>
            <w:hyperlink r:id="rId275">
              <w:r>
                <w:rPr>
                  <w:rFonts w:ascii="Arial" w:cs="Arial" w:eastAsia="Arial" w:hAnsi="Arial"/>
                  <w:sz w:val="16"/>
                  <w:szCs w:val="16"/>
                  <w:color w:val="auto"/>
                  <w:w w:val="95"/>
                </w:rPr>
                <w:t xml:space="preserve">Filed as </w:t>
              </w:r>
              <w:r>
                <w:rPr>
                  <w:rFonts w:ascii="Arial" w:cs="Arial" w:eastAsia="Arial" w:hAnsi="Arial"/>
                  <w:sz w:val="16"/>
                  <w:szCs w:val="16"/>
                  <w:b w:val="1"/>
                  <w:bCs w:val="1"/>
                  <w:color w:val="0000EE"/>
                  <w:w w:val="95"/>
                </w:rPr>
                <w:t>Exhibit 4.3 to the Company’s report on Form 8-K filed on</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436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color w:val="auto"/>
              </w:rPr>
              <w:t>Limited, Junior Subordinated Note due 2027</w:t>
            </w:r>
          </w:p>
        </w:tc>
        <w:tc>
          <w:tcPr>
            <w:tcW w:w="4680" w:type="dxa"/>
            <w:vAlign w:val="bottom"/>
            <w:gridSpan w:val="19"/>
            <w:shd w:val="clear" w:color="auto" w:fill="CCEEFF"/>
          </w:tcPr>
          <w:p>
            <w:pPr>
              <w:spacing w:after="0" w:line="183" w:lineRule="exact"/>
              <w:rPr>
                <w:rFonts w:ascii="Arial" w:cs="Arial" w:eastAsia="Arial" w:hAnsi="Arial"/>
                <w:sz w:val="16"/>
                <w:szCs w:val="16"/>
                <w:b w:val="1"/>
                <w:bCs w:val="1"/>
                <w:color w:val="0000EE"/>
              </w:rPr>
            </w:pPr>
            <w:hyperlink r:id="rId275">
              <w:r>
                <w:rPr>
                  <w:rFonts w:ascii="Arial" w:cs="Arial" w:eastAsia="Arial" w:hAnsi="Arial"/>
                  <w:sz w:val="16"/>
                  <w:szCs w:val="16"/>
                  <w:b w:val="1"/>
                  <w:bCs w:val="1"/>
                  <w:color w:val="0000EE"/>
                </w:rPr>
                <w:t>February 9, 2007</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jc w:val="center"/>
              <w:ind w:right="40"/>
              <w:spacing w:after="0" w:line="162" w:lineRule="exact"/>
              <w:rPr>
                <w:sz w:val="20"/>
                <w:szCs w:val="20"/>
                <w:color w:val="auto"/>
              </w:rPr>
            </w:pPr>
            <w:r>
              <w:rPr>
                <w:rFonts w:ascii="Arial" w:cs="Arial" w:eastAsia="Arial" w:hAnsi="Arial"/>
                <w:sz w:val="16"/>
                <w:szCs w:val="16"/>
                <w:color w:val="auto"/>
                <w:w w:val="89"/>
              </w:rPr>
              <w:t>4.4</w:t>
            </w:r>
          </w:p>
        </w:tc>
        <w:tc>
          <w:tcPr>
            <w:tcW w:w="4360" w:type="dxa"/>
            <w:vAlign w:val="bottom"/>
            <w:gridSpan w:val="3"/>
          </w:tcPr>
          <w:p>
            <w:pPr>
              <w:spacing w:after="0" w:line="162" w:lineRule="exact"/>
              <w:rPr>
                <w:sz w:val="20"/>
                <w:szCs w:val="20"/>
                <w:color w:val="auto"/>
              </w:rPr>
            </w:pPr>
            <w:r>
              <w:rPr>
                <w:rFonts w:ascii="Arial" w:cs="Arial" w:eastAsia="Arial" w:hAnsi="Arial"/>
                <w:sz w:val="16"/>
                <w:szCs w:val="16"/>
                <w:color w:val="auto"/>
              </w:rPr>
              <w:t>Indenture among Reading International, Inc., Reading New</w:t>
            </w:r>
          </w:p>
        </w:tc>
        <w:tc>
          <w:tcPr>
            <w:tcW w:w="4680" w:type="dxa"/>
            <w:vAlign w:val="bottom"/>
            <w:gridSpan w:val="19"/>
          </w:tcPr>
          <w:p>
            <w:pPr>
              <w:spacing w:after="0" w:line="162" w:lineRule="exact"/>
              <w:rPr>
                <w:rFonts w:ascii="Arial" w:cs="Arial" w:eastAsia="Arial" w:hAnsi="Arial"/>
                <w:sz w:val="16"/>
                <w:szCs w:val="16"/>
                <w:color w:val="auto"/>
                <w:w w:val="96"/>
              </w:rPr>
            </w:pPr>
            <w:hyperlink r:id="rId276">
              <w:r>
                <w:rPr>
                  <w:rFonts w:ascii="Arial" w:cs="Arial" w:eastAsia="Arial" w:hAnsi="Arial"/>
                  <w:sz w:val="16"/>
                  <w:szCs w:val="16"/>
                  <w:color w:val="auto"/>
                  <w:w w:val="96"/>
                </w:rPr>
                <w:t xml:space="preserve">Filed as </w:t>
              </w:r>
              <w:r>
                <w:rPr>
                  <w:rFonts w:ascii="Arial" w:cs="Arial" w:eastAsia="Arial" w:hAnsi="Arial"/>
                  <w:sz w:val="16"/>
                  <w:szCs w:val="16"/>
                  <w:b w:val="1"/>
                  <w:bCs w:val="1"/>
                  <w:color w:val="0000EE"/>
                  <w:w w:val="96"/>
                </w:rPr>
                <w:t>Exhibit 10.4 to the Company’s report on Form 8-K dated</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4360" w:type="dxa"/>
            <w:vAlign w:val="bottom"/>
            <w:gridSpan w:val="3"/>
          </w:tcPr>
          <w:p>
            <w:pPr>
              <w:spacing w:after="0" w:line="183" w:lineRule="exact"/>
              <w:rPr>
                <w:sz w:val="20"/>
                <w:szCs w:val="20"/>
                <w:color w:val="auto"/>
              </w:rPr>
            </w:pPr>
            <w:r>
              <w:rPr>
                <w:rFonts w:ascii="Arial" w:cs="Arial" w:eastAsia="Arial" w:hAnsi="Arial"/>
                <w:sz w:val="16"/>
                <w:szCs w:val="16"/>
                <w:color w:val="auto"/>
              </w:rPr>
              <w:t>Zealand Limited, and Wells Fargo Bank, N.A., as indenture</w:t>
            </w:r>
          </w:p>
        </w:tc>
        <w:tc>
          <w:tcPr>
            <w:tcW w:w="4680" w:type="dxa"/>
            <w:vAlign w:val="bottom"/>
            <w:gridSpan w:val="19"/>
          </w:tcPr>
          <w:p>
            <w:pPr>
              <w:spacing w:after="0" w:line="183" w:lineRule="exact"/>
              <w:rPr>
                <w:rFonts w:ascii="Arial" w:cs="Arial" w:eastAsia="Arial" w:hAnsi="Arial"/>
                <w:sz w:val="16"/>
                <w:szCs w:val="16"/>
                <w:b w:val="1"/>
                <w:bCs w:val="1"/>
                <w:color w:val="0000EE"/>
              </w:rPr>
            </w:pPr>
            <w:hyperlink r:id="rId276">
              <w:r>
                <w:rPr>
                  <w:rFonts w:ascii="Arial" w:cs="Arial" w:eastAsia="Arial" w:hAnsi="Arial"/>
                  <w:sz w:val="16"/>
                  <w:szCs w:val="16"/>
                  <w:b w:val="1"/>
                  <w:bCs w:val="1"/>
                  <w:color w:val="0000EE"/>
                </w:rPr>
                <w:t>February 5, 2007</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6"/>
                <w:szCs w:val="16"/>
                <w:color w:val="auto"/>
              </w:rPr>
              <w:t>trustee.</w:t>
            </w:r>
          </w:p>
        </w:tc>
        <w:tc>
          <w:tcPr>
            <w:tcW w:w="5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080" w:type="dxa"/>
            <w:vAlign w:val="bottom"/>
            <w:shd w:val="clear" w:color="auto" w:fill="CCEEFF"/>
          </w:tcPr>
          <w:p>
            <w:pPr>
              <w:jc w:val="center"/>
              <w:ind w:right="40"/>
              <w:spacing w:after="0" w:line="165" w:lineRule="exact"/>
              <w:rPr>
                <w:sz w:val="20"/>
                <w:szCs w:val="20"/>
                <w:color w:val="auto"/>
              </w:rPr>
            </w:pPr>
            <w:r>
              <w:rPr>
                <w:rFonts w:ascii="Arial" w:cs="Arial" w:eastAsia="Arial" w:hAnsi="Arial"/>
                <w:sz w:val="16"/>
                <w:szCs w:val="16"/>
                <w:color w:val="auto"/>
                <w:w w:val="89"/>
              </w:rPr>
              <w:t>4.5</w:t>
            </w:r>
          </w:p>
        </w:tc>
        <w:tc>
          <w:tcPr>
            <w:tcW w:w="4360" w:type="dxa"/>
            <w:vAlign w:val="bottom"/>
            <w:gridSpan w:val="3"/>
            <w:shd w:val="clear" w:color="auto" w:fill="CCEEFF"/>
          </w:tcPr>
          <w:p>
            <w:pPr>
              <w:spacing w:after="0" w:line="165" w:lineRule="exact"/>
              <w:rPr>
                <w:sz w:val="20"/>
                <w:szCs w:val="20"/>
                <w:color w:val="auto"/>
              </w:rPr>
            </w:pPr>
            <w:r>
              <w:rPr>
                <w:rFonts w:ascii="Arial" w:cs="Arial" w:eastAsia="Arial" w:hAnsi="Arial"/>
                <w:sz w:val="16"/>
                <w:szCs w:val="16"/>
                <w:color w:val="auto"/>
              </w:rPr>
              <w:t>Form of Indenture</w:t>
            </w:r>
          </w:p>
        </w:tc>
        <w:tc>
          <w:tcPr>
            <w:tcW w:w="4680" w:type="dxa"/>
            <w:vAlign w:val="bottom"/>
            <w:gridSpan w:val="19"/>
            <w:shd w:val="clear" w:color="auto" w:fill="CCEEFF"/>
          </w:tcPr>
          <w:p>
            <w:pPr>
              <w:spacing w:after="0" w:line="165" w:lineRule="exact"/>
              <w:rPr>
                <w:rFonts w:ascii="Arial" w:cs="Arial" w:eastAsia="Arial" w:hAnsi="Arial"/>
                <w:sz w:val="16"/>
                <w:szCs w:val="16"/>
                <w:color w:val="auto"/>
              </w:rPr>
            </w:pPr>
            <w:hyperlink r:id="rId277">
              <w:r>
                <w:rPr>
                  <w:rFonts w:ascii="Arial" w:cs="Arial" w:eastAsia="Arial" w:hAnsi="Arial"/>
                  <w:sz w:val="16"/>
                  <w:szCs w:val="16"/>
                  <w:color w:val="auto"/>
                </w:rPr>
                <w:t xml:space="preserve">Filed as </w:t>
              </w:r>
              <w:r>
                <w:rPr>
                  <w:rFonts w:ascii="Arial" w:cs="Arial" w:eastAsia="Arial" w:hAnsi="Arial"/>
                  <w:sz w:val="16"/>
                  <w:szCs w:val="16"/>
                  <w:b w:val="1"/>
                  <w:bCs w:val="1"/>
                  <w:color w:val="0000EE"/>
                </w:rPr>
                <w:t>Exhibit 4.4 to the Company’s report on Form S-3 on</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80" w:type="dxa"/>
            <w:vAlign w:val="bottom"/>
            <w:gridSpan w:val="19"/>
            <w:shd w:val="clear" w:color="auto" w:fill="CCEEFF"/>
          </w:tcPr>
          <w:p>
            <w:pPr>
              <w:spacing w:after="0" w:line="183" w:lineRule="exact"/>
              <w:rPr>
                <w:rFonts w:ascii="Arial" w:cs="Arial" w:eastAsia="Arial" w:hAnsi="Arial"/>
                <w:sz w:val="16"/>
                <w:szCs w:val="16"/>
                <w:b w:val="1"/>
                <w:bCs w:val="1"/>
                <w:color w:val="0000EE"/>
              </w:rPr>
            </w:pPr>
            <w:hyperlink r:id="rId277">
              <w:r>
                <w:rPr>
                  <w:rFonts w:ascii="Arial" w:cs="Arial" w:eastAsia="Arial" w:hAnsi="Arial"/>
                  <w:sz w:val="16"/>
                  <w:szCs w:val="16"/>
                  <w:b w:val="1"/>
                  <w:bCs w:val="1"/>
                  <w:color w:val="0000EE"/>
                </w:rPr>
                <w:t>October 20, 2009</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jc w:val="center"/>
              <w:ind w:right="20"/>
              <w:spacing w:after="0" w:line="162" w:lineRule="exact"/>
              <w:rPr>
                <w:sz w:val="20"/>
                <w:szCs w:val="20"/>
                <w:color w:val="auto"/>
              </w:rPr>
            </w:pPr>
            <w:r>
              <w:rPr>
                <w:rFonts w:ascii="Arial" w:cs="Arial" w:eastAsia="Arial" w:hAnsi="Arial"/>
                <w:sz w:val="16"/>
                <w:szCs w:val="16"/>
                <w:color w:val="auto"/>
                <w:w w:val="98"/>
              </w:rPr>
              <w:t>10.1*+</w:t>
            </w:r>
          </w:p>
        </w:tc>
        <w:tc>
          <w:tcPr>
            <w:tcW w:w="4360" w:type="dxa"/>
            <w:vAlign w:val="bottom"/>
            <w:gridSpan w:val="3"/>
          </w:tcPr>
          <w:p>
            <w:pPr>
              <w:spacing w:after="0" w:line="162" w:lineRule="exact"/>
              <w:rPr>
                <w:sz w:val="20"/>
                <w:szCs w:val="20"/>
                <w:color w:val="auto"/>
              </w:rPr>
            </w:pPr>
            <w:r>
              <w:rPr>
                <w:rFonts w:ascii="Arial" w:cs="Arial" w:eastAsia="Arial" w:hAnsi="Arial"/>
                <w:sz w:val="16"/>
                <w:szCs w:val="16"/>
                <w:color w:val="auto"/>
              </w:rPr>
              <w:t>Restated 2010 Stock Incentive Plan, as of November 7, 2017</w:t>
            </w:r>
          </w:p>
        </w:tc>
        <w:tc>
          <w:tcPr>
            <w:tcW w:w="4680" w:type="dxa"/>
            <w:vAlign w:val="bottom"/>
            <w:gridSpan w:val="19"/>
          </w:tcPr>
          <w:p>
            <w:pPr>
              <w:spacing w:after="0" w:line="162" w:lineRule="exact"/>
              <w:rPr>
                <w:rFonts w:ascii="Arial" w:cs="Arial" w:eastAsia="Arial" w:hAnsi="Arial"/>
                <w:sz w:val="16"/>
                <w:szCs w:val="16"/>
                <w:color w:val="auto"/>
                <w:w w:val="98"/>
              </w:rPr>
            </w:pPr>
            <w:hyperlink r:id="rId278">
              <w:r>
                <w:rPr>
                  <w:rFonts w:ascii="Arial" w:cs="Arial" w:eastAsia="Arial" w:hAnsi="Arial"/>
                  <w:sz w:val="16"/>
                  <w:szCs w:val="16"/>
                  <w:color w:val="auto"/>
                  <w:w w:val="98"/>
                </w:rPr>
                <w:t xml:space="preserve">Filed as </w:t>
              </w:r>
              <w:r>
                <w:rPr>
                  <w:rFonts w:ascii="Arial" w:cs="Arial" w:eastAsia="Arial" w:hAnsi="Arial"/>
                  <w:sz w:val="16"/>
                  <w:szCs w:val="16"/>
                  <w:b w:val="1"/>
                  <w:bCs w:val="1"/>
                  <w:color w:val="0000EE"/>
                  <w:w w:val="98"/>
                </w:rPr>
                <w:t>Exhibit 10.1 to the Company’s Annual Report on Form</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80" w:type="dxa"/>
            <w:vAlign w:val="bottom"/>
            <w:gridSpan w:val="19"/>
          </w:tcPr>
          <w:p>
            <w:pPr>
              <w:spacing w:after="0" w:line="183" w:lineRule="exact"/>
              <w:rPr>
                <w:rFonts w:ascii="Arial" w:cs="Arial" w:eastAsia="Arial" w:hAnsi="Arial"/>
                <w:sz w:val="16"/>
                <w:szCs w:val="16"/>
                <w:b w:val="1"/>
                <w:bCs w:val="1"/>
                <w:color w:val="0000EE"/>
              </w:rPr>
            </w:pPr>
            <w:hyperlink r:id="rId278">
              <w:r>
                <w:rPr>
                  <w:rFonts w:ascii="Arial" w:cs="Arial" w:eastAsia="Arial" w:hAnsi="Arial"/>
                  <w:sz w:val="16"/>
                  <w:szCs w:val="16"/>
                  <w:b w:val="1"/>
                  <w:bCs w:val="1"/>
                  <w:color w:val="0000EE"/>
                </w:rPr>
                <w:t>10-K for the year ended December 31, 2017</w:t>
              </w:r>
              <w:r>
                <w:rPr>
                  <w:rFonts w:ascii="Arial" w:cs="Arial" w:eastAsia="Arial" w:hAnsi="Arial"/>
                  <w:sz w:val="16"/>
                  <w:szCs w:val="16"/>
                  <w:b w:val="1"/>
                  <w:bCs w:val="1"/>
                  <w:color w:val="000000"/>
                </w:rPr>
                <w:t>,</w:t>
              </w:r>
              <w:r>
                <w:rPr>
                  <w:rFonts w:ascii="Arial" w:cs="Arial" w:eastAsia="Arial" w:hAnsi="Arial"/>
                  <w:sz w:val="16"/>
                  <w:szCs w:val="16"/>
                  <w:b w:val="1"/>
                  <w:bCs w:val="1"/>
                  <w:color w:val="0000EE"/>
                </w:rPr>
                <w:t xml:space="preserve"> </w:t>
              </w:r>
              <w:r>
                <w:rPr>
                  <w:rFonts w:ascii="Arial" w:cs="Arial" w:eastAsia="Arial" w:hAnsi="Arial"/>
                  <w:sz w:val="16"/>
                  <w:szCs w:val="16"/>
                  <w:color w:val="000000"/>
                </w:rPr>
                <w:t>filed on March 16,</w:t>
              </w:r>
            </w:hyperlink>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Borders>
              <w:top w:val="single" w:sz="8" w:color="0000EE"/>
            </w:tcBorders>
            <w:gridSpan w:val="14"/>
          </w:tcPr>
          <w:p>
            <w:pPr>
              <w:spacing w:after="0"/>
              <w:rPr>
                <w:sz w:val="20"/>
                <w:szCs w:val="20"/>
                <w:color w:val="auto"/>
              </w:rPr>
            </w:pPr>
            <w:r>
              <w:rPr>
                <w:rFonts w:ascii="Arial" w:cs="Arial" w:eastAsia="Arial" w:hAnsi="Arial"/>
                <w:sz w:val="16"/>
                <w:szCs w:val="16"/>
                <w:color w:val="auto"/>
                <w:w w:val="97"/>
              </w:rPr>
              <w:t>2018 and incorporated herein by reference.</w:t>
            </w:r>
          </w:p>
        </w:tc>
        <w:tc>
          <w:tcPr>
            <w:tcW w:w="16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080" w:type="dxa"/>
            <w:vAlign w:val="bottom"/>
            <w:shd w:val="clear" w:color="auto" w:fill="CCEEFF"/>
          </w:tcPr>
          <w:p>
            <w:pPr>
              <w:jc w:val="center"/>
              <w:ind w:right="40"/>
              <w:spacing w:after="0" w:line="165" w:lineRule="exact"/>
              <w:rPr>
                <w:sz w:val="20"/>
                <w:szCs w:val="20"/>
                <w:color w:val="auto"/>
              </w:rPr>
            </w:pPr>
            <w:r>
              <w:rPr>
                <w:rFonts w:ascii="Arial" w:cs="Arial" w:eastAsia="Arial" w:hAnsi="Arial"/>
                <w:sz w:val="16"/>
                <w:szCs w:val="16"/>
                <w:color w:val="auto"/>
                <w:w w:val="96"/>
              </w:rPr>
              <w:t>10.2*</w:t>
            </w:r>
          </w:p>
        </w:tc>
        <w:tc>
          <w:tcPr>
            <w:tcW w:w="4360" w:type="dxa"/>
            <w:vAlign w:val="bottom"/>
            <w:gridSpan w:val="3"/>
            <w:shd w:val="clear" w:color="auto" w:fill="CCEEFF"/>
          </w:tcPr>
          <w:p>
            <w:pPr>
              <w:spacing w:after="0" w:line="165" w:lineRule="exact"/>
              <w:rPr>
                <w:sz w:val="20"/>
                <w:szCs w:val="20"/>
                <w:color w:val="auto"/>
              </w:rPr>
            </w:pPr>
            <w:r>
              <w:rPr>
                <w:rFonts w:ascii="Arial" w:cs="Arial" w:eastAsia="Arial" w:hAnsi="Arial"/>
                <w:sz w:val="16"/>
                <w:szCs w:val="16"/>
                <w:color w:val="auto"/>
              </w:rPr>
              <w:t>1999 Stock Option Plan of Reading International, Inc., as</w:t>
            </w:r>
          </w:p>
        </w:tc>
        <w:tc>
          <w:tcPr>
            <w:tcW w:w="4680" w:type="dxa"/>
            <w:vAlign w:val="bottom"/>
            <w:gridSpan w:val="19"/>
            <w:shd w:val="clear" w:color="auto" w:fill="CCEEFF"/>
          </w:tcPr>
          <w:p>
            <w:pPr>
              <w:spacing w:after="0" w:line="165" w:lineRule="exact"/>
              <w:rPr>
                <w:rFonts w:ascii="Arial" w:cs="Arial" w:eastAsia="Arial" w:hAnsi="Arial"/>
                <w:sz w:val="16"/>
                <w:szCs w:val="16"/>
                <w:color w:val="auto"/>
                <w:w w:val="96"/>
              </w:rPr>
            </w:pPr>
            <w:hyperlink r:id="rId279">
              <w:r>
                <w:rPr>
                  <w:rFonts w:ascii="Arial" w:cs="Arial" w:eastAsia="Arial" w:hAnsi="Arial"/>
                  <w:sz w:val="16"/>
                  <w:szCs w:val="16"/>
                  <w:color w:val="auto"/>
                  <w:w w:val="96"/>
                </w:rPr>
                <w:t xml:space="preserve">Filed as </w:t>
              </w:r>
              <w:r>
                <w:rPr>
                  <w:rFonts w:ascii="Arial" w:cs="Arial" w:eastAsia="Arial" w:hAnsi="Arial"/>
                  <w:sz w:val="16"/>
                  <w:szCs w:val="16"/>
                  <w:b w:val="1"/>
                  <w:bCs w:val="1"/>
                  <w:color w:val="0000EE"/>
                  <w:w w:val="96"/>
                </w:rPr>
                <w:t>Exhibit 4.1 to the Company’s Registration Statement on</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436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color w:val="auto"/>
              </w:rPr>
              <w:t>amended on December 31, 2001</w:t>
            </w:r>
          </w:p>
        </w:tc>
        <w:tc>
          <w:tcPr>
            <w:tcW w:w="4680" w:type="dxa"/>
            <w:vAlign w:val="bottom"/>
            <w:gridSpan w:val="19"/>
            <w:shd w:val="clear" w:color="auto" w:fill="CCEEFF"/>
          </w:tcPr>
          <w:p>
            <w:pPr>
              <w:spacing w:after="0" w:line="183" w:lineRule="exact"/>
              <w:rPr>
                <w:rFonts w:ascii="Arial" w:cs="Arial" w:eastAsia="Arial" w:hAnsi="Arial"/>
                <w:sz w:val="16"/>
                <w:szCs w:val="16"/>
                <w:b w:val="1"/>
                <w:bCs w:val="1"/>
                <w:color w:val="0000EE"/>
              </w:rPr>
            </w:pPr>
            <w:hyperlink r:id="rId279">
              <w:r>
                <w:rPr>
                  <w:rFonts w:ascii="Arial" w:cs="Arial" w:eastAsia="Arial" w:hAnsi="Arial"/>
                  <w:sz w:val="16"/>
                  <w:szCs w:val="16"/>
                  <w:b w:val="1"/>
                  <w:bCs w:val="1"/>
                  <w:color w:val="0000EE"/>
                </w:rPr>
                <w:t>Form S-8</w:t>
              </w:r>
              <w:r>
                <w:rPr>
                  <w:rFonts w:ascii="Arial" w:cs="Arial" w:eastAsia="Arial" w:hAnsi="Arial"/>
                  <w:sz w:val="16"/>
                  <w:szCs w:val="16"/>
                  <w:color w:val="000000"/>
                </w:rPr>
                <w:t>, filed on January 21, 2004, and incorporated herein by</w:t>
              </w:r>
            </w:hyperlink>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shd w:val="clear" w:color="auto" w:fill="CCEEFF"/>
          </w:tcPr>
          <w:p>
            <w:pPr>
              <w:spacing w:after="0"/>
              <w:rPr>
                <w:sz w:val="19"/>
                <w:szCs w:val="19"/>
                <w:color w:val="auto"/>
              </w:rPr>
            </w:pPr>
          </w:p>
        </w:tc>
        <w:tc>
          <w:tcPr>
            <w:tcW w:w="31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w w:val="88"/>
              </w:rPr>
              <w:t>reference.</w:t>
            </w:r>
          </w:p>
        </w:tc>
        <w:tc>
          <w:tcPr>
            <w:tcW w:w="4020" w:type="dxa"/>
            <w:vAlign w:val="bottom"/>
            <w:tcBorders>
              <w:top w:val="single" w:sz="8" w:color="CCEEFF"/>
            </w:tcBorders>
            <w:gridSpan w:val="17"/>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ind w:right="20"/>
              <w:spacing w:after="0" w:line="162" w:lineRule="exact"/>
              <w:rPr>
                <w:sz w:val="20"/>
                <w:szCs w:val="20"/>
                <w:color w:val="auto"/>
              </w:rPr>
            </w:pPr>
            <w:r>
              <w:rPr>
                <w:rFonts w:ascii="Arial" w:cs="Arial" w:eastAsia="Arial" w:hAnsi="Arial"/>
                <w:sz w:val="16"/>
                <w:szCs w:val="16"/>
                <w:color w:val="auto"/>
                <w:w w:val="98"/>
              </w:rPr>
              <w:t>10.3*+</w:t>
            </w:r>
          </w:p>
        </w:tc>
        <w:tc>
          <w:tcPr>
            <w:tcW w:w="4020" w:type="dxa"/>
            <w:vAlign w:val="bottom"/>
            <w:tcBorders>
              <w:bottom w:val="single" w:sz="8" w:color="0000EE"/>
            </w:tcBorders>
            <w:gridSpan w:val="2"/>
          </w:tcPr>
          <w:p>
            <w:pPr>
              <w:spacing w:after="0" w:line="162" w:lineRule="exact"/>
              <w:rPr>
                <w:sz w:val="20"/>
                <w:szCs w:val="20"/>
                <w:color w:val="auto"/>
              </w:rPr>
            </w:pPr>
            <w:r>
              <w:rPr>
                <w:rFonts w:ascii="Arial" w:cs="Arial" w:eastAsia="Arial" w:hAnsi="Arial"/>
                <w:sz w:val="16"/>
                <w:szCs w:val="16"/>
                <w:b w:val="1"/>
                <w:bCs w:val="1"/>
                <w:color w:val="0000EE"/>
                <w:w w:val="91"/>
              </w:rPr>
              <w:t>Form of Restricted Stock Unit Agreement (Non-Employee</w:t>
            </w:r>
          </w:p>
        </w:tc>
        <w:tc>
          <w:tcPr>
            <w:tcW w:w="340" w:type="dxa"/>
            <w:vAlign w:val="bottom"/>
          </w:tcPr>
          <w:p>
            <w:pPr>
              <w:spacing w:after="0"/>
              <w:rPr>
                <w:sz w:val="14"/>
                <w:szCs w:val="14"/>
                <w:color w:val="auto"/>
              </w:rPr>
            </w:pPr>
          </w:p>
        </w:tc>
        <w:tc>
          <w:tcPr>
            <w:tcW w:w="4680" w:type="dxa"/>
            <w:vAlign w:val="bottom"/>
            <w:gridSpan w:val="19"/>
          </w:tcPr>
          <w:p>
            <w:pPr>
              <w:spacing w:after="0" w:line="162"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360" w:type="dxa"/>
            <w:vAlign w:val="bottom"/>
            <w:gridSpan w:val="3"/>
          </w:tcPr>
          <w:p>
            <w:pPr>
              <w:spacing w:after="0" w:line="183" w:lineRule="exact"/>
              <w:rPr>
                <w:sz w:val="20"/>
                <w:szCs w:val="20"/>
                <w:color w:val="auto"/>
              </w:rPr>
            </w:pPr>
            <w:r>
              <w:rPr>
                <w:rFonts w:ascii="Arial" w:cs="Arial" w:eastAsia="Arial" w:hAnsi="Arial"/>
                <w:sz w:val="16"/>
                <w:szCs w:val="16"/>
                <w:b w:val="1"/>
                <w:bCs w:val="1"/>
                <w:color w:val="0000EE"/>
              </w:rPr>
              <w:t>Director) under the 2010 Stock Incentive Plan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jc w:val="center"/>
              <w:ind w:right="40"/>
              <w:spacing w:after="0" w:line="162" w:lineRule="exact"/>
              <w:rPr>
                <w:sz w:val="20"/>
                <w:szCs w:val="20"/>
                <w:color w:val="auto"/>
              </w:rPr>
            </w:pPr>
            <w:r>
              <w:rPr>
                <w:rFonts w:ascii="Arial" w:cs="Arial" w:eastAsia="Arial" w:hAnsi="Arial"/>
                <w:sz w:val="16"/>
                <w:szCs w:val="16"/>
                <w:color w:val="auto"/>
                <w:w w:val="96"/>
              </w:rPr>
              <w:t>10.5*</w:t>
            </w:r>
          </w:p>
        </w:tc>
        <w:tc>
          <w:tcPr>
            <w:tcW w:w="436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Award forms under the 2010 Stock Incentive Plan (i) Stock</w:t>
            </w:r>
          </w:p>
        </w:tc>
        <w:tc>
          <w:tcPr>
            <w:tcW w:w="4680" w:type="dxa"/>
            <w:vAlign w:val="bottom"/>
            <w:gridSpan w:val="19"/>
            <w:shd w:val="clear" w:color="auto" w:fill="CCEEFF"/>
          </w:tcPr>
          <w:p>
            <w:pPr>
              <w:spacing w:after="0" w:line="162" w:lineRule="exact"/>
              <w:rPr>
                <w:rFonts w:ascii="Arial" w:cs="Arial" w:eastAsia="Arial" w:hAnsi="Arial"/>
                <w:sz w:val="16"/>
                <w:szCs w:val="16"/>
                <w:color w:val="auto"/>
              </w:rPr>
            </w:pPr>
            <w:r>
              <w:rPr>
                <w:rFonts w:ascii="Arial" w:cs="Arial" w:eastAsia="Arial" w:hAnsi="Arial"/>
                <w:sz w:val="16"/>
                <w:szCs w:val="16"/>
                <w:color w:val="auto"/>
              </w:rPr>
              <w:t xml:space="preserve">Filed as Exhibits </w:t>
            </w:r>
            <w:hyperlink r:id="rId280">
              <w:r>
                <w:rPr>
                  <w:rFonts w:ascii="Arial" w:cs="Arial" w:eastAsia="Arial" w:hAnsi="Arial"/>
                  <w:sz w:val="16"/>
                  <w:szCs w:val="16"/>
                  <w:b w:val="1"/>
                  <w:bCs w:val="1"/>
                  <w:color w:val="0000EE"/>
                </w:rPr>
                <w:t>4.2</w:t>
              </w:r>
            </w:hyperlink>
            <w:r>
              <w:rPr>
                <w:rFonts w:ascii="Arial" w:cs="Arial" w:eastAsia="Arial" w:hAnsi="Arial"/>
                <w:sz w:val="16"/>
                <w:szCs w:val="16"/>
                <w:color w:val="auto"/>
              </w:rPr>
              <w:t xml:space="preserve">, </w:t>
            </w:r>
            <w:hyperlink r:id="rId281">
              <w:r>
                <w:rPr>
                  <w:rFonts w:ascii="Arial" w:cs="Arial" w:eastAsia="Arial" w:hAnsi="Arial"/>
                  <w:sz w:val="16"/>
                  <w:szCs w:val="16"/>
                  <w:b w:val="1"/>
                  <w:bCs w:val="1"/>
                  <w:color w:val="0000EE"/>
                </w:rPr>
                <w:t>4.3</w:t>
              </w:r>
            </w:hyperlink>
            <w:r>
              <w:rPr>
                <w:rFonts w:ascii="Arial" w:cs="Arial" w:eastAsia="Arial" w:hAnsi="Arial"/>
                <w:sz w:val="16"/>
                <w:szCs w:val="16"/>
                <w:color w:val="auto"/>
              </w:rPr>
              <w:t xml:space="preserve">, </w:t>
            </w:r>
            <w:hyperlink r:id="rId282">
              <w:r>
                <w:rPr>
                  <w:rFonts w:ascii="Arial" w:cs="Arial" w:eastAsia="Arial" w:hAnsi="Arial"/>
                  <w:sz w:val="16"/>
                  <w:szCs w:val="16"/>
                  <w:b w:val="1"/>
                  <w:bCs w:val="1"/>
                  <w:color w:val="0000EE"/>
                </w:rPr>
                <w:t>4.4</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and </w:t>
            </w:r>
            <w:hyperlink r:id="rId283">
              <w:r>
                <w:rPr>
                  <w:rFonts w:ascii="Arial" w:cs="Arial" w:eastAsia="Arial" w:hAnsi="Arial"/>
                  <w:sz w:val="16"/>
                  <w:szCs w:val="16"/>
                  <w:b w:val="1"/>
                  <w:bCs w:val="1"/>
                  <w:color w:val="0000EE"/>
                </w:rPr>
                <w:t>4.5</w:t>
              </w:r>
            </w:hyperlink>
            <w:r>
              <w:rPr>
                <w:rFonts w:ascii="Arial" w:cs="Arial" w:eastAsia="Arial" w:hAnsi="Arial"/>
                <w:sz w:val="16"/>
                <w:szCs w:val="16"/>
                <w:color w:val="auto"/>
              </w:rPr>
              <w:t>, respectively, to the</w:t>
            </w: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4360" w:type="dxa"/>
            <w:vAlign w:val="bottom"/>
            <w:gridSpan w:val="3"/>
            <w:shd w:val="clear" w:color="auto" w:fill="CCEEFF"/>
          </w:tcPr>
          <w:p>
            <w:pPr>
              <w:spacing w:after="0" w:line="20" w:lineRule="exact"/>
              <w:rPr>
                <w:sz w:val="1"/>
                <w:szCs w:val="1"/>
                <w:color w:val="auto"/>
              </w:rPr>
            </w:pPr>
          </w:p>
        </w:tc>
        <w:tc>
          <w:tcPr>
            <w:tcW w:w="1140" w:type="dxa"/>
            <w:vAlign w:val="bottom"/>
            <w:gridSpan w:val="3"/>
            <w:shd w:val="clear" w:color="auto" w:fill="CCEEFF"/>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80" w:type="dxa"/>
            <w:vAlign w:val="bottom"/>
            <w:gridSpan w:val="7"/>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8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Option Agreement, (ii) Stock Bonus Agreement,</w:t>
            </w:r>
          </w:p>
        </w:tc>
        <w:tc>
          <w:tcPr>
            <w:tcW w:w="4680" w:type="dxa"/>
            <w:vAlign w:val="bottom"/>
            <w:gridSpan w:val="19"/>
            <w:shd w:val="clear" w:color="auto" w:fill="CCEEFF"/>
          </w:tcPr>
          <w:p>
            <w:pPr>
              <w:spacing w:after="0"/>
              <w:rPr>
                <w:sz w:val="20"/>
                <w:szCs w:val="20"/>
                <w:color w:val="auto"/>
              </w:rPr>
            </w:pPr>
            <w:r>
              <w:rPr>
                <w:rFonts w:ascii="Arial" w:cs="Arial" w:eastAsia="Arial" w:hAnsi="Arial"/>
                <w:sz w:val="16"/>
                <w:szCs w:val="16"/>
                <w:color w:val="auto"/>
                <w:w w:val="98"/>
              </w:rPr>
              <w:t>Company’s report on Form S-8 on May 26, 2010, and incorporated</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(iii) Restricted Stock Unit Agreement, and (iv) Stock</w:t>
            </w:r>
          </w:p>
        </w:tc>
        <w:tc>
          <w:tcPr>
            <w:tcW w:w="468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herein by reference.</w:t>
            </w:r>
          </w:p>
        </w:tc>
        <w:tc>
          <w:tcPr>
            <w:tcW w:w="0" w:type="dxa"/>
            <w:vAlign w:val="bottom"/>
          </w:tcPr>
          <w:p>
            <w:pPr>
              <w:spacing w:after="0"/>
              <w:rPr>
                <w:sz w:val="1"/>
                <w:szCs w:val="1"/>
                <w:color w:val="auto"/>
              </w:rPr>
            </w:pPr>
          </w:p>
        </w:tc>
      </w:tr>
      <w:tr>
        <w:trPr>
          <w:trHeight w:val="212"/>
        </w:trPr>
        <w:tc>
          <w:tcPr>
            <w:tcW w:w="108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Appreciation Right Agreement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rFonts w:ascii="Arial" w:cs="Arial" w:eastAsia="Arial" w:hAnsi="Arial"/>
          <w:sz w:val="16"/>
          <w:szCs w:val="16"/>
          <w:color w:val="auto"/>
        </w:rPr>
      </w:pPr>
    </w:p>
    <w:p>
      <w:pPr>
        <w:sectPr>
          <w:pgSz w:w="11900" w:h="16838" w:orient="portrait"/>
          <w:cols w:equalWidth="0" w:num="1">
            <w:col w:w="10120"/>
          </w:cols>
          <w:pgMar w:left="900" w:top="333" w:right="879" w:bottom="1440" w:gutter="0" w:footer="0" w:header="0"/>
        </w:sectPr>
      </w:pPr>
    </w:p>
    <w:p>
      <w:pPr>
        <w:ind w:left="1080" w:hanging="744"/>
        <w:spacing w:after="0" w:line="279" w:lineRule="auto"/>
        <w:tabs>
          <w:tab w:leader="none" w:pos="106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5"/>
          <w:szCs w:val="15"/>
          <w:color w:val="auto"/>
        </w:rPr>
        <w:t>Amended and Restated Lease Agreement, dated as of July 28, 2000, as amended and restated as of January 29, 2002, between Sutton Hill Capital, L.L.C. and Citadel Cinemas, Inc.</w:t>
      </w:r>
    </w:p>
    <w:p>
      <w:pPr>
        <w:ind w:left="1080" w:right="600" w:hanging="744"/>
        <w:spacing w:after="0" w:line="301" w:lineRule="auto"/>
        <w:tabs>
          <w:tab w:leader="none" w:pos="106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4"/>
          <w:szCs w:val="14"/>
          <w:color w:val="auto"/>
        </w:rPr>
        <w:t>Second Amendment to Amended and Restated Master Operating Lease dated as of September 1, 2005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423025" cy="2571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6423025" cy="257175"/>
                    </a:xfrm>
                    <a:prstGeom prst="rect">
                      <a:avLst/>
                    </a:prstGeom>
                    <a:noFill/>
                  </pic:spPr>
                </pic:pic>
              </a:graphicData>
            </a:graphic>
          </wp:anchor>
        </w:drawing>
      </w:r>
    </w:p>
    <w:p>
      <w:pPr>
        <w:jc w:val="both"/>
        <w:ind w:left="1080" w:right="320" w:hanging="744"/>
        <w:spacing w:after="0" w:line="272" w:lineRule="auto"/>
        <w:tabs>
          <w:tab w:leader="none" w:pos="106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Assignment and Assumption of Lease between Sutton Hill Capital L.L.C. and Sutton Hill Properties, LLC dated as of September 19, 2005</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jc w:val="both"/>
        <w:ind w:right="220"/>
        <w:spacing w:after="0" w:line="261" w:lineRule="auto"/>
        <w:rPr>
          <w:rFonts w:ascii="Arial" w:cs="Arial" w:eastAsia="Arial" w:hAnsi="Arial"/>
          <w:sz w:val="16"/>
          <w:szCs w:val="16"/>
          <w:b w:val="1"/>
          <w:bCs w:val="1"/>
          <w:color w:val="0000EE"/>
        </w:rPr>
      </w:pPr>
      <w:hyperlink r:id="rId285">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10.40 to the Company’s Annual Report on Form</w:t>
        </w:r>
      </w:hyperlink>
      <w:r>
        <w:rPr>
          <w:rFonts w:ascii="Arial" w:cs="Arial" w:eastAsia="Arial" w:hAnsi="Arial"/>
          <w:sz w:val="16"/>
          <w:szCs w:val="16"/>
          <w:color w:val="auto"/>
        </w:rPr>
        <w:t xml:space="preserve"> </w:t>
      </w:r>
      <w:hyperlink r:id="rId285">
        <w:r>
          <w:rPr>
            <w:rFonts w:ascii="Arial" w:cs="Arial" w:eastAsia="Arial" w:hAnsi="Arial"/>
            <w:sz w:val="16"/>
            <w:szCs w:val="16"/>
            <w:b w:val="1"/>
            <w:bCs w:val="1"/>
            <w:u w:val="single" w:color="auto"/>
            <w:color w:val="0000EE"/>
          </w:rPr>
          <w:t>10-K</w:t>
        </w:r>
        <w:r>
          <w:rPr>
            <w:rFonts w:ascii="Arial" w:cs="Arial" w:eastAsia="Arial" w:hAnsi="Arial"/>
            <w:sz w:val="16"/>
            <w:szCs w:val="16"/>
            <w:b w:val="1"/>
            <w:bCs w:val="1"/>
            <w:color w:val="0000EE"/>
          </w:rPr>
          <w:t xml:space="preserve"> </w:t>
        </w:r>
        <w:r>
          <w:rPr>
            <w:rFonts w:ascii="Arial" w:cs="Arial" w:eastAsia="Arial" w:hAnsi="Arial"/>
            <w:sz w:val="16"/>
            <w:szCs w:val="16"/>
            <w:color w:val="000000"/>
          </w:rPr>
          <w:t>for the year ended December 31, 2002 and incorporated herein</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by reference.</w:t>
      </w:r>
    </w:p>
    <w:p>
      <w:pPr>
        <w:spacing w:after="0" w:line="1" w:lineRule="exact"/>
        <w:rPr>
          <w:sz w:val="20"/>
          <w:szCs w:val="20"/>
          <w:color w:val="auto"/>
        </w:rPr>
      </w:pPr>
    </w:p>
    <w:p>
      <w:pPr>
        <w:ind w:right="180"/>
        <w:spacing w:after="0" w:line="301" w:lineRule="auto"/>
        <w:rPr>
          <w:rFonts w:ascii="Arial" w:cs="Arial" w:eastAsia="Arial" w:hAnsi="Arial"/>
          <w:sz w:val="14"/>
          <w:szCs w:val="14"/>
          <w:b w:val="1"/>
          <w:bCs w:val="1"/>
          <w:color w:val="0000EE"/>
        </w:rPr>
      </w:pPr>
      <w:hyperlink r:id="rId286">
        <w:r>
          <w:rPr>
            <w:rFonts w:ascii="Arial" w:cs="Arial" w:eastAsia="Arial" w:hAnsi="Arial"/>
            <w:sz w:val="14"/>
            <w:szCs w:val="14"/>
            <w:color w:val="auto"/>
          </w:rPr>
          <w:t xml:space="preserve">Filed as </w:t>
        </w:r>
        <w:r>
          <w:rPr>
            <w:rFonts w:ascii="Arial" w:cs="Arial" w:eastAsia="Arial" w:hAnsi="Arial"/>
            <w:sz w:val="14"/>
            <w:szCs w:val="14"/>
            <w:b w:val="1"/>
            <w:bCs w:val="1"/>
            <w:u w:val="single" w:color="auto"/>
            <w:color w:val="0000EE"/>
          </w:rPr>
          <w:t>Exhibit 10.58 to the Company’s report on Form 8-K filed</w:t>
        </w:r>
      </w:hyperlink>
      <w:r>
        <w:rPr>
          <w:rFonts w:ascii="Arial" w:cs="Arial" w:eastAsia="Arial" w:hAnsi="Arial"/>
          <w:sz w:val="14"/>
          <w:szCs w:val="14"/>
          <w:color w:val="auto"/>
        </w:rPr>
        <w:t xml:space="preserve"> </w:t>
      </w:r>
      <w:hyperlink r:id="rId286">
        <w:r>
          <w:rPr>
            <w:rFonts w:ascii="Arial" w:cs="Arial" w:eastAsia="Arial" w:hAnsi="Arial"/>
            <w:sz w:val="14"/>
            <w:szCs w:val="14"/>
            <w:b w:val="1"/>
            <w:bCs w:val="1"/>
            <w:u w:val="single" w:color="auto"/>
            <w:color w:val="0000EE"/>
          </w:rPr>
          <w:t>on September 21, 2005</w:t>
        </w:r>
        <w:r>
          <w:rPr>
            <w:rFonts w:ascii="Arial" w:cs="Arial" w:eastAsia="Arial" w:hAnsi="Arial"/>
            <w:sz w:val="14"/>
            <w:szCs w:val="14"/>
            <w:color w:val="000000"/>
          </w:rPr>
          <w:t>, and incorporated herein by reference.</w:t>
        </w:r>
      </w:hyperlink>
    </w:p>
    <w:p>
      <w:pPr>
        <w:spacing w:after="0" w:line="1" w:lineRule="exact"/>
        <w:rPr>
          <w:sz w:val="20"/>
          <w:szCs w:val="20"/>
          <w:color w:val="auto"/>
        </w:rPr>
      </w:pPr>
    </w:p>
    <w:p>
      <w:pPr>
        <w:ind w:right="180"/>
        <w:spacing w:after="0" w:line="363" w:lineRule="auto"/>
        <w:rPr>
          <w:rFonts w:ascii="Arial" w:cs="Arial" w:eastAsia="Arial" w:hAnsi="Arial"/>
          <w:sz w:val="14"/>
          <w:szCs w:val="14"/>
          <w:b w:val="1"/>
          <w:bCs w:val="1"/>
          <w:color w:val="0000EE"/>
        </w:rPr>
      </w:pPr>
      <w:hyperlink r:id="rId287">
        <w:r>
          <w:rPr>
            <w:rFonts w:ascii="Arial" w:cs="Arial" w:eastAsia="Arial" w:hAnsi="Arial"/>
            <w:sz w:val="14"/>
            <w:szCs w:val="14"/>
            <w:color w:val="auto"/>
          </w:rPr>
          <w:t xml:space="preserve">Filed as </w:t>
        </w:r>
        <w:r>
          <w:rPr>
            <w:rFonts w:ascii="Arial" w:cs="Arial" w:eastAsia="Arial" w:hAnsi="Arial"/>
            <w:sz w:val="14"/>
            <w:szCs w:val="14"/>
            <w:b w:val="1"/>
            <w:bCs w:val="1"/>
            <w:u w:val="single" w:color="auto"/>
            <w:color w:val="0000EE"/>
          </w:rPr>
          <w:t>Exhibit 10.56 to the Company’s report on Form 8-K filed</w:t>
        </w:r>
      </w:hyperlink>
      <w:r>
        <w:rPr>
          <w:rFonts w:ascii="Arial" w:cs="Arial" w:eastAsia="Arial" w:hAnsi="Arial"/>
          <w:sz w:val="14"/>
          <w:szCs w:val="14"/>
          <w:color w:val="auto"/>
        </w:rPr>
        <w:t xml:space="preserve"> </w:t>
      </w:r>
      <w:hyperlink r:id="rId287">
        <w:r>
          <w:rPr>
            <w:rFonts w:ascii="Arial" w:cs="Arial" w:eastAsia="Arial" w:hAnsi="Arial"/>
            <w:sz w:val="14"/>
            <w:szCs w:val="14"/>
            <w:b w:val="1"/>
            <w:bCs w:val="1"/>
            <w:u w:val="single" w:color="auto"/>
            <w:color w:val="0000EE"/>
          </w:rPr>
          <w:t>on September 21, 2005</w:t>
        </w:r>
        <w:r>
          <w:rPr>
            <w:rFonts w:ascii="Arial" w:cs="Arial" w:eastAsia="Arial" w:hAnsi="Arial"/>
            <w:sz w:val="14"/>
            <w:szCs w:val="14"/>
            <w:color w:val="000000"/>
          </w:rPr>
          <w:t>, and incorporated herein by reference.</w:t>
        </w:r>
      </w:hyperlink>
    </w:p>
    <w:p>
      <w:pPr>
        <w:spacing w:after="0" w:line="139" w:lineRule="exact"/>
        <w:rPr>
          <w:sz w:val="20"/>
          <w:szCs w:val="20"/>
          <w:color w:val="auto"/>
        </w:rPr>
      </w:pPr>
    </w:p>
    <w:p>
      <w:pPr>
        <w:sectPr>
          <w:pgSz w:w="11900" w:h="16838" w:orient="portrait"/>
          <w:cols w:equalWidth="0" w:num="2">
            <w:col w:w="5200" w:space="240"/>
            <w:col w:w="4680"/>
          </w:cols>
          <w:pgMar w:left="900" w:top="333" w:right="87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860" w:type="dxa"/>
            <w:vAlign w:val="bottom"/>
            <w:shd w:val="clear" w:color="auto" w:fill="CCEEFF"/>
          </w:tcPr>
          <w:p>
            <w:pPr>
              <w:jc w:val="right"/>
              <w:ind w:right="159"/>
              <w:spacing w:after="0" w:line="151" w:lineRule="exact"/>
              <w:rPr>
                <w:sz w:val="20"/>
                <w:szCs w:val="20"/>
                <w:color w:val="auto"/>
              </w:rPr>
            </w:pPr>
            <w:r>
              <w:rPr>
                <w:rFonts w:ascii="Arial" w:cs="Arial" w:eastAsia="Arial" w:hAnsi="Arial"/>
                <w:sz w:val="16"/>
                <w:szCs w:val="16"/>
                <w:color w:val="auto"/>
              </w:rPr>
              <w:t>10.9</w:t>
            </w:r>
          </w:p>
        </w:tc>
        <w:tc>
          <w:tcPr>
            <w:tcW w:w="4580" w:type="dxa"/>
            <w:vAlign w:val="bottom"/>
            <w:shd w:val="clear" w:color="auto" w:fill="CCEEFF"/>
          </w:tcPr>
          <w:p>
            <w:pPr>
              <w:ind w:left="220"/>
              <w:spacing w:after="0" w:line="151" w:lineRule="exact"/>
              <w:rPr>
                <w:sz w:val="20"/>
                <w:szCs w:val="20"/>
                <w:color w:val="auto"/>
              </w:rPr>
            </w:pPr>
            <w:r>
              <w:rPr>
                <w:rFonts w:ascii="Arial" w:cs="Arial" w:eastAsia="Arial" w:hAnsi="Arial"/>
                <w:sz w:val="16"/>
                <w:szCs w:val="16"/>
                <w:color w:val="auto"/>
                <w:w w:val="97"/>
              </w:rPr>
              <w:t>Third Amendment to Amended and Restated Master Operating</w:t>
            </w:r>
          </w:p>
        </w:tc>
        <w:tc>
          <w:tcPr>
            <w:tcW w:w="4680" w:type="dxa"/>
            <w:vAlign w:val="bottom"/>
            <w:gridSpan w:val="4"/>
            <w:shd w:val="clear" w:color="auto" w:fill="CCEEFF"/>
          </w:tcPr>
          <w:p>
            <w:pPr>
              <w:spacing w:after="0" w:line="151" w:lineRule="exact"/>
              <w:rPr>
                <w:rFonts w:ascii="Arial" w:cs="Arial" w:eastAsia="Arial" w:hAnsi="Arial"/>
                <w:sz w:val="16"/>
                <w:szCs w:val="16"/>
                <w:color w:val="auto"/>
                <w:w w:val="96"/>
              </w:rPr>
            </w:pPr>
            <w:hyperlink r:id="rId288">
              <w:r>
                <w:rPr>
                  <w:rFonts w:ascii="Arial" w:cs="Arial" w:eastAsia="Arial" w:hAnsi="Arial"/>
                  <w:sz w:val="16"/>
                  <w:szCs w:val="16"/>
                  <w:color w:val="auto"/>
                  <w:w w:val="96"/>
                </w:rPr>
                <w:t xml:space="preserve">Filed as </w:t>
              </w:r>
              <w:r>
                <w:rPr>
                  <w:rFonts w:ascii="Arial" w:cs="Arial" w:eastAsia="Arial" w:hAnsi="Arial"/>
                  <w:sz w:val="16"/>
                  <w:szCs w:val="16"/>
                  <w:b w:val="1"/>
                  <w:bCs w:val="1"/>
                  <w:color w:val="0000EE"/>
                  <w:w w:val="96"/>
                </w:rPr>
                <w:t>Exhibit 10.21 to the Company’s report on Form 10-K for</w:t>
              </w:r>
            </w:hyperlink>
          </w:p>
        </w:tc>
      </w:tr>
      <w:tr>
        <w:trPr>
          <w:trHeight w:val="20"/>
        </w:trPr>
        <w:tc>
          <w:tcPr>
            <w:tcW w:w="86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83"/>
        </w:trPr>
        <w:tc>
          <w:tcPr>
            <w:tcW w:w="860" w:type="dxa"/>
            <w:vAlign w:val="bottom"/>
            <w:shd w:val="clear" w:color="auto" w:fill="CCEEFF"/>
          </w:tcPr>
          <w:p>
            <w:pPr>
              <w:spacing w:after="0"/>
              <w:rPr>
                <w:sz w:val="15"/>
                <w:szCs w:val="15"/>
                <w:color w:val="auto"/>
              </w:rPr>
            </w:pPr>
          </w:p>
        </w:tc>
        <w:tc>
          <w:tcPr>
            <w:tcW w:w="458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Lease Agreement, dated June 29, 2010, between Sutton Hill</w:t>
            </w:r>
          </w:p>
        </w:tc>
        <w:tc>
          <w:tcPr>
            <w:tcW w:w="4680" w:type="dxa"/>
            <w:vAlign w:val="bottom"/>
            <w:gridSpan w:val="4"/>
            <w:shd w:val="clear" w:color="auto" w:fill="CCEEFF"/>
          </w:tcPr>
          <w:p>
            <w:pPr>
              <w:spacing w:after="0" w:line="183" w:lineRule="exact"/>
              <w:rPr>
                <w:rFonts w:ascii="Arial" w:cs="Arial" w:eastAsia="Arial" w:hAnsi="Arial"/>
                <w:sz w:val="16"/>
                <w:szCs w:val="16"/>
                <w:b w:val="1"/>
                <w:bCs w:val="1"/>
                <w:color w:val="0000EE"/>
              </w:rPr>
            </w:pPr>
            <w:hyperlink r:id="rId288">
              <w:r>
                <w:rPr>
                  <w:rFonts w:ascii="Arial" w:cs="Arial" w:eastAsia="Arial" w:hAnsi="Arial"/>
                  <w:sz w:val="16"/>
                  <w:szCs w:val="16"/>
                  <w:b w:val="1"/>
                  <w:bCs w:val="1"/>
                  <w:color w:val="0000EE"/>
                </w:rPr>
                <w:t>the year ended December 31, 2010</w:t>
              </w:r>
              <w:r>
                <w:rPr>
                  <w:rFonts w:ascii="Arial" w:cs="Arial" w:eastAsia="Arial" w:hAnsi="Arial"/>
                  <w:sz w:val="16"/>
                  <w:szCs w:val="16"/>
                  <w:color w:val="000000"/>
                </w:rPr>
                <w:t>, and incorporated herein by</w:t>
              </w:r>
            </w:hyperlink>
          </w:p>
        </w:tc>
      </w:tr>
      <w:tr>
        <w:trPr>
          <w:trHeight w:val="223"/>
        </w:trPr>
        <w:tc>
          <w:tcPr>
            <w:tcW w:w="860" w:type="dxa"/>
            <w:vAlign w:val="bottom"/>
            <w:tcBorders>
              <w:top w:val="single" w:sz="8" w:color="CCEEFF"/>
            </w:tcBorders>
            <w:shd w:val="clear" w:color="auto" w:fill="CCEEFF"/>
          </w:tcPr>
          <w:p>
            <w:pPr>
              <w:spacing w:after="0"/>
              <w:rPr>
                <w:sz w:val="19"/>
                <w:szCs w:val="19"/>
                <w:color w:val="auto"/>
              </w:rPr>
            </w:pPr>
          </w:p>
        </w:tc>
        <w:tc>
          <w:tcPr>
            <w:tcW w:w="4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L.L.C. and Citadel Cinemas, Inc.</w:t>
            </w:r>
          </w:p>
        </w:tc>
        <w:tc>
          <w:tcPr>
            <w:tcW w:w="238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rPr>
              <w:t>reference.</w:t>
            </w:r>
          </w:p>
        </w:tc>
        <w:tc>
          <w:tcPr>
            <w:tcW w:w="2300" w:type="dxa"/>
            <w:vAlign w:val="bottom"/>
            <w:tcBorders>
              <w:top w:val="single" w:sz="8" w:color="CCEEFF"/>
            </w:tcBorders>
            <w:gridSpan w:val="2"/>
            <w:shd w:val="clear" w:color="auto" w:fill="CCEEFF"/>
          </w:tcPr>
          <w:p>
            <w:pPr>
              <w:spacing w:after="0"/>
              <w:rPr>
                <w:sz w:val="19"/>
                <w:szCs w:val="19"/>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3" w:right="879" w:bottom="1440" w:gutter="0" w:footer="0" w:header="0"/>
          <w:type w:val="continuous"/>
        </w:sectPr>
      </w:pPr>
    </w:p>
    <w:bookmarkStart w:id="139" w:name="page140"/>
    <w:bookmarkEnd w:id="139"/>
    <w:p>
      <w:pPr>
        <w:spacing w:after="0" w:line="4" w:lineRule="exact"/>
        <w:rPr>
          <w:sz w:val="20"/>
          <w:szCs w:val="20"/>
          <w:color w:val="auto"/>
        </w:rPr>
      </w:pPr>
    </w:p>
    <w:p>
      <w:pPr>
        <w:ind w:left="1080" w:hanging="784"/>
        <w:spacing w:after="0" w:line="272" w:lineRule="auto"/>
        <w:tabs>
          <w:tab w:leader="none" w:pos="106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6"/>
          <w:szCs w:val="16"/>
          <w:color w:val="auto"/>
        </w:rPr>
        <w:t>Omnibus Amendment Agreement, dated as of October 22, 2003, between Citadel Cinemas, Inc., Sutton Hill Capital, L.L.C., Nationwide Theatres Corp., Sutton Hill Associates, and Reading International, Inc.</w:t>
      </w:r>
    </w:p>
    <w:p>
      <w:pPr>
        <w:spacing w:after="0" w:line="20" w:lineRule="exact"/>
        <w:rPr>
          <w:sz w:val="20"/>
          <w:szCs w:val="20"/>
          <w:color w:val="auto"/>
        </w:rPr>
      </w:pPr>
      <w:r>
        <w:rPr>
          <w:sz w:val="20"/>
          <w:szCs w:val="20"/>
          <w:color w:val="auto"/>
        </w:rPr>
        <w:br w:type="column"/>
      </w:r>
    </w:p>
    <w:p>
      <w:pPr>
        <w:ind w:right="200"/>
        <w:spacing w:after="0" w:line="281" w:lineRule="auto"/>
        <w:rPr>
          <w:rFonts w:ascii="Arial" w:cs="Arial" w:eastAsia="Arial" w:hAnsi="Arial"/>
          <w:sz w:val="16"/>
          <w:szCs w:val="16"/>
          <w:b w:val="1"/>
          <w:bCs w:val="1"/>
          <w:color w:val="0000EE"/>
        </w:rPr>
      </w:pPr>
      <w:hyperlink r:id="rId290">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10.49 to the Company’s report on Form 10-Q for</w:t>
        </w:r>
      </w:hyperlink>
      <w:r>
        <w:rPr>
          <w:rFonts w:ascii="Arial" w:cs="Arial" w:eastAsia="Arial" w:hAnsi="Arial"/>
          <w:sz w:val="16"/>
          <w:szCs w:val="16"/>
          <w:color w:val="auto"/>
        </w:rPr>
        <w:t xml:space="preserve"> </w:t>
      </w:r>
      <w:hyperlink r:id="rId290">
        <w:r>
          <w:rPr>
            <w:rFonts w:ascii="Arial" w:cs="Arial" w:eastAsia="Arial" w:hAnsi="Arial"/>
            <w:sz w:val="16"/>
            <w:szCs w:val="16"/>
            <w:b w:val="1"/>
            <w:bCs w:val="1"/>
            <w:u w:val="single" w:color="auto"/>
            <w:color w:val="0000EE"/>
          </w:rPr>
          <w:t>the period ended September 30, 2003</w:t>
        </w:r>
        <w:r>
          <w:rPr>
            <w:rFonts w:ascii="Arial" w:cs="Arial" w:eastAsia="Arial" w:hAnsi="Arial"/>
            <w:sz w:val="16"/>
            <w:szCs w:val="16"/>
            <w:color w:val="000000"/>
          </w:rPr>
          <w:t>, and incorporated herein by</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reference.</w:t>
      </w:r>
    </w:p>
    <w:p>
      <w:pPr>
        <w:spacing w:after="0" w:line="192" w:lineRule="exact"/>
        <w:rPr>
          <w:sz w:val="20"/>
          <w:szCs w:val="20"/>
          <w:color w:val="auto"/>
        </w:rPr>
      </w:pPr>
    </w:p>
    <w:p>
      <w:pPr>
        <w:sectPr>
          <w:pgSz w:w="11900" w:h="16838" w:orient="portrait"/>
          <w:cols w:equalWidth="0" w:num="2">
            <w:col w:w="5200" w:space="240"/>
            <w:col w:w="4680"/>
          </w:cols>
          <w:pgMar w:left="900" w:top="342" w:right="879" w:bottom="1440" w:gutter="0" w:footer="0" w:header="0"/>
        </w:sectPr>
      </w:pPr>
    </w:p>
    <w:tbl>
      <w:tblPr>
        <w:tblLayout w:type="fixed"/>
        <w:tblInd w:w="0" w:type="dxa"/>
        <w:tblCellMar>
          <w:top w:w="0" w:type="dxa"/>
          <w:left w:w="0" w:type="dxa"/>
          <w:bottom w:w="0" w:type="dxa"/>
          <w:right w:w="0" w:type="dxa"/>
        </w:tblCellMar>
      </w:tblPr>
      <w:tr>
        <w:trPr>
          <w:trHeight w:val="148"/>
        </w:trPr>
        <w:tc>
          <w:tcPr>
            <w:tcW w:w="880" w:type="dxa"/>
            <w:vAlign w:val="bottom"/>
            <w:shd w:val="clear" w:color="auto" w:fill="CCEEFF"/>
          </w:tcPr>
          <w:p>
            <w:pPr>
              <w:jc w:val="right"/>
              <w:ind w:right="139"/>
              <w:spacing w:after="0" w:line="148" w:lineRule="exact"/>
              <w:rPr>
                <w:sz w:val="20"/>
                <w:szCs w:val="20"/>
                <w:color w:val="auto"/>
              </w:rPr>
            </w:pPr>
            <w:r>
              <w:rPr>
                <w:rFonts w:ascii="Arial" w:cs="Arial" w:eastAsia="Arial" w:hAnsi="Arial"/>
                <w:sz w:val="16"/>
                <w:szCs w:val="16"/>
                <w:color w:val="auto"/>
              </w:rPr>
              <w:t>10.11</w:t>
            </w:r>
          </w:p>
        </w:tc>
        <w:tc>
          <w:tcPr>
            <w:tcW w:w="4560" w:type="dxa"/>
            <w:vAlign w:val="bottom"/>
            <w:shd w:val="clear" w:color="auto" w:fill="CCEEFF"/>
          </w:tcPr>
          <w:p>
            <w:pPr>
              <w:ind w:left="200"/>
              <w:spacing w:after="0" w:line="148" w:lineRule="exact"/>
              <w:rPr>
                <w:sz w:val="20"/>
                <w:szCs w:val="20"/>
                <w:color w:val="auto"/>
              </w:rPr>
            </w:pPr>
            <w:r>
              <w:rPr>
                <w:rFonts w:ascii="Arial" w:cs="Arial" w:eastAsia="Arial" w:hAnsi="Arial"/>
                <w:sz w:val="16"/>
                <w:szCs w:val="16"/>
                <w:color w:val="auto"/>
                <w:w w:val="96"/>
              </w:rPr>
              <w:t>Theater Management Agreement, effective as January 1, 2002,</w:t>
            </w:r>
          </w:p>
        </w:tc>
        <w:tc>
          <w:tcPr>
            <w:tcW w:w="4680" w:type="dxa"/>
            <w:vAlign w:val="bottom"/>
            <w:gridSpan w:val="4"/>
            <w:shd w:val="clear" w:color="auto" w:fill="CCEEFF"/>
          </w:tcPr>
          <w:p>
            <w:pPr>
              <w:spacing w:after="0" w:line="148" w:lineRule="exact"/>
              <w:rPr>
                <w:rFonts w:ascii="Arial" w:cs="Arial" w:eastAsia="Arial" w:hAnsi="Arial"/>
                <w:sz w:val="16"/>
                <w:szCs w:val="16"/>
                <w:color w:val="auto"/>
                <w:w w:val="97"/>
              </w:rPr>
            </w:pPr>
            <w:hyperlink r:id="rId291">
              <w:r>
                <w:rPr>
                  <w:rFonts w:ascii="Arial" w:cs="Arial" w:eastAsia="Arial" w:hAnsi="Arial"/>
                  <w:sz w:val="16"/>
                  <w:szCs w:val="16"/>
                  <w:color w:val="auto"/>
                  <w:w w:val="97"/>
                </w:rPr>
                <w:t xml:space="preserve">Filed as </w:t>
              </w:r>
              <w:r>
                <w:rPr>
                  <w:rFonts w:ascii="Arial" w:cs="Arial" w:eastAsia="Arial" w:hAnsi="Arial"/>
                  <w:sz w:val="16"/>
                  <w:szCs w:val="16"/>
                  <w:b w:val="1"/>
                  <w:bCs w:val="1"/>
                  <w:color w:val="0000EE"/>
                  <w:w w:val="97"/>
                </w:rPr>
                <w:t>Exhibit 10.47 to the Company’s Annual Report on Form</w:t>
              </w:r>
            </w:hyperlink>
          </w:p>
        </w:tc>
      </w:tr>
      <w:tr>
        <w:trPr>
          <w:trHeight w:val="20"/>
        </w:trPr>
        <w:tc>
          <w:tcPr>
            <w:tcW w:w="8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83"/>
        </w:trPr>
        <w:tc>
          <w:tcPr>
            <w:tcW w:w="88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between Liberty Theaters, Inc. and OBI LLC</w:t>
            </w:r>
          </w:p>
        </w:tc>
        <w:tc>
          <w:tcPr>
            <w:tcW w:w="4680" w:type="dxa"/>
            <w:vAlign w:val="bottom"/>
            <w:gridSpan w:val="4"/>
            <w:shd w:val="clear" w:color="auto" w:fill="CCEEFF"/>
          </w:tcPr>
          <w:p>
            <w:pPr>
              <w:spacing w:after="0" w:line="183" w:lineRule="exact"/>
              <w:rPr>
                <w:rFonts w:ascii="Arial" w:cs="Arial" w:eastAsia="Arial" w:hAnsi="Arial"/>
                <w:sz w:val="16"/>
                <w:szCs w:val="16"/>
                <w:b w:val="1"/>
                <w:bCs w:val="1"/>
                <w:color w:val="0000EE"/>
              </w:rPr>
            </w:pPr>
            <w:hyperlink r:id="rId291">
              <w:r>
                <w:rPr>
                  <w:rFonts w:ascii="Arial" w:cs="Arial" w:eastAsia="Arial" w:hAnsi="Arial"/>
                  <w:sz w:val="16"/>
                  <w:szCs w:val="16"/>
                  <w:b w:val="1"/>
                  <w:bCs w:val="1"/>
                  <w:color w:val="0000EE"/>
                </w:rPr>
                <w:t xml:space="preserve">10-K for the year ended December 31, 2002 </w:t>
              </w:r>
              <w:r>
                <w:rPr>
                  <w:rFonts w:ascii="Arial" w:cs="Arial" w:eastAsia="Arial" w:hAnsi="Arial"/>
                  <w:sz w:val="16"/>
                  <w:szCs w:val="16"/>
                  <w:color w:val="000000"/>
                </w:rPr>
                <w:t>and incorporated</w:t>
              </w:r>
            </w:hyperlink>
          </w:p>
        </w:tc>
      </w:tr>
      <w:tr>
        <w:trPr>
          <w:trHeight w:val="223"/>
        </w:trPr>
        <w:tc>
          <w:tcPr>
            <w:tcW w:w="880" w:type="dxa"/>
            <w:vAlign w:val="bottom"/>
            <w:tcBorders>
              <w:top w:val="single" w:sz="8" w:color="CCEEFF"/>
            </w:tcBorders>
            <w:shd w:val="clear" w:color="auto" w:fill="CCEEFF"/>
          </w:tcPr>
          <w:p>
            <w:pPr>
              <w:spacing w:after="0"/>
              <w:rPr>
                <w:sz w:val="19"/>
                <w:szCs w:val="19"/>
                <w:color w:val="auto"/>
              </w:rPr>
            </w:pPr>
          </w:p>
        </w:tc>
        <w:tc>
          <w:tcPr>
            <w:tcW w:w="456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rPr>
              <w:t>herein by reference.</w:t>
            </w:r>
          </w:p>
        </w:tc>
        <w:tc>
          <w:tcPr>
            <w:tcW w:w="1680" w:type="dxa"/>
            <w:vAlign w:val="bottom"/>
            <w:tcBorders>
              <w:top w:val="single" w:sz="8" w:color="CCEEFF"/>
            </w:tcBorders>
            <w:gridSpan w:val="2"/>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0120"/>
          </w:cols>
          <w:pgMar w:left="900" w:top="342" w:right="879" w:bottom="1440" w:gutter="0" w:footer="0" w:header="0"/>
          <w:type w:val="continuous"/>
        </w:sectPr>
      </w:pPr>
    </w:p>
    <w:p>
      <w:pPr>
        <w:ind w:left="1080" w:hanging="784"/>
        <w:spacing w:after="0" w:line="267" w:lineRule="auto"/>
        <w:tabs>
          <w:tab w:leader="none" w:pos="106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Amended and Restated Declaration of Trust, dated February 5, 2007, among Reading International Inc., as sponsor, the Administrators named therein, and Wells Fargo Bank, N.A., as property trustee, and Wells Fargo Delaware Trust Company as Delaware trustee</w:t>
      </w:r>
    </w:p>
    <w:p>
      <w:pPr>
        <w:spacing w:after="0" w:line="20" w:lineRule="exact"/>
        <w:rPr>
          <w:sz w:val="20"/>
          <w:szCs w:val="20"/>
          <w:color w:val="auto"/>
        </w:rPr>
      </w:pPr>
      <w:r>
        <w:rPr>
          <w:sz w:val="20"/>
          <w:szCs w:val="20"/>
          <w:color w:val="auto"/>
        </w:rPr>
        <w:br w:type="column"/>
      </w:r>
    </w:p>
    <w:p>
      <w:pPr>
        <w:ind w:right="180"/>
        <w:spacing w:after="0" w:line="280" w:lineRule="auto"/>
        <w:rPr>
          <w:rFonts w:ascii="Arial" w:cs="Arial" w:eastAsia="Arial" w:hAnsi="Arial"/>
          <w:sz w:val="16"/>
          <w:szCs w:val="16"/>
          <w:b w:val="1"/>
          <w:bCs w:val="1"/>
          <w:color w:val="0000EE"/>
        </w:rPr>
      </w:pPr>
      <w:hyperlink r:id="rId292">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10.2 to the Company’s report on Form 8-K dated</w:t>
        </w:r>
      </w:hyperlink>
      <w:r>
        <w:rPr>
          <w:rFonts w:ascii="Arial" w:cs="Arial" w:eastAsia="Arial" w:hAnsi="Arial"/>
          <w:sz w:val="16"/>
          <w:szCs w:val="16"/>
          <w:color w:val="auto"/>
        </w:rPr>
        <w:t xml:space="preserve"> </w:t>
      </w:r>
      <w:hyperlink r:id="rId292">
        <w:r>
          <w:rPr>
            <w:rFonts w:ascii="Arial" w:cs="Arial" w:eastAsia="Arial" w:hAnsi="Arial"/>
            <w:sz w:val="16"/>
            <w:szCs w:val="16"/>
            <w:b w:val="1"/>
            <w:bCs w:val="1"/>
            <w:u w:val="single" w:color="auto"/>
            <w:color w:val="0000EE"/>
          </w:rPr>
          <w:t>February 5, 2007</w:t>
        </w:r>
        <w:r>
          <w:rPr>
            <w:rFonts w:ascii="Arial" w:cs="Arial" w:eastAsia="Arial" w:hAnsi="Arial"/>
            <w:sz w:val="16"/>
            <w:szCs w:val="16"/>
            <w:color w:val="000000"/>
          </w:rPr>
          <w:t>, and incorporated herein by reference.</w:t>
        </w:r>
      </w:hyperlink>
    </w:p>
    <w:p>
      <w:pPr>
        <w:spacing w:after="0" w:line="595" w:lineRule="exact"/>
        <w:rPr>
          <w:sz w:val="20"/>
          <w:szCs w:val="20"/>
          <w:color w:val="auto"/>
        </w:rPr>
      </w:pPr>
    </w:p>
    <w:p>
      <w:pPr>
        <w:sectPr>
          <w:pgSz w:w="11900" w:h="16838" w:orient="portrait"/>
          <w:cols w:equalWidth="0" w:num="2">
            <w:col w:w="5160" w:space="280"/>
            <w:col w:w="4680"/>
          </w:cols>
          <w:pgMar w:left="900" w:top="342" w:right="87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880" w:type="dxa"/>
            <w:vAlign w:val="bottom"/>
            <w:shd w:val="clear" w:color="auto" w:fill="CCEEFF"/>
          </w:tcPr>
          <w:p>
            <w:pPr>
              <w:jc w:val="right"/>
              <w:ind w:right="139"/>
              <w:spacing w:after="0" w:line="152" w:lineRule="exact"/>
              <w:rPr>
                <w:sz w:val="20"/>
                <w:szCs w:val="20"/>
                <w:color w:val="auto"/>
              </w:rPr>
            </w:pPr>
            <w:r>
              <w:rPr>
                <w:rFonts w:ascii="Arial" w:cs="Arial" w:eastAsia="Arial" w:hAnsi="Arial"/>
                <w:sz w:val="16"/>
                <w:szCs w:val="16"/>
                <w:color w:val="auto"/>
              </w:rPr>
              <w:t>10.13</w:t>
            </w:r>
          </w:p>
        </w:tc>
        <w:tc>
          <w:tcPr>
            <w:tcW w:w="4560" w:type="dxa"/>
            <w:vAlign w:val="bottom"/>
            <w:shd w:val="clear" w:color="auto" w:fill="CCEEFF"/>
          </w:tcPr>
          <w:p>
            <w:pPr>
              <w:ind w:left="200"/>
              <w:spacing w:after="0" w:line="152" w:lineRule="exact"/>
              <w:rPr>
                <w:sz w:val="20"/>
                <w:szCs w:val="20"/>
                <w:color w:val="auto"/>
              </w:rPr>
            </w:pPr>
            <w:r>
              <w:rPr>
                <w:rFonts w:ascii="Arial" w:cs="Arial" w:eastAsia="Arial" w:hAnsi="Arial"/>
                <w:sz w:val="16"/>
                <w:szCs w:val="16"/>
                <w:color w:val="auto"/>
              </w:rPr>
              <w:t>Amended and Restated Corporate Markets Loan &amp; Bank</w:t>
            </w:r>
          </w:p>
        </w:tc>
        <w:tc>
          <w:tcPr>
            <w:tcW w:w="4680" w:type="dxa"/>
            <w:vAlign w:val="bottom"/>
            <w:gridSpan w:val="4"/>
            <w:shd w:val="clear" w:color="auto" w:fill="CCEEFF"/>
          </w:tcPr>
          <w:p>
            <w:pPr>
              <w:spacing w:after="0" w:line="152" w:lineRule="exact"/>
              <w:rPr>
                <w:rFonts w:ascii="Arial" w:cs="Arial" w:eastAsia="Arial" w:hAnsi="Arial"/>
                <w:sz w:val="16"/>
                <w:szCs w:val="16"/>
                <w:color w:val="auto"/>
                <w:w w:val="98"/>
              </w:rPr>
            </w:pPr>
            <w:hyperlink r:id="rId293">
              <w:r>
                <w:rPr>
                  <w:rFonts w:ascii="Arial" w:cs="Arial" w:eastAsia="Arial" w:hAnsi="Arial"/>
                  <w:sz w:val="16"/>
                  <w:szCs w:val="16"/>
                  <w:color w:val="auto"/>
                  <w:w w:val="98"/>
                </w:rPr>
                <w:t xml:space="preserve">Filed as </w:t>
              </w:r>
              <w:r>
                <w:rPr>
                  <w:rFonts w:ascii="Arial" w:cs="Arial" w:eastAsia="Arial" w:hAnsi="Arial"/>
                  <w:sz w:val="16"/>
                  <w:szCs w:val="16"/>
                  <w:b w:val="1"/>
                  <w:bCs w:val="1"/>
                  <w:color w:val="0000EE"/>
                  <w:w w:val="98"/>
                </w:rPr>
                <w:t>Exhibit 10.9 to the Company’s Annual Report on Form</w:t>
              </w:r>
            </w:hyperlink>
          </w:p>
        </w:tc>
      </w:tr>
      <w:tr>
        <w:trPr>
          <w:trHeight w:val="20"/>
        </w:trPr>
        <w:tc>
          <w:tcPr>
            <w:tcW w:w="8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83"/>
        </w:trPr>
        <w:tc>
          <w:tcPr>
            <w:tcW w:w="88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Guarantee Facility Agreement dated December 23, 2015,</w:t>
            </w:r>
          </w:p>
        </w:tc>
        <w:tc>
          <w:tcPr>
            <w:tcW w:w="4680" w:type="dxa"/>
            <w:vAlign w:val="bottom"/>
            <w:gridSpan w:val="4"/>
            <w:shd w:val="clear" w:color="auto" w:fill="CCEEFF"/>
          </w:tcPr>
          <w:p>
            <w:pPr>
              <w:spacing w:after="0" w:line="183" w:lineRule="exact"/>
              <w:rPr>
                <w:rFonts w:ascii="Arial" w:cs="Arial" w:eastAsia="Arial" w:hAnsi="Arial"/>
                <w:sz w:val="16"/>
                <w:szCs w:val="16"/>
                <w:b w:val="1"/>
                <w:bCs w:val="1"/>
                <w:color w:val="0000EE"/>
              </w:rPr>
            </w:pPr>
            <w:hyperlink r:id="rId293">
              <w:r>
                <w:rPr>
                  <w:rFonts w:ascii="Arial" w:cs="Arial" w:eastAsia="Arial" w:hAnsi="Arial"/>
                  <w:sz w:val="16"/>
                  <w:szCs w:val="16"/>
                  <w:b w:val="1"/>
                  <w:bCs w:val="1"/>
                  <w:color w:val="0000EE"/>
                </w:rPr>
                <w:t>10-K for the year ended December 31, 2015</w:t>
              </w:r>
              <w:r>
                <w:rPr>
                  <w:rFonts w:ascii="Arial" w:cs="Arial" w:eastAsia="Arial" w:hAnsi="Arial"/>
                  <w:sz w:val="16"/>
                  <w:szCs w:val="16"/>
                  <w:color w:val="000000"/>
                </w:rPr>
                <w:t>, filed on April 29,</w:t>
              </w:r>
            </w:hyperlink>
          </w:p>
        </w:tc>
      </w:tr>
      <w:tr>
        <w:trPr>
          <w:trHeight w:val="213"/>
        </w:trPr>
        <w:tc>
          <w:tcPr>
            <w:tcW w:w="88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among Reading Entertainment Australia Pty Ltd and National</w:t>
            </w:r>
          </w:p>
        </w:tc>
        <w:tc>
          <w:tcPr>
            <w:tcW w:w="300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w w:val="97"/>
              </w:rPr>
              <w:t>2016 and incorporated herein by reference.</w:t>
            </w:r>
          </w:p>
        </w:tc>
        <w:tc>
          <w:tcPr>
            <w:tcW w:w="1680" w:type="dxa"/>
            <w:vAlign w:val="bottom"/>
            <w:tcBorders>
              <w:top w:val="single" w:sz="8" w:color="CCEEFF"/>
            </w:tcBorders>
            <w:gridSpan w:val="2"/>
            <w:shd w:val="clear" w:color="auto" w:fill="CCEEFF"/>
          </w:tcPr>
          <w:p>
            <w:pPr>
              <w:spacing w:after="0"/>
              <w:rPr>
                <w:sz w:val="18"/>
                <w:szCs w:val="18"/>
                <w:color w:val="auto"/>
              </w:rPr>
            </w:pPr>
          </w:p>
        </w:tc>
      </w:tr>
      <w:tr>
        <w:trPr>
          <w:trHeight w:val="212"/>
        </w:trPr>
        <w:tc>
          <w:tcPr>
            <w:tcW w:w="88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Australia Bank Limited</w:t>
            </w:r>
          </w:p>
        </w:tc>
        <w:tc>
          <w:tcPr>
            <w:tcW w:w="5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0120"/>
          </w:cols>
          <w:pgMar w:left="900" w:top="342" w:right="879" w:bottom="1440" w:gutter="0" w:footer="0" w:header="0"/>
          <w:type w:val="continuous"/>
        </w:sectPr>
      </w:pPr>
    </w:p>
    <w:p>
      <w:pPr>
        <w:ind w:left="1080" w:hanging="784"/>
        <w:spacing w:after="0" w:line="270" w:lineRule="auto"/>
        <w:tabs>
          <w:tab w:leader="none" w:pos="106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Wholesale Term Loan Facility dated May 21, 2015, among Reading Courtenay Central Limited and Westpac New Zealand Limited</w:t>
      </w:r>
    </w:p>
    <w:p>
      <w:pPr>
        <w:spacing w:after="0" w:line="20" w:lineRule="exact"/>
        <w:rPr>
          <w:sz w:val="20"/>
          <w:szCs w:val="20"/>
          <w:color w:val="auto"/>
        </w:rPr>
      </w:pPr>
      <w:r>
        <w:rPr>
          <w:sz w:val="20"/>
          <w:szCs w:val="20"/>
          <w:color w:val="auto"/>
        </w:rPr>
        <w:br w:type="column"/>
      </w:r>
    </w:p>
    <w:p>
      <w:pPr>
        <w:ind w:right="220"/>
        <w:spacing w:after="0" w:line="270" w:lineRule="auto"/>
        <w:rPr>
          <w:rFonts w:ascii="Arial" w:cs="Arial" w:eastAsia="Arial" w:hAnsi="Arial"/>
          <w:sz w:val="16"/>
          <w:szCs w:val="16"/>
          <w:b w:val="1"/>
          <w:bCs w:val="1"/>
          <w:color w:val="0000EE"/>
        </w:rPr>
      </w:pPr>
      <w:hyperlink r:id="rId294">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10.10 to the Company’s Annual Report on Form</w:t>
        </w:r>
      </w:hyperlink>
      <w:r>
        <w:rPr>
          <w:rFonts w:ascii="Arial" w:cs="Arial" w:eastAsia="Arial" w:hAnsi="Arial"/>
          <w:sz w:val="16"/>
          <w:szCs w:val="16"/>
          <w:color w:val="auto"/>
        </w:rPr>
        <w:t xml:space="preserve"> </w:t>
      </w:r>
      <w:hyperlink r:id="rId294">
        <w:r>
          <w:rPr>
            <w:rFonts w:ascii="Arial" w:cs="Arial" w:eastAsia="Arial" w:hAnsi="Arial"/>
            <w:sz w:val="16"/>
            <w:szCs w:val="16"/>
            <w:b w:val="1"/>
            <w:bCs w:val="1"/>
            <w:u w:val="single" w:color="auto"/>
            <w:color w:val="0000EE"/>
          </w:rPr>
          <w:t>10-K for the year ended December 31, 2015</w:t>
        </w:r>
        <w:r>
          <w:rPr>
            <w:rFonts w:ascii="Arial" w:cs="Arial" w:eastAsia="Arial" w:hAnsi="Arial"/>
            <w:sz w:val="16"/>
            <w:szCs w:val="16"/>
            <w:color w:val="000000"/>
          </w:rPr>
          <w:t>, filed on April 29,</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2016 and incorporated herein by reference.</w:t>
      </w:r>
    </w:p>
    <w:p>
      <w:pPr>
        <w:spacing w:after="0" w:line="1" w:lineRule="exact"/>
        <w:rPr>
          <w:sz w:val="20"/>
          <w:szCs w:val="20"/>
          <w:color w:val="auto"/>
        </w:rPr>
      </w:pPr>
    </w:p>
    <w:p>
      <w:pPr>
        <w:sectPr>
          <w:pgSz w:w="11900" w:h="16838" w:orient="portrait"/>
          <w:cols w:equalWidth="0" w:num="2">
            <w:col w:w="5180" w:space="260"/>
            <w:col w:w="4680"/>
          </w:cols>
          <w:pgMar w:left="900" w:top="342" w:right="87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880" w:type="dxa"/>
            <w:vAlign w:val="bottom"/>
            <w:shd w:val="clear" w:color="auto" w:fill="CCEEFF"/>
          </w:tcPr>
          <w:p>
            <w:pPr>
              <w:jc w:val="right"/>
              <w:ind w:right="139"/>
              <w:spacing w:after="0" w:line="149" w:lineRule="exact"/>
              <w:rPr>
                <w:sz w:val="20"/>
                <w:szCs w:val="20"/>
                <w:color w:val="auto"/>
              </w:rPr>
            </w:pPr>
            <w:r>
              <w:rPr>
                <w:rFonts w:ascii="Arial" w:cs="Arial" w:eastAsia="Arial" w:hAnsi="Arial"/>
                <w:sz w:val="16"/>
                <w:szCs w:val="16"/>
                <w:color w:val="auto"/>
              </w:rPr>
              <w:t>10.15</w:t>
            </w:r>
          </w:p>
        </w:tc>
        <w:tc>
          <w:tcPr>
            <w:tcW w:w="4560" w:type="dxa"/>
            <w:vAlign w:val="bottom"/>
            <w:shd w:val="clear" w:color="auto" w:fill="CCEEFF"/>
          </w:tcPr>
          <w:p>
            <w:pPr>
              <w:ind w:left="200"/>
              <w:spacing w:after="0" w:line="149" w:lineRule="exact"/>
              <w:rPr>
                <w:sz w:val="20"/>
                <w:szCs w:val="20"/>
                <w:color w:val="auto"/>
              </w:rPr>
            </w:pPr>
            <w:r>
              <w:rPr>
                <w:rFonts w:ascii="Arial" w:cs="Arial" w:eastAsia="Arial" w:hAnsi="Arial"/>
                <w:sz w:val="16"/>
                <w:szCs w:val="16"/>
                <w:color w:val="auto"/>
              </w:rPr>
              <w:t>Master Lease Agreement dated October 26, 2012, between</w:t>
            </w:r>
          </w:p>
        </w:tc>
        <w:tc>
          <w:tcPr>
            <w:tcW w:w="4680" w:type="dxa"/>
            <w:vAlign w:val="bottom"/>
            <w:gridSpan w:val="4"/>
            <w:shd w:val="clear" w:color="auto" w:fill="CCEEFF"/>
          </w:tcPr>
          <w:p>
            <w:pPr>
              <w:spacing w:after="0" w:line="149" w:lineRule="exact"/>
              <w:rPr>
                <w:rFonts w:ascii="Arial" w:cs="Arial" w:eastAsia="Arial" w:hAnsi="Arial"/>
                <w:sz w:val="16"/>
                <w:szCs w:val="16"/>
                <w:color w:val="auto"/>
                <w:w w:val="96"/>
              </w:rPr>
            </w:pPr>
            <w:hyperlink r:id="rId295">
              <w:r>
                <w:rPr>
                  <w:rFonts w:ascii="Arial" w:cs="Arial" w:eastAsia="Arial" w:hAnsi="Arial"/>
                  <w:sz w:val="16"/>
                  <w:szCs w:val="16"/>
                  <w:color w:val="auto"/>
                  <w:w w:val="96"/>
                </w:rPr>
                <w:t xml:space="preserve">Filed as </w:t>
              </w:r>
              <w:r>
                <w:rPr>
                  <w:rFonts w:ascii="Arial" w:cs="Arial" w:eastAsia="Arial" w:hAnsi="Arial"/>
                  <w:sz w:val="16"/>
                  <w:szCs w:val="16"/>
                  <w:b w:val="1"/>
                  <w:bCs w:val="1"/>
                  <w:color w:val="0000EE"/>
                  <w:w w:val="96"/>
                </w:rPr>
                <w:t>Exhibit 10.31 to the Company’s report on Form 10-K for</w:t>
              </w:r>
            </w:hyperlink>
          </w:p>
        </w:tc>
      </w:tr>
      <w:tr>
        <w:trPr>
          <w:trHeight w:val="20"/>
        </w:trPr>
        <w:tc>
          <w:tcPr>
            <w:tcW w:w="8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83"/>
        </w:trPr>
        <w:tc>
          <w:tcPr>
            <w:tcW w:w="88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Consolidated Cinema Services LLC and Banc of America</w:t>
            </w:r>
          </w:p>
        </w:tc>
        <w:tc>
          <w:tcPr>
            <w:tcW w:w="4680" w:type="dxa"/>
            <w:vAlign w:val="bottom"/>
            <w:gridSpan w:val="4"/>
            <w:shd w:val="clear" w:color="auto" w:fill="CCEEFF"/>
          </w:tcPr>
          <w:p>
            <w:pPr>
              <w:spacing w:after="0" w:line="183" w:lineRule="exact"/>
              <w:rPr>
                <w:rFonts w:ascii="Arial" w:cs="Arial" w:eastAsia="Arial" w:hAnsi="Arial"/>
                <w:sz w:val="16"/>
                <w:szCs w:val="16"/>
                <w:b w:val="1"/>
                <w:bCs w:val="1"/>
                <w:color w:val="0000EE"/>
              </w:rPr>
            </w:pPr>
            <w:hyperlink r:id="rId295">
              <w:r>
                <w:rPr>
                  <w:rFonts w:ascii="Arial" w:cs="Arial" w:eastAsia="Arial" w:hAnsi="Arial"/>
                  <w:sz w:val="16"/>
                  <w:szCs w:val="16"/>
                  <w:b w:val="1"/>
                  <w:bCs w:val="1"/>
                  <w:color w:val="0000EE"/>
                </w:rPr>
                <w:t>the year ended December 31, 2013</w:t>
              </w:r>
              <w:r>
                <w:rPr>
                  <w:rFonts w:ascii="Arial" w:cs="Arial" w:eastAsia="Arial" w:hAnsi="Arial"/>
                  <w:sz w:val="16"/>
                  <w:szCs w:val="16"/>
                  <w:color w:val="000000"/>
                </w:rPr>
                <w:t>, and incorporated herein by</w:t>
              </w:r>
            </w:hyperlink>
          </w:p>
        </w:tc>
      </w:tr>
      <w:tr>
        <w:trPr>
          <w:trHeight w:val="223"/>
        </w:trPr>
        <w:tc>
          <w:tcPr>
            <w:tcW w:w="880" w:type="dxa"/>
            <w:vAlign w:val="bottom"/>
            <w:tcBorders>
              <w:top w:val="single" w:sz="8" w:color="CCEEFF"/>
            </w:tcBorders>
            <w:shd w:val="clear" w:color="auto" w:fill="CCEEFF"/>
          </w:tcPr>
          <w:p>
            <w:pPr>
              <w:spacing w:after="0"/>
              <w:rPr>
                <w:sz w:val="19"/>
                <w:szCs w:val="19"/>
                <w:color w:val="auto"/>
              </w:rPr>
            </w:pPr>
          </w:p>
        </w:tc>
        <w:tc>
          <w:tcPr>
            <w:tcW w:w="45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Leasing &amp; Capital, LLC</w:t>
            </w:r>
          </w:p>
        </w:tc>
        <w:tc>
          <w:tcPr>
            <w:tcW w:w="238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rPr>
              <w:t>reference.</w:t>
            </w:r>
          </w:p>
        </w:tc>
        <w:tc>
          <w:tcPr>
            <w:tcW w:w="2300" w:type="dxa"/>
            <w:vAlign w:val="bottom"/>
            <w:tcBorders>
              <w:top w:val="single" w:sz="8" w:color="CCEEFF"/>
            </w:tcBorders>
            <w:gridSpan w:val="2"/>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0120"/>
          </w:cols>
          <w:pgMar w:left="900" w:top="342" w:right="879" w:bottom="1440" w:gutter="0" w:footer="0" w:header="0"/>
          <w:type w:val="continuous"/>
        </w:sectPr>
      </w:pPr>
    </w:p>
    <w:p>
      <w:pPr>
        <w:ind w:left="1080" w:hanging="784"/>
        <w:spacing w:after="0" w:line="268" w:lineRule="auto"/>
        <w:tabs>
          <w:tab w:leader="none" w:pos="106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6"/>
          <w:szCs w:val="16"/>
          <w:color w:val="auto"/>
        </w:rPr>
        <w:t>Amendment dated October 31, 2012 to the Master Lease Agreement dated October 26, 2012, between Consolidated Cinema Services LLC and Banc of America Leasing &amp; Capital, LLC</w:t>
      </w:r>
    </w:p>
    <w:p>
      <w:pPr>
        <w:spacing w:after="0" w:line="20" w:lineRule="exact"/>
        <w:rPr>
          <w:sz w:val="20"/>
          <w:szCs w:val="20"/>
          <w:color w:val="auto"/>
        </w:rPr>
      </w:pPr>
      <w:r>
        <w:rPr>
          <w:sz w:val="20"/>
          <w:szCs w:val="20"/>
          <w:color w:val="auto"/>
        </w:rPr>
        <w:br w:type="column"/>
      </w:r>
    </w:p>
    <w:p>
      <w:pPr>
        <w:ind w:right="200"/>
        <w:spacing w:after="0" w:line="272" w:lineRule="auto"/>
        <w:rPr>
          <w:rFonts w:ascii="Arial" w:cs="Arial" w:eastAsia="Arial" w:hAnsi="Arial"/>
          <w:sz w:val="16"/>
          <w:szCs w:val="16"/>
          <w:b w:val="1"/>
          <w:bCs w:val="1"/>
          <w:color w:val="0000EE"/>
        </w:rPr>
      </w:pPr>
      <w:hyperlink r:id="rId296">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10.32 to the Company’s report on Form 10-K for</w:t>
        </w:r>
      </w:hyperlink>
      <w:r>
        <w:rPr>
          <w:rFonts w:ascii="Arial" w:cs="Arial" w:eastAsia="Arial" w:hAnsi="Arial"/>
          <w:sz w:val="16"/>
          <w:szCs w:val="16"/>
          <w:color w:val="auto"/>
        </w:rPr>
        <w:t xml:space="preserve"> </w:t>
      </w:r>
      <w:hyperlink r:id="rId296">
        <w:r>
          <w:rPr>
            <w:rFonts w:ascii="Arial" w:cs="Arial" w:eastAsia="Arial" w:hAnsi="Arial"/>
            <w:sz w:val="16"/>
            <w:szCs w:val="16"/>
            <w:b w:val="1"/>
            <w:bCs w:val="1"/>
            <w:u w:val="single" w:color="auto"/>
            <w:color w:val="0000EE"/>
          </w:rPr>
          <w:t>the year ended December 31, 2013</w:t>
        </w:r>
        <w:r>
          <w:rPr>
            <w:rFonts w:ascii="Arial" w:cs="Arial" w:eastAsia="Arial" w:hAnsi="Arial"/>
            <w:sz w:val="16"/>
            <w:szCs w:val="16"/>
            <w:color w:val="000000"/>
          </w:rPr>
          <w:t>, and incorporated herein by</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reference.</w:t>
      </w:r>
    </w:p>
    <w:p>
      <w:pPr>
        <w:spacing w:after="0" w:line="197" w:lineRule="exact"/>
        <w:rPr>
          <w:sz w:val="20"/>
          <w:szCs w:val="20"/>
          <w:color w:val="auto"/>
        </w:rPr>
      </w:pPr>
    </w:p>
    <w:p>
      <w:pPr>
        <w:sectPr>
          <w:pgSz w:w="11900" w:h="16838" w:orient="portrait"/>
          <w:cols w:equalWidth="0" w:num="2">
            <w:col w:w="4880" w:space="560"/>
            <w:col w:w="4680"/>
          </w:cols>
          <w:pgMar w:left="900" w:top="342" w:right="87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900" w:type="dxa"/>
            <w:vAlign w:val="bottom"/>
            <w:shd w:val="clear" w:color="auto" w:fill="CCEEFF"/>
          </w:tcPr>
          <w:p>
            <w:pPr>
              <w:jc w:val="right"/>
              <w:ind w:right="119"/>
              <w:spacing w:after="0" w:line="151" w:lineRule="exact"/>
              <w:rPr>
                <w:sz w:val="20"/>
                <w:szCs w:val="20"/>
                <w:color w:val="auto"/>
              </w:rPr>
            </w:pPr>
            <w:r>
              <w:rPr>
                <w:rFonts w:ascii="Arial" w:cs="Arial" w:eastAsia="Arial" w:hAnsi="Arial"/>
                <w:sz w:val="16"/>
                <w:szCs w:val="16"/>
                <w:color w:val="auto"/>
              </w:rPr>
              <w:t>10.17*</w:t>
            </w:r>
          </w:p>
        </w:tc>
        <w:tc>
          <w:tcPr>
            <w:tcW w:w="4540" w:type="dxa"/>
            <w:vAlign w:val="bottom"/>
            <w:shd w:val="clear" w:color="auto" w:fill="CCEEFF"/>
          </w:tcPr>
          <w:p>
            <w:pPr>
              <w:ind w:left="180"/>
              <w:spacing w:after="0" w:line="151" w:lineRule="exact"/>
              <w:rPr>
                <w:sz w:val="20"/>
                <w:szCs w:val="20"/>
                <w:color w:val="auto"/>
              </w:rPr>
            </w:pPr>
            <w:r>
              <w:rPr>
                <w:rFonts w:ascii="Arial" w:cs="Arial" w:eastAsia="Arial" w:hAnsi="Arial"/>
                <w:sz w:val="16"/>
                <w:szCs w:val="16"/>
                <w:color w:val="auto"/>
              </w:rPr>
              <w:t>Form of Indemnification Agreement, as routinely granted to</w:t>
            </w:r>
          </w:p>
        </w:tc>
        <w:tc>
          <w:tcPr>
            <w:tcW w:w="4680" w:type="dxa"/>
            <w:vAlign w:val="bottom"/>
            <w:gridSpan w:val="4"/>
            <w:shd w:val="clear" w:color="auto" w:fill="CCEEFF"/>
          </w:tcPr>
          <w:p>
            <w:pPr>
              <w:spacing w:after="0" w:line="151" w:lineRule="exact"/>
              <w:rPr>
                <w:rFonts w:ascii="Arial" w:cs="Arial" w:eastAsia="Arial" w:hAnsi="Arial"/>
                <w:sz w:val="16"/>
                <w:szCs w:val="16"/>
                <w:color w:val="auto"/>
                <w:w w:val="96"/>
              </w:rPr>
            </w:pPr>
            <w:hyperlink r:id="rId297">
              <w:r>
                <w:rPr>
                  <w:rFonts w:ascii="Arial" w:cs="Arial" w:eastAsia="Arial" w:hAnsi="Arial"/>
                  <w:sz w:val="16"/>
                  <w:szCs w:val="16"/>
                  <w:color w:val="auto"/>
                  <w:w w:val="96"/>
                </w:rPr>
                <w:t xml:space="preserve">Filed as </w:t>
              </w:r>
              <w:r>
                <w:rPr>
                  <w:rFonts w:ascii="Arial" w:cs="Arial" w:eastAsia="Arial" w:hAnsi="Arial"/>
                  <w:sz w:val="16"/>
                  <w:szCs w:val="16"/>
                  <w:b w:val="1"/>
                  <w:bCs w:val="1"/>
                  <w:color w:val="0000EE"/>
                  <w:w w:val="96"/>
                </w:rPr>
                <w:t>Exhibit 10.77 to the Company’s report on Form 10-Q for</w:t>
              </w:r>
            </w:hyperlink>
          </w:p>
        </w:tc>
      </w:tr>
      <w:tr>
        <w:trPr>
          <w:trHeight w:val="20"/>
        </w:trPr>
        <w:tc>
          <w:tcPr>
            <w:tcW w:w="90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454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the Company’s Officers and Directors</w:t>
            </w:r>
          </w:p>
        </w:tc>
        <w:tc>
          <w:tcPr>
            <w:tcW w:w="4680" w:type="dxa"/>
            <w:vAlign w:val="bottom"/>
            <w:gridSpan w:val="4"/>
            <w:shd w:val="clear" w:color="auto" w:fill="CCEEFF"/>
          </w:tcPr>
          <w:p>
            <w:pPr>
              <w:spacing w:after="0" w:line="183" w:lineRule="exact"/>
              <w:rPr>
                <w:rFonts w:ascii="Arial" w:cs="Arial" w:eastAsia="Arial" w:hAnsi="Arial"/>
                <w:sz w:val="16"/>
                <w:szCs w:val="16"/>
                <w:b w:val="1"/>
                <w:bCs w:val="1"/>
                <w:color w:val="0000EE"/>
                <w:w w:val="96"/>
              </w:rPr>
            </w:pPr>
            <w:hyperlink r:id="rId297">
              <w:r>
                <w:rPr>
                  <w:rFonts w:ascii="Arial" w:cs="Arial" w:eastAsia="Arial" w:hAnsi="Arial"/>
                  <w:sz w:val="16"/>
                  <w:szCs w:val="16"/>
                  <w:b w:val="1"/>
                  <w:bCs w:val="1"/>
                  <w:color w:val="0000EE"/>
                  <w:w w:val="96"/>
                </w:rPr>
                <w:t>the period ended September 30, 2008</w:t>
              </w:r>
              <w:r>
                <w:rPr>
                  <w:rFonts w:ascii="Arial" w:cs="Arial" w:eastAsia="Arial" w:hAnsi="Arial"/>
                  <w:sz w:val="16"/>
                  <w:szCs w:val="16"/>
                  <w:color w:val="000000"/>
                  <w:w w:val="96"/>
                </w:rPr>
                <w:t>, and incorporated herein by</w:t>
              </w:r>
            </w:hyperlink>
          </w:p>
        </w:tc>
      </w:tr>
      <w:tr>
        <w:trPr>
          <w:trHeight w:val="223"/>
        </w:trPr>
        <w:tc>
          <w:tcPr>
            <w:tcW w:w="900" w:type="dxa"/>
            <w:vAlign w:val="bottom"/>
            <w:tcBorders>
              <w:top w:val="single" w:sz="8" w:color="CCEEFF"/>
            </w:tcBorders>
            <w:shd w:val="clear" w:color="auto" w:fill="CCEEFF"/>
          </w:tcPr>
          <w:p>
            <w:pPr>
              <w:spacing w:after="0"/>
              <w:rPr>
                <w:sz w:val="19"/>
                <w:szCs w:val="19"/>
                <w:color w:val="auto"/>
              </w:rPr>
            </w:pPr>
          </w:p>
        </w:tc>
        <w:tc>
          <w:tcPr>
            <w:tcW w:w="454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rPr>
              <w:t>reference.</w:t>
            </w:r>
          </w:p>
        </w:tc>
        <w:tc>
          <w:tcPr>
            <w:tcW w:w="2120" w:type="dxa"/>
            <w:vAlign w:val="bottom"/>
            <w:tcBorders>
              <w:top w:val="single" w:sz="8" w:color="CCEEFF"/>
            </w:tcBorders>
            <w:gridSpan w:val="2"/>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0120"/>
          </w:cols>
          <w:pgMar w:left="900" w:top="342" w:right="879" w:bottom="1440" w:gutter="0" w:footer="0" w:header="0"/>
          <w:type w:val="continuous"/>
        </w:sectPr>
      </w:pPr>
    </w:p>
    <w:p>
      <w:pPr>
        <w:ind w:left="1080" w:hanging="825"/>
        <w:spacing w:after="0" w:line="315" w:lineRule="auto"/>
        <w:tabs>
          <w:tab w:leader="none" w:pos="1060" w:val="left"/>
        </w:tabs>
        <w:rPr>
          <w:sz w:val="20"/>
          <w:szCs w:val="20"/>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5"/>
          <w:szCs w:val="15"/>
          <w:color w:val="auto"/>
        </w:rPr>
        <w:t>Employment Agreement between Reading International, Inc. and Devasis Ghose, Chief Financial Officer</w:t>
      </w:r>
    </w:p>
    <w:p>
      <w:pPr>
        <w:spacing w:after="0" w:line="20" w:lineRule="exact"/>
        <w:rPr>
          <w:sz w:val="20"/>
          <w:szCs w:val="20"/>
          <w:color w:val="auto"/>
        </w:rPr>
      </w:pPr>
      <w:r>
        <w:rPr>
          <w:sz w:val="20"/>
          <w:szCs w:val="20"/>
          <w:color w:val="auto"/>
        </w:rPr>
        <w:br w:type="column"/>
      </w:r>
    </w:p>
    <w:p>
      <w:pPr>
        <w:ind w:right="280"/>
        <w:spacing w:after="0" w:line="270" w:lineRule="auto"/>
        <w:rPr>
          <w:rFonts w:ascii="Arial" w:cs="Arial" w:eastAsia="Arial" w:hAnsi="Arial"/>
          <w:sz w:val="16"/>
          <w:szCs w:val="16"/>
          <w:b w:val="1"/>
          <w:bCs w:val="1"/>
          <w:color w:val="0000EE"/>
        </w:rPr>
      </w:pPr>
      <w:hyperlink r:id="rId298">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10.1 to the Company’s report on Form 10-Q for</w:t>
        </w:r>
      </w:hyperlink>
      <w:r>
        <w:rPr>
          <w:rFonts w:ascii="Arial" w:cs="Arial" w:eastAsia="Arial" w:hAnsi="Arial"/>
          <w:sz w:val="16"/>
          <w:szCs w:val="16"/>
          <w:color w:val="auto"/>
        </w:rPr>
        <w:t xml:space="preserve"> </w:t>
      </w:r>
      <w:hyperlink r:id="rId298">
        <w:r>
          <w:rPr>
            <w:rFonts w:ascii="Arial" w:cs="Arial" w:eastAsia="Arial" w:hAnsi="Arial"/>
            <w:sz w:val="16"/>
            <w:szCs w:val="16"/>
            <w:b w:val="1"/>
            <w:bCs w:val="1"/>
            <w:u w:val="single" w:color="auto"/>
            <w:color w:val="0000EE"/>
          </w:rPr>
          <w:t>the period ended March 31, 2015</w:t>
        </w:r>
        <w:r>
          <w:rPr>
            <w:rFonts w:ascii="Arial" w:cs="Arial" w:eastAsia="Arial" w:hAnsi="Arial"/>
            <w:sz w:val="16"/>
            <w:szCs w:val="16"/>
            <w:color w:val="000000"/>
          </w:rPr>
          <w:t>, and incorporated herein by</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reference.</w:t>
      </w:r>
    </w:p>
    <w:p>
      <w:pPr>
        <w:spacing w:after="0" w:line="1" w:lineRule="exact"/>
        <w:rPr>
          <w:sz w:val="20"/>
          <w:szCs w:val="20"/>
          <w:color w:val="auto"/>
        </w:rPr>
      </w:pPr>
    </w:p>
    <w:p>
      <w:pPr>
        <w:sectPr>
          <w:pgSz w:w="11900" w:h="16838" w:orient="portrait"/>
          <w:cols w:equalWidth="0" w:num="2">
            <w:col w:w="5040" w:space="400"/>
            <w:col w:w="4680"/>
          </w:cols>
          <w:pgMar w:left="900" w:top="342" w:right="87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900" w:type="dxa"/>
            <w:vAlign w:val="bottom"/>
            <w:shd w:val="clear" w:color="auto" w:fill="CCEEFF"/>
          </w:tcPr>
          <w:p>
            <w:pPr>
              <w:jc w:val="right"/>
              <w:ind w:right="119"/>
              <w:spacing w:after="0" w:line="149" w:lineRule="exact"/>
              <w:rPr>
                <w:sz w:val="20"/>
                <w:szCs w:val="20"/>
                <w:color w:val="auto"/>
              </w:rPr>
            </w:pPr>
            <w:r>
              <w:rPr>
                <w:rFonts w:ascii="Arial" w:cs="Arial" w:eastAsia="Arial" w:hAnsi="Arial"/>
                <w:sz w:val="16"/>
                <w:szCs w:val="16"/>
                <w:color w:val="auto"/>
              </w:rPr>
              <w:t>10.19*</w:t>
            </w:r>
          </w:p>
        </w:tc>
        <w:tc>
          <w:tcPr>
            <w:tcW w:w="4540" w:type="dxa"/>
            <w:vAlign w:val="bottom"/>
            <w:shd w:val="clear" w:color="auto" w:fill="CCEEFF"/>
          </w:tcPr>
          <w:p>
            <w:pPr>
              <w:ind w:left="180"/>
              <w:spacing w:after="0" w:line="149" w:lineRule="exact"/>
              <w:rPr>
                <w:sz w:val="20"/>
                <w:szCs w:val="20"/>
                <w:color w:val="auto"/>
              </w:rPr>
            </w:pPr>
            <w:r>
              <w:rPr>
                <w:rFonts w:ascii="Arial" w:cs="Arial" w:eastAsia="Arial" w:hAnsi="Arial"/>
                <w:sz w:val="16"/>
                <w:szCs w:val="16"/>
                <w:color w:val="auto"/>
              </w:rPr>
              <w:t>Separation and Release Agreement dated May 30, 2014</w:t>
            </w:r>
          </w:p>
        </w:tc>
        <w:tc>
          <w:tcPr>
            <w:tcW w:w="4680" w:type="dxa"/>
            <w:vAlign w:val="bottom"/>
            <w:gridSpan w:val="4"/>
            <w:shd w:val="clear" w:color="auto" w:fill="CCEEFF"/>
          </w:tcPr>
          <w:p>
            <w:pPr>
              <w:spacing w:after="0" w:line="149" w:lineRule="exact"/>
              <w:rPr>
                <w:rFonts w:ascii="Arial" w:cs="Arial" w:eastAsia="Arial" w:hAnsi="Arial"/>
                <w:sz w:val="16"/>
                <w:szCs w:val="16"/>
                <w:color w:val="auto"/>
                <w:w w:val="97"/>
              </w:rPr>
            </w:pPr>
            <w:hyperlink r:id="rId299">
              <w:r>
                <w:rPr>
                  <w:rFonts w:ascii="Arial" w:cs="Arial" w:eastAsia="Arial" w:hAnsi="Arial"/>
                  <w:sz w:val="16"/>
                  <w:szCs w:val="16"/>
                  <w:color w:val="auto"/>
                  <w:w w:val="97"/>
                </w:rPr>
                <w:t xml:space="preserve">Filed as </w:t>
              </w:r>
              <w:r>
                <w:rPr>
                  <w:rFonts w:ascii="Arial" w:cs="Arial" w:eastAsia="Arial" w:hAnsi="Arial"/>
                  <w:sz w:val="16"/>
                  <w:szCs w:val="16"/>
                  <w:b w:val="1"/>
                  <w:bCs w:val="1"/>
                  <w:color w:val="0000EE"/>
                  <w:w w:val="97"/>
                </w:rPr>
                <w:t>Exhibit 10.19 to the Company’s Annual Report on Form</w:t>
              </w:r>
            </w:hyperlink>
          </w:p>
        </w:tc>
      </w:tr>
      <w:tr>
        <w:trPr>
          <w:trHeight w:val="20"/>
        </w:trPr>
        <w:tc>
          <w:tcPr>
            <w:tcW w:w="90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454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between Reading International, Inc. and Andrzej Matyczynski</w:t>
            </w:r>
          </w:p>
        </w:tc>
        <w:tc>
          <w:tcPr>
            <w:tcW w:w="4680" w:type="dxa"/>
            <w:vAlign w:val="bottom"/>
            <w:gridSpan w:val="4"/>
            <w:shd w:val="clear" w:color="auto" w:fill="CCEEFF"/>
          </w:tcPr>
          <w:p>
            <w:pPr>
              <w:spacing w:after="0" w:line="183" w:lineRule="exact"/>
              <w:rPr>
                <w:rFonts w:ascii="Arial" w:cs="Arial" w:eastAsia="Arial" w:hAnsi="Arial"/>
                <w:sz w:val="16"/>
                <w:szCs w:val="16"/>
                <w:b w:val="1"/>
                <w:bCs w:val="1"/>
                <w:color w:val="0000EE"/>
              </w:rPr>
            </w:pPr>
            <w:hyperlink r:id="rId299">
              <w:r>
                <w:rPr>
                  <w:rFonts w:ascii="Arial" w:cs="Arial" w:eastAsia="Arial" w:hAnsi="Arial"/>
                  <w:sz w:val="16"/>
                  <w:szCs w:val="16"/>
                  <w:b w:val="1"/>
                  <w:bCs w:val="1"/>
                  <w:color w:val="0000EE"/>
                </w:rPr>
                <w:t>10-K for the year ended December 31, 2015</w:t>
              </w:r>
              <w:r>
                <w:rPr>
                  <w:rFonts w:ascii="Arial" w:cs="Arial" w:eastAsia="Arial" w:hAnsi="Arial"/>
                  <w:sz w:val="16"/>
                  <w:szCs w:val="16"/>
                  <w:color w:val="000000"/>
                </w:rPr>
                <w:t>, filed on April 29,</w:t>
              </w:r>
            </w:hyperlink>
          </w:p>
        </w:tc>
      </w:tr>
      <w:tr>
        <w:trPr>
          <w:trHeight w:val="223"/>
        </w:trPr>
        <w:tc>
          <w:tcPr>
            <w:tcW w:w="900" w:type="dxa"/>
            <w:vAlign w:val="bottom"/>
            <w:tcBorders>
              <w:top w:val="single" w:sz="8" w:color="CCEEFF"/>
            </w:tcBorders>
            <w:shd w:val="clear" w:color="auto" w:fill="CCEEFF"/>
          </w:tcPr>
          <w:p>
            <w:pPr>
              <w:spacing w:after="0"/>
              <w:rPr>
                <w:sz w:val="19"/>
                <w:szCs w:val="19"/>
                <w:color w:val="auto"/>
              </w:rPr>
            </w:pPr>
          </w:p>
        </w:tc>
        <w:tc>
          <w:tcPr>
            <w:tcW w:w="454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w w:val="97"/>
              </w:rPr>
              <w:t>2016 and incorporated herein by reference.</w:t>
            </w:r>
          </w:p>
        </w:tc>
        <w:tc>
          <w:tcPr>
            <w:tcW w:w="1680" w:type="dxa"/>
            <w:vAlign w:val="bottom"/>
            <w:tcBorders>
              <w:top w:val="single" w:sz="8" w:color="CCEEFF"/>
            </w:tcBorders>
            <w:gridSpan w:val="2"/>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0120"/>
          </w:cols>
          <w:pgMar w:left="900" w:top="342" w:right="879" w:bottom="1440" w:gutter="0" w:footer="0" w:header="0"/>
          <w:type w:val="continuous"/>
        </w:sectPr>
      </w:pPr>
    </w:p>
    <w:p>
      <w:pPr>
        <w:ind w:left="1080" w:hanging="825"/>
        <w:spacing w:after="0" w:line="270" w:lineRule="auto"/>
        <w:tabs>
          <w:tab w:leader="none" w:pos="1060" w:val="left"/>
        </w:tabs>
        <w:rPr>
          <w:sz w:val="20"/>
          <w:szCs w:val="20"/>
          <w:color w:val="auto"/>
        </w:rPr>
      </w:pPr>
      <w:r>
        <w:rPr>
          <w:rFonts w:ascii="Arial" w:cs="Arial" w:eastAsia="Arial" w:hAnsi="Arial"/>
          <w:sz w:val="16"/>
          <w:szCs w:val="16"/>
          <w:color w:val="auto"/>
        </w:rPr>
        <w:t>10.20*</w:t>
      </w:r>
      <w:r>
        <w:rPr>
          <w:sz w:val="20"/>
          <w:szCs w:val="20"/>
          <w:color w:val="auto"/>
        </w:rPr>
        <w:tab/>
      </w:r>
      <w:r>
        <w:rPr>
          <w:rFonts w:ascii="Arial" w:cs="Arial" w:eastAsia="Arial" w:hAnsi="Arial"/>
          <w:sz w:val="16"/>
          <w:szCs w:val="16"/>
          <w:color w:val="auto"/>
        </w:rPr>
        <w:t>First Amendment to the Separation and Release Agreement between Reading International, Inc. and Andrzej Matyczynski, effective as of August 6, 2014</w:t>
      </w:r>
    </w:p>
    <w:p>
      <w:pPr>
        <w:spacing w:after="0" w:line="20" w:lineRule="exact"/>
        <w:rPr>
          <w:sz w:val="20"/>
          <w:szCs w:val="20"/>
          <w:color w:val="auto"/>
        </w:rPr>
      </w:pPr>
      <w:r>
        <w:rPr>
          <w:sz w:val="20"/>
          <w:szCs w:val="20"/>
          <w:color w:val="auto"/>
        </w:rPr>
        <w:br w:type="column"/>
      </w:r>
    </w:p>
    <w:p>
      <w:pPr>
        <w:ind w:right="220"/>
        <w:spacing w:after="0" w:line="270" w:lineRule="auto"/>
        <w:rPr>
          <w:rFonts w:ascii="Arial" w:cs="Arial" w:eastAsia="Arial" w:hAnsi="Arial"/>
          <w:sz w:val="16"/>
          <w:szCs w:val="16"/>
          <w:b w:val="1"/>
          <w:bCs w:val="1"/>
          <w:color w:val="0000EE"/>
        </w:rPr>
      </w:pPr>
      <w:hyperlink r:id="rId300">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10.20 to the Company’s Annual Report on Form</w:t>
        </w:r>
      </w:hyperlink>
      <w:r>
        <w:rPr>
          <w:rFonts w:ascii="Arial" w:cs="Arial" w:eastAsia="Arial" w:hAnsi="Arial"/>
          <w:sz w:val="16"/>
          <w:szCs w:val="16"/>
          <w:color w:val="auto"/>
        </w:rPr>
        <w:t xml:space="preserve"> </w:t>
      </w:r>
      <w:hyperlink r:id="rId300">
        <w:r>
          <w:rPr>
            <w:rFonts w:ascii="Arial" w:cs="Arial" w:eastAsia="Arial" w:hAnsi="Arial"/>
            <w:sz w:val="16"/>
            <w:szCs w:val="16"/>
            <w:b w:val="1"/>
            <w:bCs w:val="1"/>
            <w:u w:val="single" w:color="auto"/>
            <w:color w:val="0000EE"/>
          </w:rPr>
          <w:t>10-K for the year ended December 31, 2015</w:t>
        </w:r>
        <w:r>
          <w:rPr>
            <w:rFonts w:ascii="Arial" w:cs="Arial" w:eastAsia="Arial" w:hAnsi="Arial"/>
            <w:sz w:val="16"/>
            <w:szCs w:val="16"/>
            <w:color w:val="000000"/>
          </w:rPr>
          <w:t>, filed on April 29,</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2016 and incorporated herein by reference.</w:t>
      </w:r>
    </w:p>
    <w:p>
      <w:pPr>
        <w:spacing w:after="0" w:line="1" w:lineRule="exact"/>
        <w:rPr>
          <w:sz w:val="20"/>
          <w:szCs w:val="20"/>
          <w:color w:val="auto"/>
        </w:rPr>
      </w:pPr>
    </w:p>
    <w:p>
      <w:pPr>
        <w:sectPr>
          <w:pgSz w:w="11900" w:h="16838" w:orient="portrait"/>
          <w:cols w:equalWidth="0" w:num="2">
            <w:col w:w="5160" w:space="280"/>
            <w:col w:w="4680"/>
          </w:cols>
          <w:pgMar w:left="900" w:top="342" w:right="87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900" w:type="dxa"/>
            <w:vAlign w:val="bottom"/>
            <w:shd w:val="clear" w:color="auto" w:fill="CCEEFF"/>
          </w:tcPr>
          <w:p>
            <w:pPr>
              <w:jc w:val="right"/>
              <w:ind w:right="119"/>
              <w:spacing w:after="0" w:line="149" w:lineRule="exact"/>
              <w:rPr>
                <w:sz w:val="20"/>
                <w:szCs w:val="20"/>
                <w:color w:val="auto"/>
              </w:rPr>
            </w:pPr>
            <w:r>
              <w:rPr>
                <w:rFonts w:ascii="Arial" w:cs="Arial" w:eastAsia="Arial" w:hAnsi="Arial"/>
                <w:sz w:val="16"/>
                <w:szCs w:val="16"/>
                <w:color w:val="auto"/>
              </w:rPr>
              <w:t>10.21*</w:t>
            </w:r>
          </w:p>
        </w:tc>
        <w:tc>
          <w:tcPr>
            <w:tcW w:w="4540" w:type="dxa"/>
            <w:vAlign w:val="bottom"/>
            <w:shd w:val="clear" w:color="auto" w:fill="CCEEFF"/>
          </w:tcPr>
          <w:p>
            <w:pPr>
              <w:ind w:left="180"/>
              <w:spacing w:after="0" w:line="149" w:lineRule="exact"/>
              <w:rPr>
                <w:sz w:val="20"/>
                <w:szCs w:val="20"/>
                <w:color w:val="auto"/>
              </w:rPr>
            </w:pPr>
            <w:r>
              <w:rPr>
                <w:rFonts w:ascii="Arial" w:cs="Arial" w:eastAsia="Arial" w:hAnsi="Arial"/>
                <w:sz w:val="16"/>
                <w:szCs w:val="16"/>
                <w:color w:val="auto"/>
                <w:w w:val="96"/>
              </w:rPr>
              <w:t>Second Amendment to the Separation and Release Agreement</w:t>
            </w:r>
          </w:p>
        </w:tc>
        <w:tc>
          <w:tcPr>
            <w:tcW w:w="4680" w:type="dxa"/>
            <w:vAlign w:val="bottom"/>
            <w:gridSpan w:val="4"/>
            <w:shd w:val="clear" w:color="auto" w:fill="CCEEFF"/>
          </w:tcPr>
          <w:p>
            <w:pPr>
              <w:spacing w:after="0" w:line="149" w:lineRule="exact"/>
              <w:rPr>
                <w:rFonts w:ascii="Arial" w:cs="Arial" w:eastAsia="Arial" w:hAnsi="Arial"/>
                <w:sz w:val="16"/>
                <w:szCs w:val="16"/>
                <w:color w:val="auto"/>
                <w:w w:val="97"/>
              </w:rPr>
            </w:pPr>
            <w:hyperlink r:id="rId301">
              <w:r>
                <w:rPr>
                  <w:rFonts w:ascii="Arial" w:cs="Arial" w:eastAsia="Arial" w:hAnsi="Arial"/>
                  <w:sz w:val="16"/>
                  <w:szCs w:val="16"/>
                  <w:color w:val="auto"/>
                  <w:w w:val="97"/>
                </w:rPr>
                <w:t xml:space="preserve">Filed as </w:t>
              </w:r>
              <w:r>
                <w:rPr>
                  <w:rFonts w:ascii="Arial" w:cs="Arial" w:eastAsia="Arial" w:hAnsi="Arial"/>
                  <w:sz w:val="16"/>
                  <w:szCs w:val="16"/>
                  <w:b w:val="1"/>
                  <w:bCs w:val="1"/>
                  <w:color w:val="0000EE"/>
                  <w:w w:val="97"/>
                </w:rPr>
                <w:t>Exhibit 10.21 to the Company’s Annual Report on Form</w:t>
              </w:r>
            </w:hyperlink>
          </w:p>
        </w:tc>
      </w:tr>
      <w:tr>
        <w:trPr>
          <w:trHeight w:val="20"/>
        </w:trPr>
        <w:tc>
          <w:tcPr>
            <w:tcW w:w="90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454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w w:val="99"/>
              </w:rPr>
              <w:t>between Reading International, Inc. and Andrzej Matyczynski,</w:t>
            </w:r>
          </w:p>
        </w:tc>
        <w:tc>
          <w:tcPr>
            <w:tcW w:w="4680" w:type="dxa"/>
            <w:vAlign w:val="bottom"/>
            <w:gridSpan w:val="4"/>
            <w:shd w:val="clear" w:color="auto" w:fill="CCEEFF"/>
          </w:tcPr>
          <w:p>
            <w:pPr>
              <w:spacing w:after="0" w:line="183" w:lineRule="exact"/>
              <w:rPr>
                <w:rFonts w:ascii="Arial" w:cs="Arial" w:eastAsia="Arial" w:hAnsi="Arial"/>
                <w:sz w:val="16"/>
                <w:szCs w:val="16"/>
                <w:b w:val="1"/>
                <w:bCs w:val="1"/>
                <w:color w:val="0000EE"/>
              </w:rPr>
            </w:pPr>
            <w:hyperlink r:id="rId301">
              <w:r>
                <w:rPr>
                  <w:rFonts w:ascii="Arial" w:cs="Arial" w:eastAsia="Arial" w:hAnsi="Arial"/>
                  <w:sz w:val="16"/>
                  <w:szCs w:val="16"/>
                  <w:b w:val="1"/>
                  <w:bCs w:val="1"/>
                  <w:color w:val="0000EE"/>
                </w:rPr>
                <w:t>10-K for the year ended December 31, 2015</w:t>
              </w:r>
              <w:r>
                <w:rPr>
                  <w:rFonts w:ascii="Arial" w:cs="Arial" w:eastAsia="Arial" w:hAnsi="Arial"/>
                  <w:sz w:val="16"/>
                  <w:szCs w:val="16"/>
                  <w:color w:val="000000"/>
                </w:rPr>
                <w:t>, filed on April 29,</w:t>
              </w:r>
            </w:hyperlink>
          </w:p>
        </w:tc>
      </w:tr>
      <w:tr>
        <w:trPr>
          <w:trHeight w:val="223"/>
        </w:trPr>
        <w:tc>
          <w:tcPr>
            <w:tcW w:w="900" w:type="dxa"/>
            <w:vAlign w:val="bottom"/>
            <w:tcBorders>
              <w:top w:val="single" w:sz="8" w:color="CCEEFF"/>
            </w:tcBorders>
            <w:shd w:val="clear" w:color="auto" w:fill="CCEEFF"/>
          </w:tcPr>
          <w:p>
            <w:pPr>
              <w:spacing w:after="0"/>
              <w:rPr>
                <w:sz w:val="19"/>
                <w:szCs w:val="19"/>
                <w:color w:val="auto"/>
              </w:rPr>
            </w:pPr>
          </w:p>
        </w:tc>
        <w:tc>
          <w:tcPr>
            <w:tcW w:w="4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effective as of November 26, 2014</w:t>
            </w:r>
          </w:p>
        </w:tc>
        <w:tc>
          <w:tcPr>
            <w:tcW w:w="300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w w:val="97"/>
              </w:rPr>
              <w:t>2016 and incorporated herein by reference.</w:t>
            </w:r>
          </w:p>
        </w:tc>
        <w:tc>
          <w:tcPr>
            <w:tcW w:w="1680" w:type="dxa"/>
            <w:vAlign w:val="bottom"/>
            <w:tcBorders>
              <w:top w:val="single" w:sz="8" w:color="CCEEFF"/>
            </w:tcBorders>
            <w:gridSpan w:val="2"/>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0120"/>
          </w:cols>
          <w:pgMar w:left="900" w:top="342" w:right="879" w:bottom="1440" w:gutter="0" w:footer="0" w:header="0"/>
          <w:type w:val="continuous"/>
        </w:sectPr>
      </w:pPr>
    </w:p>
    <w:p>
      <w:pPr>
        <w:ind w:left="1080" w:hanging="825"/>
        <w:spacing w:after="0" w:line="270" w:lineRule="auto"/>
        <w:tabs>
          <w:tab w:leader="none" w:pos="1060" w:val="left"/>
        </w:tabs>
        <w:rPr>
          <w:sz w:val="20"/>
          <w:szCs w:val="20"/>
          <w:color w:val="auto"/>
        </w:rPr>
      </w:pPr>
      <w:r>
        <w:rPr>
          <w:rFonts w:ascii="Arial" w:cs="Arial" w:eastAsia="Arial" w:hAnsi="Arial"/>
          <w:sz w:val="16"/>
          <w:szCs w:val="16"/>
          <w:color w:val="auto"/>
        </w:rPr>
        <w:t>10.22*</w:t>
      </w:r>
      <w:r>
        <w:rPr>
          <w:sz w:val="20"/>
          <w:szCs w:val="20"/>
          <w:color w:val="auto"/>
        </w:rPr>
        <w:tab/>
      </w:r>
      <w:r>
        <w:rPr>
          <w:rFonts w:ascii="Arial" w:cs="Arial" w:eastAsia="Arial" w:hAnsi="Arial"/>
          <w:sz w:val="16"/>
          <w:szCs w:val="16"/>
          <w:color w:val="auto"/>
        </w:rPr>
        <w:t>Third Amendment to the Separation and Release Agreement between Reading International, Inc. and Andrzej Matyczynski, effective as of May 1, 2015</w:t>
      </w:r>
    </w:p>
    <w:p>
      <w:pPr>
        <w:spacing w:after="0" w:line="20" w:lineRule="exact"/>
        <w:rPr>
          <w:sz w:val="20"/>
          <w:szCs w:val="20"/>
          <w:color w:val="auto"/>
        </w:rPr>
      </w:pPr>
      <w:r>
        <w:rPr>
          <w:sz w:val="20"/>
          <w:szCs w:val="20"/>
          <w:color w:val="auto"/>
        </w:rPr>
        <w:br w:type="column"/>
      </w:r>
    </w:p>
    <w:p>
      <w:pPr>
        <w:ind w:right="220"/>
        <w:spacing w:after="0" w:line="270" w:lineRule="auto"/>
        <w:rPr>
          <w:rFonts w:ascii="Arial" w:cs="Arial" w:eastAsia="Arial" w:hAnsi="Arial"/>
          <w:sz w:val="16"/>
          <w:szCs w:val="16"/>
          <w:b w:val="1"/>
          <w:bCs w:val="1"/>
          <w:color w:val="0000EE"/>
        </w:rPr>
      </w:pPr>
      <w:hyperlink r:id="rId302">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10.22 to the Company’s Annual Report on Form</w:t>
        </w:r>
      </w:hyperlink>
      <w:r>
        <w:rPr>
          <w:rFonts w:ascii="Arial" w:cs="Arial" w:eastAsia="Arial" w:hAnsi="Arial"/>
          <w:sz w:val="16"/>
          <w:szCs w:val="16"/>
          <w:color w:val="auto"/>
        </w:rPr>
        <w:t xml:space="preserve"> </w:t>
      </w:r>
      <w:hyperlink r:id="rId302">
        <w:r>
          <w:rPr>
            <w:rFonts w:ascii="Arial" w:cs="Arial" w:eastAsia="Arial" w:hAnsi="Arial"/>
            <w:sz w:val="16"/>
            <w:szCs w:val="16"/>
            <w:b w:val="1"/>
            <w:bCs w:val="1"/>
            <w:u w:val="single" w:color="auto"/>
            <w:color w:val="0000EE"/>
          </w:rPr>
          <w:t>10-K for the year ended December 31, 2015</w:t>
        </w:r>
        <w:r>
          <w:rPr>
            <w:rFonts w:ascii="Arial" w:cs="Arial" w:eastAsia="Arial" w:hAnsi="Arial"/>
            <w:sz w:val="16"/>
            <w:szCs w:val="16"/>
            <w:color w:val="000000"/>
          </w:rPr>
          <w:t>, filed on April 29,</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2016 and incorporated herein by reference.</w:t>
      </w:r>
    </w:p>
    <w:p>
      <w:pPr>
        <w:spacing w:after="0" w:line="1" w:lineRule="exact"/>
        <w:rPr>
          <w:sz w:val="20"/>
          <w:szCs w:val="20"/>
          <w:color w:val="auto"/>
        </w:rPr>
      </w:pPr>
    </w:p>
    <w:p>
      <w:pPr>
        <w:sectPr>
          <w:pgSz w:w="11900" w:h="16838" w:orient="portrait"/>
          <w:cols w:equalWidth="0" w:num="2">
            <w:col w:w="5160" w:space="280"/>
            <w:col w:w="4680"/>
          </w:cols>
          <w:pgMar w:left="900" w:top="342" w:right="87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6"/>
                <w:szCs w:val="16"/>
                <w:color w:val="auto"/>
                <w:w w:val="95"/>
              </w:rPr>
              <w:t>10.23*</w:t>
            </w:r>
          </w:p>
        </w:tc>
        <w:tc>
          <w:tcPr>
            <w:tcW w:w="4540" w:type="dxa"/>
            <w:vAlign w:val="bottom"/>
            <w:shd w:val="clear" w:color="auto" w:fill="CCEEFF"/>
          </w:tcPr>
          <w:p>
            <w:pPr>
              <w:ind w:left="180"/>
              <w:spacing w:after="0" w:line="149" w:lineRule="exact"/>
              <w:rPr>
                <w:sz w:val="20"/>
                <w:szCs w:val="20"/>
                <w:color w:val="auto"/>
              </w:rPr>
            </w:pPr>
            <w:r>
              <w:rPr>
                <w:rFonts w:ascii="Arial" w:cs="Arial" w:eastAsia="Arial" w:hAnsi="Arial"/>
                <w:sz w:val="16"/>
                <w:szCs w:val="16"/>
                <w:color w:val="auto"/>
              </w:rPr>
              <w:t>Amended and Restated Compensatory Arrangements for</w:t>
            </w:r>
          </w:p>
        </w:tc>
        <w:tc>
          <w:tcPr>
            <w:tcW w:w="4680" w:type="dxa"/>
            <w:vAlign w:val="bottom"/>
            <w:gridSpan w:val="6"/>
            <w:shd w:val="clear" w:color="auto" w:fill="CCEEFF"/>
          </w:tcPr>
          <w:p>
            <w:pPr>
              <w:spacing w:after="0" w:line="149" w:lineRule="exact"/>
              <w:rPr>
                <w:rFonts w:ascii="Arial" w:cs="Arial" w:eastAsia="Arial" w:hAnsi="Arial"/>
                <w:sz w:val="16"/>
                <w:szCs w:val="16"/>
                <w:color w:val="auto"/>
                <w:w w:val="97"/>
              </w:rPr>
            </w:pPr>
            <w:hyperlink r:id="rId303">
              <w:r>
                <w:rPr>
                  <w:rFonts w:ascii="Arial" w:cs="Arial" w:eastAsia="Arial" w:hAnsi="Arial"/>
                  <w:sz w:val="16"/>
                  <w:szCs w:val="16"/>
                  <w:color w:val="auto"/>
                  <w:w w:val="97"/>
                </w:rPr>
                <w:t xml:space="preserve">Filed as </w:t>
              </w:r>
              <w:r>
                <w:rPr>
                  <w:rFonts w:ascii="Arial" w:cs="Arial" w:eastAsia="Arial" w:hAnsi="Arial"/>
                  <w:sz w:val="16"/>
                  <w:szCs w:val="16"/>
                  <w:b w:val="1"/>
                  <w:bCs w:val="1"/>
                  <w:color w:val="0000EE"/>
                  <w:w w:val="97"/>
                </w:rPr>
                <w:t>Exhibit 10.23 to the Company’s Annual Report on Form</w:t>
              </w:r>
            </w:hyperlink>
          </w:p>
        </w:tc>
      </w:tr>
      <w:tr>
        <w:trPr>
          <w:trHeight w:val="20"/>
        </w:trPr>
        <w:tc>
          <w:tcPr>
            <w:tcW w:w="90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454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w w:val="98"/>
              </w:rPr>
              <w:t>Executive and Management Employees dated as of March 28,</w:t>
            </w:r>
          </w:p>
        </w:tc>
        <w:tc>
          <w:tcPr>
            <w:tcW w:w="4680" w:type="dxa"/>
            <w:vAlign w:val="bottom"/>
            <w:gridSpan w:val="6"/>
            <w:shd w:val="clear" w:color="auto" w:fill="CCEEFF"/>
          </w:tcPr>
          <w:p>
            <w:pPr>
              <w:spacing w:after="0" w:line="183" w:lineRule="exact"/>
              <w:rPr>
                <w:rFonts w:ascii="Arial" w:cs="Arial" w:eastAsia="Arial" w:hAnsi="Arial"/>
                <w:sz w:val="16"/>
                <w:szCs w:val="16"/>
                <w:b w:val="1"/>
                <w:bCs w:val="1"/>
                <w:color w:val="0000EE"/>
              </w:rPr>
            </w:pPr>
            <w:hyperlink r:id="rId303">
              <w:r>
                <w:rPr>
                  <w:rFonts w:ascii="Arial" w:cs="Arial" w:eastAsia="Arial" w:hAnsi="Arial"/>
                  <w:sz w:val="16"/>
                  <w:szCs w:val="16"/>
                  <w:b w:val="1"/>
                  <w:bCs w:val="1"/>
                  <w:color w:val="0000EE"/>
                </w:rPr>
                <w:t>10-K for the year ended December 31, 2015</w:t>
              </w:r>
              <w:r>
                <w:rPr>
                  <w:rFonts w:ascii="Arial" w:cs="Arial" w:eastAsia="Arial" w:hAnsi="Arial"/>
                  <w:sz w:val="16"/>
                  <w:szCs w:val="16"/>
                  <w:color w:val="000000"/>
                </w:rPr>
                <w:t>, filed on April 29,</w:t>
              </w:r>
            </w:hyperlink>
          </w:p>
        </w:tc>
      </w:tr>
      <w:tr>
        <w:trPr>
          <w:trHeight w:val="223"/>
        </w:trPr>
        <w:tc>
          <w:tcPr>
            <w:tcW w:w="900" w:type="dxa"/>
            <w:vAlign w:val="bottom"/>
            <w:tcBorders>
              <w:top w:val="single" w:sz="8" w:color="CCEEFF"/>
            </w:tcBorders>
            <w:shd w:val="clear" w:color="auto" w:fill="CCEEFF"/>
          </w:tcPr>
          <w:p>
            <w:pPr>
              <w:spacing w:after="0"/>
              <w:rPr>
                <w:sz w:val="19"/>
                <w:szCs w:val="19"/>
                <w:color w:val="auto"/>
              </w:rPr>
            </w:pPr>
          </w:p>
        </w:tc>
        <w:tc>
          <w:tcPr>
            <w:tcW w:w="4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2016</w:t>
            </w:r>
          </w:p>
        </w:tc>
        <w:tc>
          <w:tcPr>
            <w:tcW w:w="3000" w:type="dxa"/>
            <w:vAlign w:val="bottom"/>
            <w:tcBorders>
              <w:top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auto"/>
                <w:w w:val="97"/>
              </w:rPr>
              <w:t>2016 and incorporated herein by reference.</w:t>
            </w:r>
          </w:p>
        </w:tc>
        <w:tc>
          <w:tcPr>
            <w:tcW w:w="1680" w:type="dxa"/>
            <w:vAlign w:val="bottom"/>
            <w:tcBorders>
              <w:top w:val="single" w:sz="8" w:color="CCEEFF"/>
            </w:tcBorders>
            <w:gridSpan w:val="3"/>
            <w:shd w:val="clear" w:color="auto" w:fill="CCEEFF"/>
          </w:tcPr>
          <w:p>
            <w:pPr>
              <w:spacing w:after="0"/>
              <w:rPr>
                <w:sz w:val="19"/>
                <w:szCs w:val="19"/>
                <w:color w:val="auto"/>
              </w:rPr>
            </w:pPr>
          </w:p>
        </w:tc>
      </w:tr>
      <w:tr>
        <w:trPr>
          <w:trHeight w:val="162"/>
        </w:trPr>
        <w:tc>
          <w:tcPr>
            <w:tcW w:w="900" w:type="dxa"/>
            <w:vAlign w:val="bottom"/>
          </w:tcPr>
          <w:p>
            <w:pPr>
              <w:jc w:val="center"/>
              <w:spacing w:after="0" w:line="162" w:lineRule="exact"/>
              <w:rPr>
                <w:sz w:val="20"/>
                <w:szCs w:val="20"/>
                <w:color w:val="auto"/>
              </w:rPr>
            </w:pPr>
            <w:r>
              <w:rPr>
                <w:rFonts w:ascii="Arial" w:cs="Arial" w:eastAsia="Arial" w:hAnsi="Arial"/>
                <w:sz w:val="16"/>
                <w:szCs w:val="16"/>
                <w:color w:val="auto"/>
                <w:w w:val="89"/>
              </w:rPr>
              <w:t>10.24</w:t>
            </w:r>
          </w:p>
        </w:tc>
        <w:tc>
          <w:tcPr>
            <w:tcW w:w="4540" w:type="dxa"/>
            <w:vAlign w:val="bottom"/>
          </w:tcPr>
          <w:p>
            <w:pPr>
              <w:ind w:left="180"/>
              <w:spacing w:after="0" w:line="162" w:lineRule="exact"/>
              <w:rPr>
                <w:sz w:val="20"/>
                <w:szCs w:val="20"/>
                <w:color w:val="auto"/>
              </w:rPr>
            </w:pPr>
            <w:r>
              <w:rPr>
                <w:rFonts w:ascii="Arial" w:cs="Arial" w:eastAsia="Arial" w:hAnsi="Arial"/>
                <w:sz w:val="16"/>
                <w:szCs w:val="16"/>
                <w:color w:val="auto"/>
              </w:rPr>
              <w:t>OBI Termination Agreement and Release</w:t>
            </w:r>
          </w:p>
        </w:tc>
        <w:tc>
          <w:tcPr>
            <w:tcW w:w="4680" w:type="dxa"/>
            <w:vAlign w:val="bottom"/>
            <w:gridSpan w:val="6"/>
          </w:tcPr>
          <w:p>
            <w:pPr>
              <w:spacing w:after="0" w:line="162" w:lineRule="exact"/>
              <w:rPr>
                <w:rFonts w:ascii="Arial" w:cs="Arial" w:eastAsia="Arial" w:hAnsi="Arial"/>
                <w:sz w:val="16"/>
                <w:szCs w:val="16"/>
                <w:color w:val="auto"/>
                <w:w w:val="97"/>
              </w:rPr>
            </w:pPr>
            <w:hyperlink r:id="rId304">
              <w:r>
                <w:rPr>
                  <w:rFonts w:ascii="Arial" w:cs="Arial" w:eastAsia="Arial" w:hAnsi="Arial"/>
                  <w:sz w:val="16"/>
                  <w:szCs w:val="16"/>
                  <w:color w:val="auto"/>
                  <w:w w:val="97"/>
                </w:rPr>
                <w:t xml:space="preserve">Filed as </w:t>
              </w:r>
              <w:r>
                <w:rPr>
                  <w:rFonts w:ascii="Arial" w:cs="Arial" w:eastAsia="Arial" w:hAnsi="Arial"/>
                  <w:sz w:val="16"/>
                  <w:szCs w:val="16"/>
                  <w:b w:val="1"/>
                  <w:bCs w:val="1"/>
                  <w:color w:val="0000EE"/>
                  <w:w w:val="97"/>
                </w:rPr>
                <w:t>Exhibit 10.24 to the Company’s Annual Report on Form</w:t>
              </w:r>
            </w:hyperlink>
          </w:p>
        </w:tc>
      </w:tr>
      <w:tr>
        <w:trPr>
          <w:trHeight w:val="20"/>
        </w:trPr>
        <w:tc>
          <w:tcPr>
            <w:tcW w:w="9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680" w:type="dxa"/>
            <w:vAlign w:val="bottom"/>
            <w:gridSpan w:val="6"/>
          </w:tcPr>
          <w:p>
            <w:pPr>
              <w:spacing w:after="0" w:line="183" w:lineRule="exact"/>
              <w:rPr>
                <w:rFonts w:ascii="Arial" w:cs="Arial" w:eastAsia="Arial" w:hAnsi="Arial"/>
                <w:sz w:val="16"/>
                <w:szCs w:val="16"/>
                <w:b w:val="1"/>
                <w:bCs w:val="1"/>
                <w:color w:val="0000EE"/>
              </w:rPr>
            </w:pPr>
            <w:hyperlink r:id="rId304">
              <w:r>
                <w:rPr>
                  <w:rFonts w:ascii="Arial" w:cs="Arial" w:eastAsia="Arial" w:hAnsi="Arial"/>
                  <w:sz w:val="16"/>
                  <w:szCs w:val="16"/>
                  <w:b w:val="1"/>
                  <w:bCs w:val="1"/>
                  <w:color w:val="0000EE"/>
                </w:rPr>
                <w:t>10-K for the year ended December 31, 2015</w:t>
              </w:r>
              <w:r>
                <w:rPr>
                  <w:rFonts w:ascii="Arial" w:cs="Arial" w:eastAsia="Arial" w:hAnsi="Arial"/>
                  <w:sz w:val="16"/>
                  <w:szCs w:val="16"/>
                  <w:color w:val="000000"/>
                </w:rPr>
                <w:t>, filed on April 29,</w:t>
              </w:r>
            </w:hyperlink>
          </w:p>
        </w:tc>
      </w:tr>
      <w:tr>
        <w:trPr>
          <w:trHeight w:val="220"/>
        </w:trPr>
        <w:tc>
          <w:tcPr>
            <w:tcW w:w="9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00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auto"/>
                <w:w w:val="97"/>
              </w:rPr>
              <w:t>2016 and incorporated herein by reference.</w:t>
            </w:r>
          </w:p>
        </w:tc>
        <w:tc>
          <w:tcPr>
            <w:tcW w:w="1680" w:type="dxa"/>
            <w:vAlign w:val="bottom"/>
            <w:gridSpan w:val="3"/>
          </w:tcPr>
          <w:p>
            <w:pPr>
              <w:spacing w:after="0"/>
              <w:rPr>
                <w:sz w:val="19"/>
                <w:szCs w:val="19"/>
                <w:color w:val="auto"/>
              </w:rPr>
            </w:pPr>
          </w:p>
        </w:tc>
      </w:tr>
      <w:tr>
        <w:trPr>
          <w:trHeight w:val="165"/>
        </w:trPr>
        <w:tc>
          <w:tcPr>
            <w:tcW w:w="900" w:type="dxa"/>
            <w:vAlign w:val="bottom"/>
            <w:shd w:val="clear" w:color="auto" w:fill="CCEEFF"/>
          </w:tcPr>
          <w:p>
            <w:pPr>
              <w:jc w:val="center"/>
              <w:spacing w:after="0" w:line="165" w:lineRule="exact"/>
              <w:rPr>
                <w:sz w:val="20"/>
                <w:szCs w:val="20"/>
                <w:color w:val="auto"/>
              </w:rPr>
            </w:pPr>
            <w:r>
              <w:rPr>
                <w:rFonts w:ascii="Arial" w:cs="Arial" w:eastAsia="Arial" w:hAnsi="Arial"/>
                <w:sz w:val="16"/>
                <w:szCs w:val="16"/>
                <w:color w:val="auto"/>
                <w:w w:val="89"/>
              </w:rPr>
              <w:t>10.25</w:t>
            </w:r>
          </w:p>
        </w:tc>
        <w:tc>
          <w:tcPr>
            <w:tcW w:w="454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Form of Stock Option Agreement (Non-Director)</w:t>
            </w:r>
          </w:p>
        </w:tc>
        <w:tc>
          <w:tcPr>
            <w:tcW w:w="4680" w:type="dxa"/>
            <w:vAlign w:val="bottom"/>
            <w:gridSpan w:val="6"/>
            <w:shd w:val="clear" w:color="auto" w:fill="CCEEFF"/>
          </w:tcPr>
          <w:p>
            <w:pPr>
              <w:spacing w:after="0" w:line="165" w:lineRule="exact"/>
              <w:rPr>
                <w:rFonts w:ascii="Arial" w:cs="Arial" w:eastAsia="Arial" w:hAnsi="Arial"/>
                <w:sz w:val="16"/>
                <w:szCs w:val="16"/>
                <w:color w:val="auto"/>
                <w:w w:val="97"/>
              </w:rPr>
            </w:pPr>
            <w:hyperlink r:id="rId305">
              <w:r>
                <w:rPr>
                  <w:rFonts w:ascii="Arial" w:cs="Arial" w:eastAsia="Arial" w:hAnsi="Arial"/>
                  <w:sz w:val="16"/>
                  <w:szCs w:val="16"/>
                  <w:color w:val="auto"/>
                  <w:w w:val="97"/>
                </w:rPr>
                <w:t xml:space="preserve">Filed as </w:t>
              </w:r>
              <w:r>
                <w:rPr>
                  <w:rFonts w:ascii="Arial" w:cs="Arial" w:eastAsia="Arial" w:hAnsi="Arial"/>
                  <w:sz w:val="16"/>
                  <w:szCs w:val="16"/>
                  <w:b w:val="1"/>
                  <w:bCs w:val="1"/>
                  <w:color w:val="0000EE"/>
                  <w:w w:val="97"/>
                </w:rPr>
                <w:t>Exhibit 10.25 to the Company’s Annual Report on Form</w:t>
              </w:r>
            </w:hyperlink>
          </w:p>
        </w:tc>
      </w:tr>
      <w:tr>
        <w:trPr>
          <w:trHeight w:val="20"/>
        </w:trPr>
        <w:tc>
          <w:tcPr>
            <w:tcW w:w="90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4680" w:type="dxa"/>
            <w:vAlign w:val="bottom"/>
            <w:gridSpan w:val="6"/>
            <w:shd w:val="clear" w:color="auto" w:fill="CCEEFF"/>
          </w:tcPr>
          <w:p>
            <w:pPr>
              <w:spacing w:after="0" w:line="183" w:lineRule="exact"/>
              <w:rPr>
                <w:rFonts w:ascii="Arial" w:cs="Arial" w:eastAsia="Arial" w:hAnsi="Arial"/>
                <w:sz w:val="16"/>
                <w:szCs w:val="16"/>
                <w:b w:val="1"/>
                <w:bCs w:val="1"/>
                <w:color w:val="0000EE"/>
              </w:rPr>
            </w:pPr>
            <w:hyperlink r:id="rId305">
              <w:r>
                <w:rPr>
                  <w:rFonts w:ascii="Arial" w:cs="Arial" w:eastAsia="Arial" w:hAnsi="Arial"/>
                  <w:sz w:val="16"/>
                  <w:szCs w:val="16"/>
                  <w:b w:val="1"/>
                  <w:bCs w:val="1"/>
                  <w:color w:val="0000EE"/>
                </w:rPr>
                <w:t>10-K/A for the year ended December 31, 2016</w:t>
              </w:r>
              <w:r>
                <w:rPr>
                  <w:rFonts w:ascii="Arial" w:cs="Arial" w:eastAsia="Arial" w:hAnsi="Arial"/>
                  <w:sz w:val="16"/>
                  <w:szCs w:val="16"/>
                  <w:color w:val="000000"/>
                </w:rPr>
                <w:t>, filed on May 5,</w:t>
              </w:r>
            </w:hyperlink>
          </w:p>
        </w:tc>
      </w:tr>
      <w:tr>
        <w:trPr>
          <w:trHeight w:val="223"/>
        </w:trPr>
        <w:tc>
          <w:tcPr>
            <w:tcW w:w="900" w:type="dxa"/>
            <w:vAlign w:val="bottom"/>
            <w:tcBorders>
              <w:top w:val="single" w:sz="8" w:color="CCEEFF"/>
            </w:tcBorders>
            <w:shd w:val="clear" w:color="auto" w:fill="CCEEFF"/>
          </w:tcPr>
          <w:p>
            <w:pPr>
              <w:spacing w:after="0"/>
              <w:rPr>
                <w:sz w:val="19"/>
                <w:szCs w:val="19"/>
                <w:color w:val="auto"/>
              </w:rPr>
            </w:pPr>
          </w:p>
        </w:tc>
        <w:tc>
          <w:tcPr>
            <w:tcW w:w="4540" w:type="dxa"/>
            <w:vAlign w:val="bottom"/>
            <w:tcBorders>
              <w:top w:val="single" w:sz="8" w:color="CCEEFF"/>
            </w:tcBorders>
            <w:shd w:val="clear" w:color="auto" w:fill="CCEEFF"/>
          </w:tcPr>
          <w:p>
            <w:pPr>
              <w:spacing w:after="0"/>
              <w:rPr>
                <w:sz w:val="19"/>
                <w:szCs w:val="19"/>
                <w:color w:val="auto"/>
              </w:rPr>
            </w:pPr>
          </w:p>
        </w:tc>
        <w:tc>
          <w:tcPr>
            <w:tcW w:w="3160" w:type="dxa"/>
            <w:vAlign w:val="bottom"/>
            <w:tcBorders>
              <w:top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auto"/>
              </w:rPr>
              <w:t>2017 and incorporated herein by reference.</w:t>
            </w:r>
          </w:p>
        </w:tc>
        <w:tc>
          <w:tcPr>
            <w:tcW w:w="1520" w:type="dxa"/>
            <w:vAlign w:val="bottom"/>
            <w:tcBorders>
              <w:top w:val="single" w:sz="8" w:color="CCEEFF"/>
            </w:tcBorders>
            <w:gridSpan w:val="2"/>
            <w:shd w:val="clear" w:color="auto" w:fill="CCEEFF"/>
          </w:tcPr>
          <w:p>
            <w:pPr>
              <w:spacing w:after="0"/>
              <w:rPr>
                <w:sz w:val="19"/>
                <w:szCs w:val="19"/>
                <w:color w:val="auto"/>
              </w:rPr>
            </w:pPr>
          </w:p>
        </w:tc>
      </w:tr>
      <w:tr>
        <w:trPr>
          <w:trHeight w:val="162"/>
        </w:trPr>
        <w:tc>
          <w:tcPr>
            <w:tcW w:w="900" w:type="dxa"/>
            <w:vAlign w:val="bottom"/>
          </w:tcPr>
          <w:p>
            <w:pPr>
              <w:jc w:val="center"/>
              <w:spacing w:after="0" w:line="162" w:lineRule="exact"/>
              <w:rPr>
                <w:sz w:val="20"/>
                <w:szCs w:val="20"/>
                <w:color w:val="auto"/>
              </w:rPr>
            </w:pPr>
            <w:r>
              <w:rPr>
                <w:rFonts w:ascii="Arial" w:cs="Arial" w:eastAsia="Arial" w:hAnsi="Arial"/>
                <w:sz w:val="16"/>
                <w:szCs w:val="16"/>
                <w:color w:val="auto"/>
                <w:w w:val="89"/>
              </w:rPr>
              <w:t>18</w:t>
            </w:r>
          </w:p>
        </w:tc>
        <w:tc>
          <w:tcPr>
            <w:tcW w:w="4540" w:type="dxa"/>
            <w:vAlign w:val="bottom"/>
          </w:tcPr>
          <w:p>
            <w:pPr>
              <w:ind w:left="180"/>
              <w:spacing w:after="0" w:line="162" w:lineRule="exact"/>
              <w:rPr>
                <w:sz w:val="20"/>
                <w:szCs w:val="20"/>
                <w:color w:val="auto"/>
              </w:rPr>
            </w:pPr>
            <w:r>
              <w:rPr>
                <w:rFonts w:ascii="Arial" w:cs="Arial" w:eastAsia="Arial" w:hAnsi="Arial"/>
                <w:sz w:val="16"/>
                <w:szCs w:val="16"/>
                <w:color w:val="auto"/>
              </w:rPr>
              <w:t>Preferability Letter from Independent Registered Public</w:t>
            </w:r>
          </w:p>
        </w:tc>
        <w:tc>
          <w:tcPr>
            <w:tcW w:w="4680" w:type="dxa"/>
            <w:vAlign w:val="bottom"/>
            <w:gridSpan w:val="6"/>
          </w:tcPr>
          <w:p>
            <w:pPr>
              <w:spacing w:after="0" w:line="162" w:lineRule="exact"/>
              <w:rPr>
                <w:rFonts w:ascii="Arial" w:cs="Arial" w:eastAsia="Arial" w:hAnsi="Arial"/>
                <w:sz w:val="16"/>
                <w:szCs w:val="16"/>
                <w:color w:val="auto"/>
                <w:w w:val="95"/>
              </w:rPr>
            </w:pPr>
            <w:hyperlink r:id="rId306">
              <w:r>
                <w:rPr>
                  <w:rFonts w:ascii="Arial" w:cs="Arial" w:eastAsia="Arial" w:hAnsi="Arial"/>
                  <w:sz w:val="16"/>
                  <w:szCs w:val="16"/>
                  <w:color w:val="auto"/>
                  <w:w w:val="95"/>
                </w:rPr>
                <w:t xml:space="preserve">Filed as </w:t>
              </w:r>
              <w:r>
                <w:rPr>
                  <w:rFonts w:ascii="Arial" w:cs="Arial" w:eastAsia="Arial" w:hAnsi="Arial"/>
                  <w:sz w:val="16"/>
                  <w:szCs w:val="16"/>
                  <w:b w:val="1"/>
                  <w:bCs w:val="1"/>
                  <w:color w:val="0000EE"/>
                  <w:w w:val="95"/>
                </w:rPr>
                <w:t>Exhibit 18 to the Company’s Annual Report on Form 10-</w:t>
              </w:r>
            </w:hyperlink>
          </w:p>
        </w:tc>
      </w:tr>
      <w:tr>
        <w:trPr>
          <w:trHeight w:val="20"/>
        </w:trPr>
        <w:tc>
          <w:tcPr>
            <w:tcW w:w="9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4540" w:type="dxa"/>
            <w:vAlign w:val="bottom"/>
          </w:tcPr>
          <w:p>
            <w:pPr>
              <w:ind w:left="180"/>
              <w:spacing w:after="0" w:line="183" w:lineRule="exact"/>
              <w:rPr>
                <w:sz w:val="20"/>
                <w:szCs w:val="20"/>
                <w:color w:val="auto"/>
              </w:rPr>
            </w:pPr>
            <w:r>
              <w:rPr>
                <w:rFonts w:ascii="Arial" w:cs="Arial" w:eastAsia="Arial" w:hAnsi="Arial"/>
                <w:sz w:val="16"/>
                <w:szCs w:val="16"/>
                <w:color w:val="auto"/>
              </w:rPr>
              <w:t>Accounting Firm, Grant Thornton LLP.</w:t>
            </w:r>
          </w:p>
        </w:tc>
        <w:tc>
          <w:tcPr>
            <w:tcW w:w="4680" w:type="dxa"/>
            <w:vAlign w:val="bottom"/>
            <w:gridSpan w:val="6"/>
          </w:tcPr>
          <w:p>
            <w:pPr>
              <w:spacing w:after="0" w:line="183" w:lineRule="exact"/>
              <w:rPr>
                <w:rFonts w:ascii="Arial" w:cs="Arial" w:eastAsia="Arial" w:hAnsi="Arial"/>
                <w:sz w:val="16"/>
                <w:szCs w:val="16"/>
                <w:b w:val="1"/>
                <w:bCs w:val="1"/>
                <w:color w:val="0000EE"/>
                <w:w w:val="98"/>
              </w:rPr>
            </w:pPr>
            <w:hyperlink r:id="rId306">
              <w:r>
                <w:rPr>
                  <w:rFonts w:ascii="Arial" w:cs="Arial" w:eastAsia="Arial" w:hAnsi="Arial"/>
                  <w:sz w:val="16"/>
                  <w:szCs w:val="16"/>
                  <w:b w:val="1"/>
                  <w:bCs w:val="1"/>
                  <w:color w:val="0000EE"/>
                  <w:w w:val="98"/>
                </w:rPr>
                <w:t xml:space="preserve">K for the year ended December 31, 2016 </w:t>
              </w:r>
              <w:r>
                <w:rPr>
                  <w:rFonts w:ascii="Arial" w:cs="Arial" w:eastAsia="Arial" w:hAnsi="Arial"/>
                  <w:sz w:val="16"/>
                  <w:szCs w:val="16"/>
                  <w:color w:val="000000"/>
                  <w:w w:val="98"/>
                </w:rPr>
                <w:t>filed on March 13, 2017</w:t>
              </w:r>
            </w:hyperlink>
          </w:p>
        </w:tc>
      </w:tr>
      <w:tr>
        <w:trPr>
          <w:trHeight w:val="217"/>
        </w:trPr>
        <w:tc>
          <w:tcPr>
            <w:tcW w:w="9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7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auto"/>
              </w:rPr>
              <w:t>and incorporated herein by reference</w:t>
            </w:r>
          </w:p>
        </w:tc>
        <w:tc>
          <w:tcPr>
            <w:tcW w:w="1900" w:type="dxa"/>
            <w:vAlign w:val="bottom"/>
            <w:gridSpan w:val="4"/>
          </w:tcPr>
          <w:p>
            <w:pPr>
              <w:spacing w:after="0"/>
              <w:rPr>
                <w:sz w:val="18"/>
                <w:szCs w:val="18"/>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2" w:right="87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184"/>
        </w:trPr>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8"/>
              </w:rPr>
              <w:t>21+</w:t>
            </w:r>
          </w:p>
        </w:tc>
        <w:tc>
          <w:tcPr>
            <w:tcW w:w="4200" w:type="dxa"/>
            <w:vAlign w:val="bottom"/>
            <w:gridSpan w:val="11"/>
            <w:shd w:val="clear" w:color="auto" w:fill="CCEEFF"/>
          </w:tcPr>
          <w:p>
            <w:pPr>
              <w:spacing w:after="0"/>
              <w:rPr>
                <w:sz w:val="20"/>
                <w:szCs w:val="20"/>
                <w:color w:val="auto"/>
              </w:rPr>
            </w:pPr>
            <w:r>
              <w:rPr>
                <w:rFonts w:ascii="Arial" w:cs="Arial" w:eastAsia="Arial" w:hAnsi="Arial"/>
                <w:sz w:val="16"/>
                <w:szCs w:val="16"/>
                <w:b w:val="1"/>
                <w:bCs w:val="1"/>
                <w:color w:val="0000EE"/>
              </w:rPr>
              <w:t>List of Subsidiaries</w:t>
            </w:r>
            <w:r>
              <w:rPr>
                <w:rFonts w:ascii="Arial" w:cs="Arial" w:eastAsia="Arial" w:hAnsi="Arial"/>
                <w:sz w:val="16"/>
                <w:szCs w:val="16"/>
                <w:color w:val="000000"/>
              </w:rPr>
              <w:t>,</w:t>
            </w: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N/A</w:t>
            </w: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8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88"/>
              </w:rPr>
              <w:t>23.1+</w:t>
            </w:r>
          </w:p>
        </w:tc>
        <w:tc>
          <w:tcPr>
            <w:tcW w:w="3760" w:type="dxa"/>
            <w:vAlign w:val="bottom"/>
            <w:tcBorders>
              <w:bottom w:val="single" w:sz="8" w:color="0000EE"/>
            </w:tcBorders>
            <w:gridSpan w:val="5"/>
          </w:tcPr>
          <w:p>
            <w:pPr>
              <w:spacing w:after="0" w:line="162" w:lineRule="exact"/>
              <w:rPr>
                <w:sz w:val="20"/>
                <w:szCs w:val="20"/>
                <w:color w:val="auto"/>
              </w:rPr>
            </w:pPr>
            <w:r>
              <w:rPr>
                <w:rFonts w:ascii="Arial" w:cs="Arial" w:eastAsia="Arial" w:hAnsi="Arial"/>
                <w:sz w:val="16"/>
                <w:szCs w:val="16"/>
                <w:b w:val="1"/>
                <w:bCs w:val="1"/>
                <w:color w:val="0000EE"/>
                <w:w w:val="90"/>
              </w:rPr>
              <w:t>Consent of Independent Registered Public Accounting</w:t>
            </w:r>
          </w:p>
        </w:tc>
        <w:tc>
          <w:tcPr>
            <w:tcW w:w="440" w:type="dxa"/>
            <w:vAlign w:val="bottom"/>
            <w:gridSpan w:val="6"/>
          </w:tcPr>
          <w:p>
            <w:pPr>
              <w:spacing w:after="0"/>
              <w:rPr>
                <w:sz w:val="14"/>
                <w:szCs w:val="14"/>
                <w:color w:val="auto"/>
              </w:rPr>
            </w:pPr>
          </w:p>
        </w:tc>
        <w:tc>
          <w:tcPr>
            <w:tcW w:w="4840" w:type="dxa"/>
            <w:vAlign w:val="bottom"/>
          </w:tcPr>
          <w:p>
            <w:pPr>
              <w:ind w:left="160"/>
              <w:spacing w:after="0" w:line="162" w:lineRule="exact"/>
              <w:rPr>
                <w:sz w:val="20"/>
                <w:szCs w:val="20"/>
                <w:color w:val="auto"/>
              </w:rPr>
            </w:pPr>
            <w:r>
              <w:rPr>
                <w:rFonts w:ascii="Arial" w:cs="Arial" w:eastAsia="Arial" w:hAnsi="Arial"/>
                <w:sz w:val="16"/>
                <w:szCs w:val="16"/>
                <w:color w:val="auto"/>
              </w:rPr>
              <w:t>N/A</w:t>
            </w:r>
          </w:p>
        </w:tc>
      </w:tr>
      <w:tr>
        <w:trPr>
          <w:trHeight w:val="183"/>
        </w:trPr>
        <w:tc>
          <w:tcPr>
            <w:tcW w:w="1080" w:type="dxa"/>
            <w:vAlign w:val="bottom"/>
          </w:tcPr>
          <w:p>
            <w:pPr>
              <w:spacing w:after="0"/>
              <w:rPr>
                <w:sz w:val="15"/>
                <w:szCs w:val="15"/>
                <w:color w:val="auto"/>
              </w:rPr>
            </w:pPr>
          </w:p>
        </w:tc>
        <w:tc>
          <w:tcPr>
            <w:tcW w:w="4200" w:type="dxa"/>
            <w:vAlign w:val="bottom"/>
            <w:gridSpan w:val="11"/>
          </w:tcPr>
          <w:p>
            <w:pPr>
              <w:spacing w:after="0" w:line="183" w:lineRule="exact"/>
              <w:rPr>
                <w:sz w:val="20"/>
                <w:szCs w:val="20"/>
                <w:color w:val="auto"/>
              </w:rPr>
            </w:pPr>
            <w:r>
              <w:rPr>
                <w:rFonts w:ascii="Arial" w:cs="Arial" w:eastAsia="Arial" w:hAnsi="Arial"/>
                <w:sz w:val="16"/>
                <w:szCs w:val="16"/>
                <w:b w:val="1"/>
                <w:bCs w:val="1"/>
                <w:color w:val="0000EE"/>
              </w:rPr>
              <w:t>Firm, Grant Thornton LLP</w:t>
            </w:r>
            <w:r>
              <w:rPr>
                <w:rFonts w:ascii="Arial" w:cs="Arial" w:eastAsia="Arial" w:hAnsi="Arial"/>
                <w:sz w:val="16"/>
                <w:szCs w:val="16"/>
                <w:color w:val="000000"/>
              </w:rPr>
              <w:t>.</w:t>
            </w:r>
          </w:p>
        </w:tc>
        <w:tc>
          <w:tcPr>
            <w:tcW w:w="4840" w:type="dxa"/>
            <w:vAlign w:val="bottom"/>
          </w:tcPr>
          <w:p>
            <w:pPr>
              <w:spacing w:after="0"/>
              <w:rPr>
                <w:sz w:val="15"/>
                <w:szCs w:val="15"/>
                <w:color w:val="auto"/>
              </w:rPr>
            </w:pPr>
          </w:p>
        </w:tc>
      </w:tr>
      <w:tr>
        <w:trPr>
          <w:trHeight w:val="21"/>
        </w:trPr>
        <w:tc>
          <w:tcPr>
            <w:tcW w:w="108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jc w:val="center"/>
              <w:ind w:right="39"/>
              <w:spacing w:after="0" w:line="162" w:lineRule="exact"/>
              <w:rPr>
                <w:sz w:val="20"/>
                <w:szCs w:val="20"/>
                <w:color w:val="auto"/>
              </w:rPr>
            </w:pPr>
            <w:r>
              <w:rPr>
                <w:rFonts w:ascii="Arial" w:cs="Arial" w:eastAsia="Arial" w:hAnsi="Arial"/>
                <w:sz w:val="16"/>
                <w:szCs w:val="16"/>
                <w:color w:val="auto"/>
                <w:w w:val="88"/>
              </w:rPr>
              <w:t>31.1+</w:t>
            </w:r>
          </w:p>
        </w:tc>
        <w:tc>
          <w:tcPr>
            <w:tcW w:w="4200" w:type="dxa"/>
            <w:vAlign w:val="bottom"/>
            <w:gridSpan w:val="11"/>
            <w:shd w:val="clear" w:color="auto" w:fill="CCEEFF"/>
          </w:tcPr>
          <w:p>
            <w:pPr>
              <w:spacing w:after="0" w:line="162" w:lineRule="exact"/>
              <w:rPr>
                <w:sz w:val="20"/>
                <w:szCs w:val="20"/>
                <w:color w:val="auto"/>
              </w:rPr>
            </w:pPr>
            <w:r>
              <w:rPr>
                <w:rFonts w:ascii="Arial" w:cs="Arial" w:eastAsia="Arial" w:hAnsi="Arial"/>
                <w:sz w:val="16"/>
                <w:szCs w:val="16"/>
                <w:b w:val="1"/>
                <w:bCs w:val="1"/>
                <w:color w:val="0000EE"/>
              </w:rPr>
              <w:t>Certification of Principal Executive Officer pursuant to</w:t>
            </w:r>
          </w:p>
        </w:tc>
        <w:tc>
          <w:tcPr>
            <w:tcW w:w="484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N/A</w:t>
            </w: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3840" w:type="dxa"/>
            <w:vAlign w:val="bottom"/>
            <w:tcBorders>
              <w:top w:val="single" w:sz="8" w:color="0000EE"/>
            </w:tcBorders>
            <w:gridSpan w:val="7"/>
            <w:shd w:val="clear" w:color="auto" w:fill="CCEEFF"/>
          </w:tcPr>
          <w:p>
            <w:pPr>
              <w:spacing w:after="0" w:line="183" w:lineRule="exact"/>
              <w:rPr>
                <w:sz w:val="20"/>
                <w:szCs w:val="20"/>
                <w:color w:val="auto"/>
              </w:rPr>
            </w:pPr>
            <w:r>
              <w:rPr>
                <w:rFonts w:ascii="Arial" w:cs="Arial" w:eastAsia="Arial" w:hAnsi="Arial"/>
                <w:sz w:val="16"/>
                <w:szCs w:val="16"/>
                <w:b w:val="1"/>
                <w:bCs w:val="1"/>
                <w:color w:val="0000EE"/>
              </w:rPr>
              <w:t>Section 302 of the Sarbanes-Oxley Act of 2002</w:t>
            </w:r>
            <w:r>
              <w:rPr>
                <w:rFonts w:ascii="Arial" w:cs="Arial" w:eastAsia="Arial" w:hAnsi="Arial"/>
                <w:sz w:val="16"/>
                <w:szCs w:val="16"/>
                <w:color w:val="000000"/>
              </w:rPr>
              <w:t>,</w:t>
            </w:r>
          </w:p>
        </w:tc>
        <w:tc>
          <w:tcPr>
            <w:tcW w:w="360" w:type="dxa"/>
            <w:vAlign w:val="bottom"/>
            <w:tcBorders>
              <w:top w:val="single" w:sz="8" w:color="CCEEFF"/>
            </w:tcBorders>
            <w:gridSpan w:val="4"/>
            <w:shd w:val="clear" w:color="auto" w:fill="CCEEFF"/>
          </w:tcPr>
          <w:p>
            <w:pPr>
              <w:spacing w:after="0"/>
              <w:rPr>
                <w:sz w:val="15"/>
                <w:szCs w:val="15"/>
                <w:color w:val="auto"/>
              </w:rPr>
            </w:pPr>
          </w:p>
        </w:tc>
        <w:tc>
          <w:tcPr>
            <w:tcW w:w="4840" w:type="dxa"/>
            <w:vAlign w:val="bottom"/>
            <w:tcBorders>
              <w:top w:val="single" w:sz="8" w:color="CCEEFF"/>
            </w:tcBorders>
            <w:shd w:val="clear" w:color="auto" w:fill="CCEEFF"/>
          </w:tcPr>
          <w:p>
            <w:pPr>
              <w:spacing w:after="0"/>
              <w:rPr>
                <w:sz w:val="15"/>
                <w:szCs w:val="15"/>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8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88"/>
              </w:rPr>
              <w:t>31.2+</w:t>
            </w:r>
          </w:p>
        </w:tc>
        <w:tc>
          <w:tcPr>
            <w:tcW w:w="3820" w:type="dxa"/>
            <w:vAlign w:val="bottom"/>
            <w:tcBorders>
              <w:bottom w:val="single" w:sz="8" w:color="0000EE"/>
            </w:tcBorders>
            <w:gridSpan w:val="6"/>
          </w:tcPr>
          <w:p>
            <w:pPr>
              <w:spacing w:after="0" w:line="162" w:lineRule="exact"/>
              <w:rPr>
                <w:sz w:val="20"/>
                <w:szCs w:val="20"/>
                <w:color w:val="auto"/>
              </w:rPr>
            </w:pPr>
            <w:r>
              <w:rPr>
                <w:rFonts w:ascii="Arial" w:cs="Arial" w:eastAsia="Arial" w:hAnsi="Arial"/>
                <w:sz w:val="16"/>
                <w:szCs w:val="16"/>
                <w:b w:val="1"/>
                <w:bCs w:val="1"/>
                <w:color w:val="0000EE"/>
                <w:w w:val="93"/>
              </w:rPr>
              <w:t>Certification of Principal Financial Officer pursuant to</w:t>
            </w:r>
          </w:p>
        </w:tc>
        <w:tc>
          <w:tcPr>
            <w:tcW w:w="380" w:type="dxa"/>
            <w:vAlign w:val="bottom"/>
            <w:gridSpan w:val="5"/>
          </w:tcPr>
          <w:p>
            <w:pPr>
              <w:spacing w:after="0"/>
              <w:rPr>
                <w:sz w:val="14"/>
                <w:szCs w:val="14"/>
                <w:color w:val="auto"/>
              </w:rPr>
            </w:pPr>
          </w:p>
        </w:tc>
        <w:tc>
          <w:tcPr>
            <w:tcW w:w="4840" w:type="dxa"/>
            <w:vAlign w:val="bottom"/>
          </w:tcPr>
          <w:p>
            <w:pPr>
              <w:ind w:left="160"/>
              <w:spacing w:after="0" w:line="162" w:lineRule="exact"/>
              <w:rPr>
                <w:sz w:val="20"/>
                <w:szCs w:val="20"/>
                <w:color w:val="auto"/>
              </w:rPr>
            </w:pPr>
            <w:r>
              <w:rPr>
                <w:rFonts w:ascii="Arial" w:cs="Arial" w:eastAsia="Arial" w:hAnsi="Arial"/>
                <w:sz w:val="16"/>
                <w:szCs w:val="16"/>
                <w:color w:val="auto"/>
              </w:rPr>
              <w:t>N/A</w:t>
            </w:r>
          </w:p>
        </w:tc>
      </w:tr>
      <w:tr>
        <w:trPr>
          <w:trHeight w:val="183"/>
        </w:trPr>
        <w:tc>
          <w:tcPr>
            <w:tcW w:w="1080" w:type="dxa"/>
            <w:vAlign w:val="bottom"/>
          </w:tcPr>
          <w:p>
            <w:pPr>
              <w:spacing w:after="0"/>
              <w:rPr>
                <w:sz w:val="15"/>
                <w:szCs w:val="15"/>
                <w:color w:val="auto"/>
              </w:rPr>
            </w:pPr>
          </w:p>
        </w:tc>
        <w:tc>
          <w:tcPr>
            <w:tcW w:w="4200" w:type="dxa"/>
            <w:vAlign w:val="bottom"/>
            <w:gridSpan w:val="11"/>
          </w:tcPr>
          <w:p>
            <w:pPr>
              <w:spacing w:after="0" w:line="183" w:lineRule="exact"/>
              <w:rPr>
                <w:sz w:val="20"/>
                <w:szCs w:val="20"/>
                <w:color w:val="auto"/>
              </w:rPr>
            </w:pPr>
            <w:r>
              <w:rPr>
                <w:rFonts w:ascii="Arial" w:cs="Arial" w:eastAsia="Arial" w:hAnsi="Arial"/>
                <w:sz w:val="16"/>
                <w:szCs w:val="16"/>
                <w:b w:val="1"/>
                <w:bCs w:val="1"/>
                <w:color w:val="0000EE"/>
              </w:rPr>
              <w:t>Section 302 of the Sarbanes-Oxley Act of 2002</w:t>
            </w:r>
            <w:r>
              <w:rPr>
                <w:rFonts w:ascii="Arial" w:cs="Arial" w:eastAsia="Arial" w:hAnsi="Arial"/>
                <w:sz w:val="16"/>
                <w:szCs w:val="16"/>
                <w:color w:val="000000"/>
              </w:rPr>
              <w:t>,</w:t>
            </w:r>
          </w:p>
        </w:tc>
        <w:tc>
          <w:tcPr>
            <w:tcW w:w="4840" w:type="dxa"/>
            <w:vAlign w:val="bottom"/>
          </w:tcPr>
          <w:p>
            <w:pPr>
              <w:spacing w:after="0"/>
              <w:rPr>
                <w:sz w:val="15"/>
                <w:szCs w:val="15"/>
                <w:color w:val="auto"/>
              </w:rPr>
            </w:pPr>
          </w:p>
        </w:tc>
      </w:tr>
      <w:tr>
        <w:trPr>
          <w:trHeight w:val="21"/>
        </w:trPr>
        <w:tc>
          <w:tcPr>
            <w:tcW w:w="108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62"/>
        </w:trPr>
        <w:tc>
          <w:tcPr>
            <w:tcW w:w="1080" w:type="dxa"/>
            <w:vAlign w:val="bottom"/>
            <w:tcBorders>
              <w:bottom w:val="single" w:sz="8" w:color="CCEEFF"/>
            </w:tcBorders>
            <w:shd w:val="clear" w:color="auto" w:fill="CCEEFF"/>
          </w:tcPr>
          <w:p>
            <w:pPr>
              <w:jc w:val="center"/>
              <w:ind w:right="39"/>
              <w:spacing w:after="0" w:line="162" w:lineRule="exact"/>
              <w:rPr>
                <w:sz w:val="20"/>
                <w:szCs w:val="20"/>
                <w:color w:val="auto"/>
              </w:rPr>
            </w:pPr>
            <w:r>
              <w:rPr>
                <w:rFonts w:ascii="Arial" w:cs="Arial" w:eastAsia="Arial" w:hAnsi="Arial"/>
                <w:sz w:val="16"/>
                <w:szCs w:val="16"/>
                <w:color w:val="auto"/>
                <w:w w:val="88"/>
              </w:rPr>
              <w:t>32.1+</w:t>
            </w:r>
          </w:p>
        </w:tc>
        <w:tc>
          <w:tcPr>
            <w:tcW w:w="4060" w:type="dxa"/>
            <w:vAlign w:val="bottom"/>
            <w:tcBorders>
              <w:bottom w:val="single" w:sz="8" w:color="0000EE"/>
            </w:tcBorders>
            <w:gridSpan w:val="10"/>
            <w:shd w:val="clear" w:color="auto" w:fill="CCEEFF"/>
          </w:tcPr>
          <w:p>
            <w:pPr>
              <w:spacing w:after="0" w:line="162" w:lineRule="exact"/>
              <w:rPr>
                <w:sz w:val="20"/>
                <w:szCs w:val="20"/>
                <w:color w:val="auto"/>
              </w:rPr>
            </w:pPr>
            <w:r>
              <w:rPr>
                <w:rFonts w:ascii="Arial" w:cs="Arial" w:eastAsia="Arial" w:hAnsi="Arial"/>
                <w:sz w:val="16"/>
                <w:szCs w:val="16"/>
                <w:b w:val="1"/>
                <w:bCs w:val="1"/>
                <w:color w:val="0000EE"/>
                <w:w w:val="92"/>
              </w:rPr>
              <w:t>Certification of Principal Executive Officer pursuant to 18</w:t>
            </w:r>
          </w:p>
        </w:tc>
        <w:tc>
          <w:tcPr>
            <w:tcW w:w="140" w:type="dxa"/>
            <w:vAlign w:val="bottom"/>
            <w:tcBorders>
              <w:bottom w:val="single" w:sz="8" w:color="CCEEFF"/>
            </w:tcBorders>
            <w:shd w:val="clear" w:color="auto" w:fill="CCEEFF"/>
          </w:tcPr>
          <w:p>
            <w:pPr>
              <w:spacing w:after="0"/>
              <w:rPr>
                <w:sz w:val="14"/>
                <w:szCs w:val="14"/>
                <w:color w:val="auto"/>
              </w:rPr>
            </w:pPr>
          </w:p>
        </w:tc>
        <w:tc>
          <w:tcPr>
            <w:tcW w:w="4840" w:type="dxa"/>
            <w:vAlign w:val="bottom"/>
            <w:tcBorders>
              <w:bottom w:val="single" w:sz="8" w:color="CCEEFF"/>
            </w:tcBorders>
            <w:shd w:val="clear" w:color="auto" w:fill="CCEEFF"/>
          </w:tcPr>
          <w:p>
            <w:pPr>
              <w:ind w:left="160"/>
              <w:spacing w:after="0" w:line="162" w:lineRule="exact"/>
              <w:rPr>
                <w:sz w:val="20"/>
                <w:szCs w:val="20"/>
                <w:color w:val="auto"/>
              </w:rPr>
            </w:pPr>
            <w:r>
              <w:rPr>
                <w:rFonts w:ascii="Arial" w:cs="Arial" w:eastAsia="Arial" w:hAnsi="Arial"/>
                <w:sz w:val="16"/>
                <w:szCs w:val="16"/>
                <w:color w:val="auto"/>
              </w:rPr>
              <w:t>N/A</w:t>
            </w:r>
          </w:p>
        </w:tc>
      </w:tr>
      <w:tr>
        <w:trPr>
          <w:trHeight w:val="183"/>
        </w:trPr>
        <w:tc>
          <w:tcPr>
            <w:tcW w:w="1080" w:type="dxa"/>
            <w:vAlign w:val="bottom"/>
            <w:tcBorders>
              <w:bottom w:val="single" w:sz="8" w:color="CCEEFF"/>
            </w:tcBorders>
            <w:shd w:val="clear" w:color="auto" w:fill="CCEEFF"/>
          </w:tcPr>
          <w:p>
            <w:pPr>
              <w:spacing w:after="0"/>
              <w:rPr>
                <w:sz w:val="15"/>
                <w:szCs w:val="15"/>
                <w:color w:val="auto"/>
              </w:rPr>
            </w:pPr>
          </w:p>
        </w:tc>
        <w:tc>
          <w:tcPr>
            <w:tcW w:w="4040" w:type="dxa"/>
            <w:vAlign w:val="bottom"/>
            <w:tcBorders>
              <w:bottom w:val="single" w:sz="8" w:color="0000EE"/>
            </w:tcBorders>
            <w:gridSpan w:val="9"/>
            <w:shd w:val="clear" w:color="auto" w:fill="CCEEFF"/>
          </w:tcPr>
          <w:p>
            <w:pPr>
              <w:spacing w:after="0" w:line="183" w:lineRule="exact"/>
              <w:rPr>
                <w:sz w:val="20"/>
                <w:szCs w:val="20"/>
                <w:color w:val="auto"/>
              </w:rPr>
            </w:pPr>
            <w:r>
              <w:rPr>
                <w:rFonts w:ascii="Arial" w:cs="Arial" w:eastAsia="Arial" w:hAnsi="Arial"/>
                <w:sz w:val="16"/>
                <w:szCs w:val="16"/>
                <w:b w:val="1"/>
                <w:bCs w:val="1"/>
                <w:color w:val="0000EE"/>
                <w:w w:val="89"/>
              </w:rPr>
              <w:t>U.S.C. Section 1350, as adopted pursuant to Section 906 of</w:t>
            </w:r>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4840" w:type="dxa"/>
            <w:vAlign w:val="bottom"/>
            <w:tcBorders>
              <w:bottom w:val="single" w:sz="8" w:color="CCEEFF"/>
            </w:tcBorders>
            <w:shd w:val="clear" w:color="auto" w:fill="CCEEFF"/>
          </w:tcPr>
          <w:p>
            <w:pPr>
              <w:spacing w:after="0"/>
              <w:rPr>
                <w:sz w:val="15"/>
                <w:szCs w:val="15"/>
                <w:color w:val="auto"/>
              </w:rPr>
            </w:pPr>
          </w:p>
        </w:tc>
      </w:tr>
      <w:tr>
        <w:trPr>
          <w:trHeight w:val="183"/>
        </w:trPr>
        <w:tc>
          <w:tcPr>
            <w:tcW w:w="1080" w:type="dxa"/>
            <w:vAlign w:val="bottom"/>
            <w:shd w:val="clear" w:color="auto" w:fill="CCEEFF"/>
          </w:tcPr>
          <w:p>
            <w:pPr>
              <w:spacing w:after="0"/>
              <w:rPr>
                <w:sz w:val="15"/>
                <w:szCs w:val="15"/>
                <w:color w:val="auto"/>
              </w:rPr>
            </w:pPr>
          </w:p>
        </w:tc>
        <w:tc>
          <w:tcPr>
            <w:tcW w:w="4200" w:type="dxa"/>
            <w:vAlign w:val="bottom"/>
            <w:gridSpan w:val="11"/>
            <w:shd w:val="clear" w:color="auto" w:fill="CCEEFF"/>
          </w:tcPr>
          <w:p>
            <w:pPr>
              <w:spacing w:after="0" w:line="183" w:lineRule="exact"/>
              <w:rPr>
                <w:sz w:val="20"/>
                <w:szCs w:val="20"/>
                <w:color w:val="auto"/>
              </w:rPr>
            </w:pPr>
            <w:r>
              <w:rPr>
                <w:rFonts w:ascii="Arial" w:cs="Arial" w:eastAsia="Arial" w:hAnsi="Arial"/>
                <w:sz w:val="16"/>
                <w:szCs w:val="16"/>
                <w:b w:val="1"/>
                <w:bCs w:val="1"/>
                <w:color w:val="0000EE"/>
              </w:rPr>
              <w:t>the Sarbanes-Oxley Act of 2002</w:t>
            </w:r>
            <w:r>
              <w:rPr>
                <w:rFonts w:ascii="Arial" w:cs="Arial" w:eastAsia="Arial" w:hAnsi="Arial"/>
                <w:sz w:val="16"/>
                <w:szCs w:val="16"/>
                <w:color w:val="000000"/>
              </w:rPr>
              <w:t>.</w:t>
            </w:r>
          </w:p>
        </w:tc>
        <w:tc>
          <w:tcPr>
            <w:tcW w:w="4840" w:type="dxa"/>
            <w:vAlign w:val="bottom"/>
            <w:shd w:val="clear" w:color="auto" w:fill="CCEEFF"/>
          </w:tcPr>
          <w:p>
            <w:pPr>
              <w:spacing w:after="0"/>
              <w:rPr>
                <w:sz w:val="15"/>
                <w:szCs w:val="15"/>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8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88"/>
              </w:rPr>
              <w:t>32.2+</w:t>
            </w:r>
          </w:p>
        </w:tc>
        <w:tc>
          <w:tcPr>
            <w:tcW w:w="4020" w:type="dxa"/>
            <w:vAlign w:val="bottom"/>
            <w:tcBorders>
              <w:bottom w:val="single" w:sz="8" w:color="0000EE"/>
            </w:tcBorders>
            <w:gridSpan w:val="8"/>
          </w:tcPr>
          <w:p>
            <w:pPr>
              <w:spacing w:after="0" w:line="162" w:lineRule="exact"/>
              <w:rPr>
                <w:sz w:val="20"/>
                <w:szCs w:val="20"/>
                <w:color w:val="auto"/>
              </w:rPr>
            </w:pPr>
            <w:r>
              <w:rPr>
                <w:rFonts w:ascii="Arial" w:cs="Arial" w:eastAsia="Arial" w:hAnsi="Arial"/>
                <w:sz w:val="16"/>
                <w:szCs w:val="16"/>
                <w:b w:val="1"/>
                <w:bCs w:val="1"/>
                <w:color w:val="0000EE"/>
                <w:w w:val="93"/>
              </w:rPr>
              <w:t>Certification of Principal Financial Officer pursuant to 18</w:t>
            </w:r>
          </w:p>
        </w:tc>
        <w:tc>
          <w:tcPr>
            <w:tcW w:w="180" w:type="dxa"/>
            <w:vAlign w:val="bottom"/>
            <w:gridSpan w:val="3"/>
          </w:tcPr>
          <w:p>
            <w:pPr>
              <w:spacing w:after="0"/>
              <w:rPr>
                <w:sz w:val="14"/>
                <w:szCs w:val="14"/>
                <w:color w:val="auto"/>
              </w:rPr>
            </w:pPr>
          </w:p>
        </w:tc>
        <w:tc>
          <w:tcPr>
            <w:tcW w:w="4840" w:type="dxa"/>
            <w:vAlign w:val="bottom"/>
          </w:tcPr>
          <w:p>
            <w:pPr>
              <w:ind w:left="160"/>
              <w:spacing w:after="0" w:line="162" w:lineRule="exact"/>
              <w:rPr>
                <w:sz w:val="20"/>
                <w:szCs w:val="20"/>
                <w:color w:val="auto"/>
              </w:rPr>
            </w:pPr>
            <w:r>
              <w:rPr>
                <w:rFonts w:ascii="Arial" w:cs="Arial" w:eastAsia="Arial" w:hAnsi="Arial"/>
                <w:sz w:val="16"/>
                <w:szCs w:val="16"/>
                <w:color w:val="auto"/>
              </w:rPr>
              <w:t>N/A</w:t>
            </w:r>
          </w:p>
        </w:tc>
      </w:tr>
      <w:tr>
        <w:trPr>
          <w:trHeight w:val="183"/>
        </w:trPr>
        <w:tc>
          <w:tcPr>
            <w:tcW w:w="1080" w:type="dxa"/>
            <w:vAlign w:val="bottom"/>
          </w:tcPr>
          <w:p>
            <w:pPr>
              <w:spacing w:after="0"/>
              <w:rPr>
                <w:sz w:val="15"/>
                <w:szCs w:val="15"/>
                <w:color w:val="auto"/>
              </w:rPr>
            </w:pPr>
          </w:p>
        </w:tc>
        <w:tc>
          <w:tcPr>
            <w:tcW w:w="4040" w:type="dxa"/>
            <w:vAlign w:val="bottom"/>
            <w:tcBorders>
              <w:bottom w:val="single" w:sz="8" w:color="0000EE"/>
            </w:tcBorders>
            <w:gridSpan w:val="9"/>
          </w:tcPr>
          <w:p>
            <w:pPr>
              <w:spacing w:after="0" w:line="183" w:lineRule="exact"/>
              <w:rPr>
                <w:sz w:val="20"/>
                <w:szCs w:val="20"/>
                <w:color w:val="auto"/>
              </w:rPr>
            </w:pPr>
            <w:r>
              <w:rPr>
                <w:rFonts w:ascii="Arial" w:cs="Arial" w:eastAsia="Arial" w:hAnsi="Arial"/>
                <w:sz w:val="16"/>
                <w:szCs w:val="16"/>
                <w:b w:val="1"/>
                <w:bCs w:val="1"/>
                <w:color w:val="0000EE"/>
                <w:w w:val="89"/>
              </w:rPr>
              <w:t>U.S.C. Section 1350, as adopted pursuant to Section 906 of</w:t>
            </w:r>
          </w:p>
        </w:tc>
        <w:tc>
          <w:tcPr>
            <w:tcW w:w="160" w:type="dxa"/>
            <w:vAlign w:val="bottom"/>
            <w:gridSpan w:val="2"/>
          </w:tcPr>
          <w:p>
            <w:pPr>
              <w:spacing w:after="0"/>
              <w:rPr>
                <w:sz w:val="15"/>
                <w:szCs w:val="15"/>
                <w:color w:val="auto"/>
              </w:rPr>
            </w:pPr>
          </w:p>
        </w:tc>
        <w:tc>
          <w:tcPr>
            <w:tcW w:w="484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4200" w:type="dxa"/>
            <w:vAlign w:val="bottom"/>
            <w:gridSpan w:val="11"/>
          </w:tcPr>
          <w:p>
            <w:pPr>
              <w:spacing w:after="0" w:line="183" w:lineRule="exact"/>
              <w:rPr>
                <w:sz w:val="20"/>
                <w:szCs w:val="20"/>
                <w:color w:val="auto"/>
              </w:rPr>
            </w:pPr>
            <w:r>
              <w:rPr>
                <w:rFonts w:ascii="Arial" w:cs="Arial" w:eastAsia="Arial" w:hAnsi="Arial"/>
                <w:sz w:val="16"/>
                <w:szCs w:val="16"/>
                <w:b w:val="1"/>
                <w:bCs w:val="1"/>
                <w:color w:val="0000EE"/>
              </w:rPr>
              <w:t>the Sarbanes-Oxley Act of 2002</w:t>
            </w:r>
            <w:r>
              <w:rPr>
                <w:rFonts w:ascii="Arial" w:cs="Arial" w:eastAsia="Arial" w:hAnsi="Arial"/>
                <w:sz w:val="16"/>
                <w:szCs w:val="16"/>
                <w:color w:val="000000"/>
              </w:rPr>
              <w:t>.</w:t>
            </w:r>
          </w:p>
        </w:tc>
        <w:tc>
          <w:tcPr>
            <w:tcW w:w="4840" w:type="dxa"/>
            <w:vAlign w:val="bottom"/>
          </w:tcPr>
          <w:p>
            <w:pPr>
              <w:spacing w:after="0"/>
              <w:rPr>
                <w:sz w:val="15"/>
                <w:szCs w:val="15"/>
                <w:color w:val="auto"/>
              </w:rPr>
            </w:pPr>
          </w:p>
        </w:tc>
      </w:tr>
      <w:tr>
        <w:trPr>
          <w:trHeight w:val="21"/>
        </w:trPr>
        <w:tc>
          <w:tcPr>
            <w:tcW w:w="108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03"/>
        </w:trPr>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101.INS+</w:t>
            </w:r>
          </w:p>
        </w:tc>
        <w:tc>
          <w:tcPr>
            <w:tcW w:w="420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XBRL Instance Document</w:t>
            </w: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N/A</w:t>
            </w:r>
          </w:p>
        </w:tc>
      </w:tr>
      <w:tr>
        <w:trPr>
          <w:trHeight w:val="203"/>
        </w:trPr>
        <w:tc>
          <w:tcPr>
            <w:tcW w:w="1080" w:type="dxa"/>
            <w:vAlign w:val="bottom"/>
          </w:tcPr>
          <w:p>
            <w:pPr>
              <w:jc w:val="center"/>
              <w:ind w:right="39"/>
              <w:spacing w:after="0"/>
              <w:rPr>
                <w:sz w:val="20"/>
                <w:szCs w:val="20"/>
                <w:color w:val="auto"/>
              </w:rPr>
            </w:pPr>
            <w:r>
              <w:rPr>
                <w:rFonts w:ascii="Arial" w:cs="Arial" w:eastAsia="Arial" w:hAnsi="Arial"/>
                <w:sz w:val="16"/>
                <w:szCs w:val="16"/>
                <w:color w:val="auto"/>
                <w:w w:val="91"/>
              </w:rPr>
              <w:t>101.SCH+</w:t>
            </w:r>
          </w:p>
        </w:tc>
        <w:tc>
          <w:tcPr>
            <w:tcW w:w="4200" w:type="dxa"/>
            <w:vAlign w:val="bottom"/>
            <w:gridSpan w:val="11"/>
          </w:tcPr>
          <w:p>
            <w:pPr>
              <w:spacing w:after="0"/>
              <w:rPr>
                <w:sz w:val="20"/>
                <w:szCs w:val="20"/>
                <w:color w:val="auto"/>
              </w:rPr>
            </w:pPr>
            <w:r>
              <w:rPr>
                <w:rFonts w:ascii="Arial" w:cs="Arial" w:eastAsia="Arial" w:hAnsi="Arial"/>
                <w:sz w:val="16"/>
                <w:szCs w:val="16"/>
                <w:color w:val="auto"/>
              </w:rPr>
              <w:t>XBRL Taxonomy Extension Schema</w:t>
            </w:r>
          </w:p>
        </w:tc>
        <w:tc>
          <w:tcPr>
            <w:tcW w:w="4840" w:type="dxa"/>
            <w:vAlign w:val="bottom"/>
          </w:tcPr>
          <w:p>
            <w:pPr>
              <w:ind w:left="160"/>
              <w:spacing w:after="0"/>
              <w:rPr>
                <w:sz w:val="20"/>
                <w:szCs w:val="20"/>
                <w:color w:val="auto"/>
              </w:rPr>
            </w:pPr>
            <w:r>
              <w:rPr>
                <w:rFonts w:ascii="Arial" w:cs="Arial" w:eastAsia="Arial" w:hAnsi="Arial"/>
                <w:sz w:val="16"/>
                <w:szCs w:val="16"/>
                <w:color w:val="auto"/>
              </w:rPr>
              <w:t>N/A</w:t>
            </w:r>
          </w:p>
        </w:tc>
      </w:tr>
      <w:tr>
        <w:trPr>
          <w:trHeight w:val="203"/>
        </w:trPr>
        <w:tc>
          <w:tcPr>
            <w:tcW w:w="10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7"/>
              </w:rPr>
              <w:t>101.CAL+</w:t>
            </w:r>
          </w:p>
        </w:tc>
        <w:tc>
          <w:tcPr>
            <w:tcW w:w="420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XBRL Taxonomy Extension Calculation</w:t>
            </w: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N/A</w:t>
            </w:r>
          </w:p>
        </w:tc>
      </w:tr>
      <w:tr>
        <w:trPr>
          <w:trHeight w:val="203"/>
        </w:trPr>
        <w:tc>
          <w:tcPr>
            <w:tcW w:w="1080" w:type="dxa"/>
            <w:vAlign w:val="bottom"/>
          </w:tcPr>
          <w:p>
            <w:pPr>
              <w:jc w:val="center"/>
              <w:ind w:right="39"/>
              <w:spacing w:after="0"/>
              <w:rPr>
                <w:sz w:val="20"/>
                <w:szCs w:val="20"/>
                <w:color w:val="auto"/>
              </w:rPr>
            </w:pPr>
            <w:r>
              <w:rPr>
                <w:rFonts w:ascii="Arial" w:cs="Arial" w:eastAsia="Arial" w:hAnsi="Arial"/>
                <w:sz w:val="16"/>
                <w:szCs w:val="16"/>
                <w:color w:val="auto"/>
                <w:w w:val="93"/>
              </w:rPr>
              <w:t>101.DEF+</w:t>
            </w:r>
          </w:p>
        </w:tc>
        <w:tc>
          <w:tcPr>
            <w:tcW w:w="4200" w:type="dxa"/>
            <w:vAlign w:val="bottom"/>
            <w:gridSpan w:val="11"/>
          </w:tcPr>
          <w:p>
            <w:pPr>
              <w:spacing w:after="0"/>
              <w:rPr>
                <w:sz w:val="20"/>
                <w:szCs w:val="20"/>
                <w:color w:val="auto"/>
              </w:rPr>
            </w:pPr>
            <w:r>
              <w:rPr>
                <w:rFonts w:ascii="Arial" w:cs="Arial" w:eastAsia="Arial" w:hAnsi="Arial"/>
                <w:sz w:val="16"/>
                <w:szCs w:val="16"/>
                <w:color w:val="auto"/>
              </w:rPr>
              <w:t>XBRL Taxonomy Extension Definition</w:t>
            </w:r>
          </w:p>
        </w:tc>
        <w:tc>
          <w:tcPr>
            <w:tcW w:w="4840" w:type="dxa"/>
            <w:vAlign w:val="bottom"/>
          </w:tcPr>
          <w:p>
            <w:pPr>
              <w:ind w:left="160"/>
              <w:spacing w:after="0"/>
              <w:rPr>
                <w:sz w:val="20"/>
                <w:szCs w:val="20"/>
                <w:color w:val="auto"/>
              </w:rPr>
            </w:pPr>
            <w:r>
              <w:rPr>
                <w:rFonts w:ascii="Arial" w:cs="Arial" w:eastAsia="Arial" w:hAnsi="Arial"/>
                <w:sz w:val="16"/>
                <w:szCs w:val="16"/>
                <w:color w:val="auto"/>
              </w:rPr>
              <w:t>N/A</w:t>
            </w:r>
          </w:p>
        </w:tc>
      </w:tr>
      <w:tr>
        <w:trPr>
          <w:trHeight w:val="203"/>
        </w:trPr>
        <w:tc>
          <w:tcPr>
            <w:tcW w:w="10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8"/>
              </w:rPr>
              <w:t>101.LAB+</w:t>
            </w:r>
          </w:p>
        </w:tc>
        <w:tc>
          <w:tcPr>
            <w:tcW w:w="420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XBRL Taxonomy Extension Labels</w:t>
            </w: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N/A</w:t>
            </w:r>
          </w:p>
        </w:tc>
      </w:tr>
      <w:tr>
        <w:trPr>
          <w:trHeight w:val="206"/>
        </w:trPr>
        <w:tc>
          <w:tcPr>
            <w:tcW w:w="1080" w:type="dxa"/>
            <w:vAlign w:val="bottom"/>
          </w:tcPr>
          <w:p>
            <w:pPr>
              <w:jc w:val="center"/>
              <w:ind w:right="39"/>
              <w:spacing w:after="0"/>
              <w:rPr>
                <w:sz w:val="20"/>
                <w:szCs w:val="20"/>
                <w:color w:val="auto"/>
              </w:rPr>
            </w:pPr>
            <w:r>
              <w:rPr>
                <w:rFonts w:ascii="Arial" w:cs="Arial" w:eastAsia="Arial" w:hAnsi="Arial"/>
                <w:sz w:val="16"/>
                <w:szCs w:val="16"/>
                <w:color w:val="auto"/>
                <w:w w:val="92"/>
              </w:rPr>
              <w:t>101.PRE+</w:t>
            </w:r>
          </w:p>
        </w:tc>
        <w:tc>
          <w:tcPr>
            <w:tcW w:w="4200" w:type="dxa"/>
            <w:vAlign w:val="bottom"/>
            <w:gridSpan w:val="11"/>
          </w:tcPr>
          <w:p>
            <w:pPr>
              <w:spacing w:after="0"/>
              <w:rPr>
                <w:sz w:val="20"/>
                <w:szCs w:val="20"/>
                <w:color w:val="auto"/>
              </w:rPr>
            </w:pPr>
            <w:r>
              <w:rPr>
                <w:rFonts w:ascii="Arial" w:cs="Arial" w:eastAsia="Arial" w:hAnsi="Arial"/>
                <w:sz w:val="16"/>
                <w:szCs w:val="16"/>
                <w:color w:val="auto"/>
              </w:rPr>
              <w:t>XBRL Taxonomy Extension Presentation</w:t>
            </w:r>
          </w:p>
        </w:tc>
        <w:tc>
          <w:tcPr>
            <w:tcW w:w="4840" w:type="dxa"/>
            <w:vAlign w:val="bottom"/>
          </w:tcPr>
          <w:p>
            <w:pPr>
              <w:ind w:left="160"/>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4" w:right="87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25"/>
          <w:szCs w:val="25"/>
          <w:b w:val="1"/>
          <w:bCs w:val="1"/>
          <w:u w:val="single" w:color="auto"/>
          <w:color w:val="auto"/>
        </w:rPr>
        <w:t>SIGNATURES</w:t>
      </w:r>
    </w:p>
    <w:p>
      <w:pPr>
        <w:spacing w:after="0" w:line="311"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2440" w:type="dxa"/>
            <w:vAlign w:val="bottom"/>
          </w:tcPr>
          <w:p>
            <w:pPr>
              <w:spacing w:after="0"/>
              <w:rPr>
                <w:sz w:val="24"/>
                <w:szCs w:val="24"/>
                <w:color w:val="auto"/>
              </w:rPr>
            </w:pPr>
          </w:p>
        </w:tc>
        <w:tc>
          <w:tcPr>
            <w:tcW w:w="7680" w:type="dxa"/>
            <w:vAlign w:val="bottom"/>
            <w:gridSpan w:val="2"/>
          </w:tcPr>
          <w:p>
            <w:pPr>
              <w:jc w:val="center"/>
              <w:ind w:right="2350"/>
              <w:spacing w:after="0"/>
              <w:rPr>
                <w:sz w:val="20"/>
                <w:szCs w:val="20"/>
                <w:color w:val="auto"/>
              </w:rPr>
            </w:pPr>
            <w:r>
              <w:rPr>
                <w:rFonts w:ascii="Arial" w:cs="Arial" w:eastAsia="Arial" w:hAnsi="Arial"/>
                <w:sz w:val="25"/>
                <w:szCs w:val="25"/>
                <w:b w:val="1"/>
                <w:bCs w:val="1"/>
                <w:color w:val="auto"/>
              </w:rPr>
              <w:t>READING INTERNATIONAL, INC.</w:t>
            </w:r>
          </w:p>
        </w:tc>
      </w:tr>
      <w:tr>
        <w:trPr>
          <w:trHeight w:val="505"/>
        </w:trPr>
        <w:tc>
          <w:tcPr>
            <w:tcW w:w="2440" w:type="dxa"/>
            <w:vAlign w:val="bottom"/>
          </w:tcPr>
          <w:p>
            <w:pPr>
              <w:spacing w:after="0"/>
              <w:rPr>
                <w:sz w:val="24"/>
                <w:szCs w:val="24"/>
                <w:color w:val="auto"/>
              </w:rPr>
            </w:pPr>
          </w:p>
        </w:tc>
        <w:tc>
          <w:tcPr>
            <w:tcW w:w="7680" w:type="dxa"/>
            <w:vAlign w:val="bottom"/>
            <w:gridSpan w:val="2"/>
          </w:tcPr>
          <w:p>
            <w:pPr>
              <w:jc w:val="center"/>
              <w:ind w:right="2370"/>
              <w:spacing w:after="0"/>
              <w:rPr>
                <w:sz w:val="20"/>
                <w:szCs w:val="20"/>
                <w:color w:val="auto"/>
              </w:rPr>
            </w:pPr>
            <w:r>
              <w:rPr>
                <w:rFonts w:ascii="Arial" w:cs="Arial" w:eastAsia="Arial" w:hAnsi="Arial"/>
                <w:sz w:val="18"/>
                <w:szCs w:val="18"/>
                <w:color w:val="auto"/>
                <w:w w:val="91"/>
              </w:rPr>
              <w:t>(Registrant)</w:t>
            </w:r>
          </w:p>
        </w:tc>
      </w:tr>
      <w:tr>
        <w:trPr>
          <w:trHeight w:val="446"/>
        </w:trPr>
        <w:tc>
          <w:tcPr>
            <w:tcW w:w="2440" w:type="dxa"/>
            <w:vAlign w:val="bottom"/>
          </w:tcPr>
          <w:p>
            <w:pPr>
              <w:spacing w:after="0"/>
              <w:rPr>
                <w:sz w:val="20"/>
                <w:szCs w:val="20"/>
                <w:color w:val="auto"/>
              </w:rPr>
            </w:pPr>
            <w:r>
              <w:rPr>
                <w:rFonts w:ascii="Arial" w:cs="Arial" w:eastAsia="Arial" w:hAnsi="Arial"/>
                <w:sz w:val="18"/>
                <w:szCs w:val="18"/>
                <w:color w:val="auto"/>
              </w:rPr>
              <w:t>Date:   March 18, 2019</w:t>
            </w:r>
          </w:p>
        </w:tc>
        <w:tc>
          <w:tcPr>
            <w:tcW w:w="7680" w:type="dxa"/>
            <w:vAlign w:val="bottom"/>
            <w:gridSpan w:val="2"/>
          </w:tcPr>
          <w:p>
            <w:pPr>
              <w:ind w:left="2140"/>
              <w:spacing w:after="0"/>
              <w:rPr>
                <w:sz w:val="20"/>
                <w:szCs w:val="20"/>
                <w:color w:val="auto"/>
              </w:rPr>
            </w:pPr>
            <w:r>
              <w:rPr>
                <w:rFonts w:ascii="Arial" w:cs="Arial" w:eastAsia="Arial" w:hAnsi="Arial"/>
                <w:sz w:val="18"/>
                <w:szCs w:val="18"/>
                <w:color w:val="auto"/>
              </w:rPr>
              <w:t>By:   /s/ Gilbert Avanes</w:t>
            </w:r>
          </w:p>
        </w:tc>
      </w:tr>
      <w:tr>
        <w:trPr>
          <w:trHeight w:val="195"/>
        </w:trPr>
        <w:tc>
          <w:tcPr>
            <w:tcW w:w="2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Gilbert Avanes</w:t>
            </w:r>
          </w:p>
        </w:tc>
      </w:tr>
      <w:tr>
        <w:trPr>
          <w:trHeight w:val="216"/>
        </w:trPr>
        <w:tc>
          <w:tcPr>
            <w:tcW w:w="2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Interim Chief Financial Officer and Treasurer</w:t>
            </w:r>
          </w:p>
        </w:tc>
      </w:tr>
      <w:tr>
        <w:trPr>
          <w:trHeight w:val="230"/>
        </w:trPr>
        <w:tc>
          <w:tcPr>
            <w:tcW w:w="24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98"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Pursuant to the requirements of the Securities and Exchange Act of 1934, this report has been signed below by the following persons on behalf of Registrant and in capacities and on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84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Title(s)</w:t>
            </w:r>
          </w:p>
        </w:tc>
        <w:tc>
          <w:tcPr>
            <w:tcW w:w="860" w:type="dxa"/>
            <w:vAlign w:val="bottom"/>
          </w:tcPr>
          <w:p>
            <w:pPr>
              <w:spacing w:after="0"/>
              <w:rPr>
                <w:sz w:val="17"/>
                <w:szCs w:val="17"/>
                <w:color w:val="auto"/>
              </w:rPr>
            </w:pPr>
          </w:p>
        </w:tc>
        <w:tc>
          <w:tcPr>
            <w:tcW w:w="9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Ellen M. Cotter</w:t>
            </w:r>
          </w:p>
        </w:tc>
        <w:tc>
          <w:tcPr>
            <w:tcW w:w="5920" w:type="dxa"/>
            <w:vAlign w:val="bottom"/>
            <w:gridSpan w:val="3"/>
          </w:tcPr>
          <w:p>
            <w:pPr>
              <w:spacing w:after="0"/>
              <w:rPr>
                <w:sz w:val="20"/>
                <w:szCs w:val="20"/>
                <w:color w:val="auto"/>
              </w:rPr>
            </w:pPr>
            <w:r>
              <w:rPr>
                <w:rFonts w:ascii="Arial" w:cs="Arial" w:eastAsia="Arial" w:hAnsi="Arial"/>
                <w:sz w:val="18"/>
                <w:szCs w:val="18"/>
                <w:color w:val="auto"/>
                <w:w w:val="99"/>
              </w:rPr>
              <w:t>President, Chief Executive Officer and Chairman of the Board and Director</w:t>
            </w:r>
          </w:p>
        </w:tc>
        <w:tc>
          <w:tcPr>
            <w:tcW w:w="17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18, 2019</w:t>
            </w: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Ellen M. Cotter</w:t>
            </w: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0"/>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Gilbert Avanes</w:t>
            </w:r>
          </w:p>
        </w:tc>
        <w:tc>
          <w:tcPr>
            <w:tcW w:w="5920" w:type="dxa"/>
            <w:vAlign w:val="bottom"/>
            <w:gridSpan w:val="3"/>
          </w:tcPr>
          <w:p>
            <w:pPr>
              <w:spacing w:after="0"/>
              <w:rPr>
                <w:sz w:val="20"/>
                <w:szCs w:val="20"/>
                <w:color w:val="auto"/>
              </w:rPr>
            </w:pPr>
            <w:r>
              <w:rPr>
                <w:rFonts w:ascii="Arial" w:cs="Arial" w:eastAsia="Arial" w:hAnsi="Arial"/>
                <w:sz w:val="18"/>
                <w:szCs w:val="18"/>
                <w:color w:val="auto"/>
              </w:rPr>
              <w:t>Interim Chief Financial Officer and Treasurer</w:t>
            </w:r>
          </w:p>
        </w:tc>
        <w:tc>
          <w:tcPr>
            <w:tcW w:w="17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18, 2019</w:t>
            </w: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Gilbert Avanes</w:t>
            </w: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0"/>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 Lucas</w:t>
            </w:r>
          </w:p>
        </w:tc>
        <w:tc>
          <w:tcPr>
            <w:tcW w:w="5920" w:type="dxa"/>
            <w:vAlign w:val="bottom"/>
            <w:gridSpan w:val="3"/>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17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18, 2019</w:t>
            </w: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Steve Lucas</w:t>
            </w: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Accounting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0"/>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Margaret Cotter</w:t>
            </w:r>
          </w:p>
        </w:tc>
        <w:tc>
          <w:tcPr>
            <w:tcW w:w="5920" w:type="dxa"/>
            <w:vAlign w:val="bottom"/>
            <w:gridSpan w:val="3"/>
          </w:tcPr>
          <w:p>
            <w:pPr>
              <w:spacing w:after="0"/>
              <w:rPr>
                <w:sz w:val="20"/>
                <w:szCs w:val="20"/>
                <w:color w:val="auto"/>
              </w:rPr>
            </w:pPr>
            <w:r>
              <w:rPr>
                <w:rFonts w:ascii="Arial" w:cs="Arial" w:eastAsia="Arial" w:hAnsi="Arial"/>
                <w:sz w:val="18"/>
                <w:szCs w:val="18"/>
                <w:color w:val="auto"/>
              </w:rPr>
              <w:t>Vice Chairman of the Board and Director</w:t>
            </w:r>
          </w:p>
        </w:tc>
        <w:tc>
          <w:tcPr>
            <w:tcW w:w="17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18, 2019</w:t>
            </w: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Margaret Cotter</w:t>
            </w:r>
          </w:p>
        </w:tc>
        <w:tc>
          <w:tcPr>
            <w:tcW w:w="2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0"/>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Guy W. Adams</w:t>
            </w:r>
          </w:p>
        </w:tc>
        <w:tc>
          <w:tcPr>
            <w:tcW w:w="59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18, 2019</w:t>
            </w: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Guy W. Adams</w:t>
            </w:r>
          </w:p>
        </w:tc>
        <w:tc>
          <w:tcPr>
            <w:tcW w:w="2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0"/>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L. Kane</w:t>
            </w:r>
          </w:p>
        </w:tc>
        <w:tc>
          <w:tcPr>
            <w:tcW w:w="59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18, 2019</w:t>
            </w: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Edward L Kane</w:t>
            </w:r>
          </w:p>
        </w:tc>
        <w:tc>
          <w:tcPr>
            <w:tcW w:w="2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0"/>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J. McEachern</w:t>
            </w:r>
          </w:p>
        </w:tc>
        <w:tc>
          <w:tcPr>
            <w:tcW w:w="59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18, 2019</w:t>
            </w: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Douglas J. McEachern</w:t>
            </w:r>
          </w:p>
        </w:tc>
        <w:tc>
          <w:tcPr>
            <w:tcW w:w="2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0"/>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Judy Codding</w:t>
            </w:r>
          </w:p>
        </w:tc>
        <w:tc>
          <w:tcPr>
            <w:tcW w:w="59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18, 2019</w:t>
            </w: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Dr. Judy Codding</w:t>
            </w:r>
          </w:p>
        </w:tc>
        <w:tc>
          <w:tcPr>
            <w:tcW w:w="2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0"/>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Wrotniak</w:t>
            </w:r>
          </w:p>
        </w:tc>
        <w:tc>
          <w:tcPr>
            <w:tcW w:w="59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18, 2019</w:t>
            </w: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Michael Wrotniak</w:t>
            </w:r>
          </w:p>
        </w:tc>
        <w:tc>
          <w:tcPr>
            <w:tcW w:w="2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34"/>
        </w:trPr>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0" w:type="dxa"/>
            <w:vAlign w:val="bottom"/>
            <w:gridSpan w:val="2"/>
          </w:tcPr>
          <w:p>
            <w:pPr>
              <w:ind w:left="2320"/>
              <w:spacing w:after="0"/>
              <w:rPr>
                <w:sz w:val="20"/>
                <w:szCs w:val="20"/>
                <w:color w:val="auto"/>
              </w:rPr>
            </w:pPr>
            <w:r>
              <w:rPr>
                <w:rFonts w:ascii="Arial" w:cs="Arial" w:eastAsia="Arial" w:hAnsi="Arial"/>
                <w:sz w:val="18"/>
                <w:szCs w:val="18"/>
                <w:color w:val="auto"/>
              </w:rPr>
              <w:t>- 141 -</w:t>
            </w: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8"/>
        </w:trPr>
        <w:tc>
          <w:tcPr>
            <w:tcW w:w="7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r>
        <w:trPr>
          <w:trHeight w:val="20"/>
        </w:trPr>
        <w:tc>
          <w:tcPr>
            <w:tcW w:w="74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28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33" w:right="859" w:bottom="1440" w:gutter="0" w:footer="0" w:header="0"/>
        </w:sectPr>
      </w:pPr>
    </w:p>
    <w:bookmarkStart w:id="142" w:name="page143"/>
    <w:bookmarkEnd w:id="142"/>
    <w:p>
      <w:pPr>
        <w:ind w:left="7800"/>
        <w:spacing w:after="0"/>
        <w:rPr>
          <w:sz w:val="20"/>
          <w:szCs w:val="20"/>
          <w:color w:val="auto"/>
        </w:rPr>
      </w:pPr>
      <w:r>
        <w:rPr>
          <w:rFonts w:ascii="Arial" w:cs="Arial" w:eastAsia="Arial" w:hAnsi="Arial"/>
          <w:sz w:val="19"/>
          <w:szCs w:val="19"/>
          <w:b w:val="1"/>
          <w:bCs w:val="1"/>
          <w:color w:val="auto"/>
        </w:rPr>
        <w:t>Exhibit 10.3</w:t>
      </w:r>
    </w:p>
    <w:p>
      <w:pPr>
        <w:spacing w:after="0" w:line="26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READING INTERNATIONAL, INC.</w:t>
      </w:r>
    </w:p>
    <w:p>
      <w:pPr>
        <w:spacing w:after="0" w:line="206"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RESTRICTED STOCK UNIT AGREEMENT</w:t>
      </w:r>
    </w:p>
    <w:p>
      <w:pPr>
        <w:spacing w:after="0" w:line="206"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[Non-Employee Directors]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This Restricted Stock Unit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this</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______ day of _________, 2018 ("</w:t>
      </w:r>
      <w:r>
        <w:rPr>
          <w:rFonts w:ascii="Arial" w:cs="Arial" w:eastAsia="Arial" w:hAnsi="Arial"/>
          <w:sz w:val="21"/>
          <w:szCs w:val="21"/>
          <w:b w:val="1"/>
          <w:bCs w:val="1"/>
          <w:color w:val="auto"/>
        </w:rPr>
        <w:t>Grant Date</w:t>
      </w:r>
      <w:r>
        <w:rPr>
          <w:rFonts w:ascii="Arial" w:cs="Arial" w:eastAsia="Arial" w:hAnsi="Arial"/>
          <w:sz w:val="21"/>
          <w:szCs w:val="21"/>
          <w:color w:val="auto"/>
        </w:rPr>
        <w:t>") by and between Reading International, Inc., a</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Nevada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______________ (the "</w:t>
      </w:r>
      <w:r>
        <w:rPr>
          <w:rFonts w:ascii="Arial" w:cs="Arial" w:eastAsia="Arial" w:hAnsi="Arial"/>
          <w:sz w:val="19"/>
          <w:szCs w:val="19"/>
          <w:b w:val="1"/>
          <w:bCs w:val="1"/>
          <w:color w:val="auto"/>
        </w:rPr>
        <w:t>Recipient</w:t>
      </w:r>
      <w:r>
        <w:rPr>
          <w:rFonts w:ascii="Arial" w:cs="Arial" w:eastAsia="Arial" w:hAnsi="Arial"/>
          <w:sz w:val="19"/>
          <w:szCs w:val="19"/>
          <w:color w:val="auto"/>
        </w:rPr>
        <w:t>"). Capitalized terms not</w:t>
      </w:r>
    </w:p>
    <w:p>
      <w:pPr>
        <w:spacing w:after="0" w:line="25" w:lineRule="exact"/>
        <w:rPr>
          <w:sz w:val="20"/>
          <w:szCs w:val="20"/>
          <w:color w:val="auto"/>
        </w:rPr>
      </w:pPr>
    </w:p>
    <w:p>
      <w:pPr>
        <w:ind w:left="100" w:right="99"/>
        <w:spacing w:after="0" w:line="237" w:lineRule="auto"/>
        <w:rPr>
          <w:sz w:val="20"/>
          <w:szCs w:val="20"/>
          <w:color w:val="auto"/>
        </w:rPr>
      </w:pPr>
      <w:r>
        <w:rPr>
          <w:rFonts w:ascii="Arial" w:cs="Arial" w:eastAsia="Arial" w:hAnsi="Arial"/>
          <w:sz w:val="22"/>
          <w:szCs w:val="22"/>
          <w:color w:val="auto"/>
        </w:rPr>
        <w:t>defined herein shall have the meaning ascribed to them the in the Company’s 2010 Stock Incentive Plan, as amended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85" w:lineRule="exact"/>
        <w:rPr>
          <w:sz w:val="20"/>
          <w:szCs w:val="20"/>
          <w:color w:val="auto"/>
        </w:rPr>
      </w:pPr>
    </w:p>
    <w:p>
      <w:pPr>
        <w:ind w:left="1060" w:hanging="577"/>
        <w:spacing w:after="0"/>
        <w:tabs>
          <w:tab w:leader="none" w:pos="106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xml:space="preserve">  The Company hereby grants to the Recipient _______</w:t>
      </w:r>
    </w:p>
    <w:p>
      <w:pPr>
        <w:spacing w:after="0" w:line="42" w:lineRule="exact"/>
        <w:rPr>
          <w:rFonts w:ascii="Arial" w:cs="Arial" w:eastAsia="Arial" w:hAnsi="Arial"/>
          <w:sz w:val="19"/>
          <w:szCs w:val="19"/>
          <w:color w:val="auto"/>
        </w:rPr>
      </w:pPr>
    </w:p>
    <w:p>
      <w:pPr>
        <w:ind w:left="100" w:right="99"/>
        <w:spacing w:after="0" w:line="237" w:lineRule="auto"/>
        <w:rPr>
          <w:rFonts w:ascii="Arial" w:cs="Arial" w:eastAsia="Arial" w:hAnsi="Arial"/>
          <w:sz w:val="19"/>
          <w:szCs w:val="19"/>
          <w:color w:val="auto"/>
        </w:rPr>
      </w:pPr>
      <w:r>
        <w:rPr>
          <w:rFonts w:ascii="Arial" w:cs="Arial" w:eastAsia="Arial" w:hAnsi="Arial"/>
          <w:sz w:val="22"/>
          <w:szCs w:val="22"/>
          <w:color w:val="auto"/>
        </w:rPr>
        <w:t>share units (such units, the “</w:t>
      </w:r>
      <w:r>
        <w:rPr>
          <w:rFonts w:ascii="Arial" w:cs="Arial" w:eastAsia="Arial" w:hAnsi="Arial"/>
          <w:sz w:val="22"/>
          <w:szCs w:val="22"/>
          <w:b w:val="1"/>
          <w:bCs w:val="1"/>
          <w:color w:val="auto"/>
        </w:rPr>
        <w:t>Restricted Stock Units</w:t>
      </w:r>
      <w:r>
        <w:rPr>
          <w:rFonts w:ascii="Arial" w:cs="Arial" w:eastAsia="Arial" w:hAnsi="Arial"/>
          <w:sz w:val="22"/>
          <w:szCs w:val="22"/>
          <w:color w:val="auto"/>
        </w:rPr>
        <w:t>”), subject to all of the terms and conditions of this Restricted Stock Unit Agreement and the Plan.</w:t>
      </w:r>
    </w:p>
    <w:p>
      <w:pPr>
        <w:spacing w:after="0" w:line="184" w:lineRule="exact"/>
        <w:rPr>
          <w:rFonts w:ascii="Arial" w:cs="Arial" w:eastAsia="Arial" w:hAnsi="Arial"/>
          <w:sz w:val="19"/>
          <w:szCs w:val="19"/>
          <w:color w:val="auto"/>
        </w:rPr>
      </w:pPr>
    </w:p>
    <w:p>
      <w:pPr>
        <w:ind w:left="1040" w:hanging="557"/>
        <w:spacing w:after="0"/>
        <w:tabs>
          <w:tab w:leader="none" w:pos="104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Vesting and Payment</w:t>
      </w:r>
      <w:r>
        <w:rPr>
          <w:rFonts w:ascii="Arial" w:cs="Arial" w:eastAsia="Arial" w:hAnsi="Arial"/>
          <w:sz w:val="22"/>
          <w:szCs w:val="22"/>
          <w:color w:val="auto"/>
        </w:rPr>
        <w:t>.</w:t>
      </w:r>
    </w:p>
    <w:p>
      <w:pPr>
        <w:spacing w:after="0" w:line="206" w:lineRule="exact"/>
        <w:rPr>
          <w:sz w:val="20"/>
          <w:szCs w:val="20"/>
          <w:color w:val="auto"/>
        </w:rPr>
      </w:pPr>
    </w:p>
    <w:p>
      <w:pPr>
        <w:jc w:val="both"/>
        <w:ind w:left="480" w:right="99" w:firstLine="504"/>
        <w:spacing w:after="0" w:line="248"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Vesting Date</w:t>
      </w:r>
      <w:r>
        <w:rPr>
          <w:rFonts w:ascii="Arial" w:cs="Arial" w:eastAsia="Arial" w:hAnsi="Arial"/>
          <w:sz w:val="21"/>
          <w:szCs w:val="21"/>
          <w:color w:val="auto"/>
        </w:rPr>
        <w:t>. Subject to the limitations set forth in this Section 2, Restricted Stock Units will vest on the first to occur of (i) 5:00 pm, Los Angeles, CA time on the last business day prior to the one-year anniversary of the Grant Date or (ii) the date on which Recipient’s term as a Director shall end and the Recipient, or as the case may be, the Recipient’s successor is elected to the board of directors at the next occurring annual meeting or special meeting of stockholders called for such purpose (the "</w:t>
      </w:r>
      <w:r>
        <w:rPr>
          <w:rFonts w:ascii="Arial" w:cs="Arial" w:eastAsia="Arial" w:hAnsi="Arial"/>
          <w:sz w:val="21"/>
          <w:szCs w:val="21"/>
          <w:b w:val="1"/>
          <w:bCs w:val="1"/>
          <w:color w:val="auto"/>
        </w:rPr>
        <w:t>Vesting Date</w:t>
      </w:r>
      <w:r>
        <w:rPr>
          <w:rFonts w:ascii="Arial" w:cs="Arial" w:eastAsia="Arial" w:hAnsi="Arial"/>
          <w:sz w:val="21"/>
          <w:szCs w:val="21"/>
          <w:color w:val="auto"/>
        </w:rPr>
        <w:t>").</w:t>
      </w:r>
    </w:p>
    <w:p>
      <w:pPr>
        <w:spacing w:after="0" w:line="177"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Forfeiture upon Termination</w:t>
      </w:r>
      <w:r>
        <w:rPr>
          <w:rFonts w:ascii="Arial" w:cs="Arial" w:eastAsia="Arial" w:hAnsi="Arial"/>
          <w:sz w:val="19"/>
          <w:szCs w:val="19"/>
          <w:color w:val="auto"/>
        </w:rPr>
        <w:t>.</w:t>
      </w:r>
    </w:p>
    <w:p>
      <w:pPr>
        <w:spacing w:after="0" w:line="206" w:lineRule="exact"/>
        <w:rPr>
          <w:sz w:val="20"/>
          <w:szCs w:val="20"/>
          <w:color w:val="auto"/>
        </w:rPr>
      </w:pPr>
    </w:p>
    <w:p>
      <w:pPr>
        <w:jc w:val="both"/>
        <w:ind w:left="1020" w:right="99" w:firstLine="648"/>
        <w:spacing w:after="0" w:line="236" w:lineRule="auto"/>
        <w:rPr>
          <w:sz w:val="20"/>
          <w:szCs w:val="20"/>
          <w:color w:val="auto"/>
        </w:rPr>
      </w:pPr>
      <w:r>
        <w:rPr>
          <w:rFonts w:ascii="Arial" w:cs="Arial" w:eastAsia="Arial" w:hAnsi="Arial"/>
          <w:sz w:val="22"/>
          <w:szCs w:val="22"/>
          <w:color w:val="auto"/>
        </w:rPr>
        <w:t>Subject to the provisions of Sections 2.3, upon termination of the Recipient’s Services, whether by the Company or by the Recipient, any unvested Restricted Stock Units shall be immediately forfeited and neither the Recipient nor any of the Recipient’s successors, heirs, assigns or personal representatives shall thereafter have any further rights or interests in such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-29210</wp:posOffset>
            </wp:positionV>
            <wp:extent cx="342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Acceleration of Vesting.</w:t>
      </w:r>
    </w:p>
    <w:p>
      <w:pPr>
        <w:spacing w:after="0" w:line="206" w:lineRule="exact"/>
        <w:rPr>
          <w:sz w:val="20"/>
          <w:szCs w:val="20"/>
          <w:color w:val="auto"/>
        </w:rPr>
      </w:pPr>
    </w:p>
    <w:p>
      <w:pPr>
        <w:jc w:val="both"/>
        <w:ind w:left="1000" w:right="99" w:firstLine="644"/>
        <w:spacing w:after="0"/>
        <w:tabs>
          <w:tab w:leader="none" w:pos="236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 the event that of Recipient’s death or Disability (as defined in the Plan), all unvested Restricted Stock Units shall immediately vest as of the date of death or Disability.</w:t>
      </w:r>
    </w:p>
    <w:p>
      <w:pPr>
        <w:spacing w:after="0" w:line="186" w:lineRule="exact"/>
        <w:rPr>
          <w:rFonts w:ascii="Arial" w:cs="Arial" w:eastAsia="Arial" w:hAnsi="Arial"/>
          <w:sz w:val="22"/>
          <w:szCs w:val="22"/>
          <w:color w:val="auto"/>
        </w:rPr>
      </w:pPr>
    </w:p>
    <w:p>
      <w:pPr>
        <w:jc w:val="both"/>
        <w:ind w:left="1000" w:right="99" w:firstLine="644"/>
        <w:spacing w:after="0"/>
        <w:tabs>
          <w:tab w:leader="none" w:pos="237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 the event of a Change of Control, and the Recipient is not a Participant in such Change in Control, all unvested Restricted Stock Units shall immediately vest as of the date of such Change of Control.</w:t>
      </w:r>
    </w:p>
    <w:p>
      <w:pPr>
        <w:spacing w:after="0" w:line="186" w:lineRule="exact"/>
        <w:rPr>
          <w:rFonts w:ascii="Arial" w:cs="Arial" w:eastAsia="Arial" w:hAnsi="Arial"/>
          <w:sz w:val="22"/>
          <w:szCs w:val="22"/>
          <w:color w:val="auto"/>
        </w:rPr>
      </w:pPr>
    </w:p>
    <w:p>
      <w:pPr>
        <w:jc w:val="both"/>
        <w:ind w:left="1000" w:right="99" w:firstLine="644"/>
        <w:spacing w:after="0" w:line="287" w:lineRule="auto"/>
        <w:tabs>
          <w:tab w:leader="none" w:pos="236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 the event of a Corporate Transaction in which the Restricted Stock Units are not to be Appropriately Replaced at or prior to the effective time of such Corporate Transaction, the vesting of all Restricted Stock Units which are not otherwise fully vested shall automatically accelerate so that all such Restricted Stock Units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160655</wp:posOffset>
            </wp:positionV>
            <wp:extent cx="5642610" cy="51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3" w:name="page144"/>
    <w:bookmarkEnd w:id="143"/>
    <w:p>
      <w:pPr>
        <w:ind w:left="1020" w:right="99"/>
        <w:spacing w:after="0" w:line="251" w:lineRule="auto"/>
        <w:rPr>
          <w:sz w:val="20"/>
          <w:szCs w:val="20"/>
          <w:color w:val="auto"/>
        </w:rPr>
      </w:pPr>
      <w:r>
        <w:rPr>
          <w:rFonts w:ascii="Arial" w:cs="Arial" w:eastAsia="Arial" w:hAnsi="Arial"/>
          <w:sz w:val="22"/>
          <w:szCs w:val="22"/>
          <w:color w:val="auto"/>
        </w:rPr>
        <w:t>immediately prior to the effective time of the Corporate Transaction, become fully vested, free of all restrictions.</w:t>
      </w:r>
    </w:p>
    <w:p>
      <w:pPr>
        <w:spacing w:after="0" w:line="173" w:lineRule="exact"/>
        <w:rPr>
          <w:sz w:val="20"/>
          <w:szCs w:val="20"/>
          <w:color w:val="auto"/>
        </w:rPr>
      </w:pPr>
    </w:p>
    <w:p>
      <w:pPr>
        <w:ind w:left="2360" w:hanging="716"/>
        <w:spacing w:after="0"/>
        <w:tabs>
          <w:tab w:leader="none" w:pos="23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For purposes of this Section 2.3:</w:t>
      </w:r>
    </w:p>
    <w:p>
      <w:pPr>
        <w:spacing w:after="0" w:line="206" w:lineRule="exact"/>
        <w:rPr>
          <w:rFonts w:ascii="Arial" w:cs="Arial" w:eastAsia="Arial" w:hAnsi="Arial"/>
          <w:sz w:val="22"/>
          <w:szCs w:val="22"/>
          <w:color w:val="auto"/>
        </w:rPr>
      </w:pPr>
    </w:p>
    <w:p>
      <w:pPr>
        <w:jc w:val="both"/>
        <w:ind w:left="1640" w:right="99" w:firstLine="652"/>
        <w:spacing w:after="0" w:line="269" w:lineRule="auto"/>
        <w:tabs>
          <w:tab w:leader="none" w:pos="314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Restricted Stock Units shall be considered “Appropriately Replaced” if, at or prior to the Corporate Transaction, in the judgment of the Committee as constituted at the time the Corporate Transaction is proposed or announced to the Company (the “Evaluating Committee”), the Restricted Stock Units or a substituted award will confer the right to receive, for each share of Common Stock that may be received pursuant to the Restricted Stock Units existing immediately prior to the Corporate Transaction, on substantially the same vesting and other terms and conditions as were applicable to the Restricted Stock Units immediately prior to the Corporate Transaction, the consideration (whether stock, cash or other securities or property) to be received in the Corporate Transaction by holders of Common Stock for each such share held on the effective date of such transaction (and if holders were offered a choice of consideration, the type of consideration chosen by the holders of a majority of the outstanding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to be received in the transaction constituting a Corporate Transaction is not solely cash and/or common stock of the successor company or its parent or subsidiary, the Evaluating Committee may, if the obligations are to be assumed by the successor company, or its parent or subsidiary, approve that the consideration to be received upon the exercise or vesting of the Restricted Stock Units (or the substituted award) will be common stock of the successor company or its parent or subsidiary substantially equal in fair market value to the per-share consideration received by holders of Common Stock in the transaction constituting a Corporate Transaction. The determination of such substantial equality of value of consideration shall be made by the Evaluating Committee in its sole discretion and its determination shall be conclusive and binding.</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3040" w:hanging="748"/>
        <w:spacing w:after="0"/>
        <w:tabs>
          <w:tab w:leader="none" w:pos="304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term “Change in Control” shall mean:</w:t>
      </w:r>
    </w:p>
    <w:p>
      <w:pPr>
        <w:spacing w:after="0" w:line="206" w:lineRule="exact"/>
        <w:rPr>
          <w:rFonts w:ascii="Arial" w:cs="Arial" w:eastAsia="Arial" w:hAnsi="Arial"/>
          <w:sz w:val="22"/>
          <w:szCs w:val="22"/>
          <w:color w:val="auto"/>
        </w:rPr>
      </w:pPr>
    </w:p>
    <w:p>
      <w:pPr>
        <w:jc w:val="both"/>
        <w:ind w:left="2300" w:right="99" w:firstLine="641"/>
        <w:spacing w:after="0"/>
        <w:tabs>
          <w:tab w:leader="none" w:pos="3707" w:val="left"/>
        </w:tabs>
        <w:numPr>
          <w:ilvl w:val="2"/>
          <w:numId w:val="107"/>
        </w:numPr>
        <w:rPr>
          <w:rFonts w:ascii="Arial" w:cs="Arial" w:eastAsia="Arial" w:hAnsi="Arial"/>
          <w:sz w:val="22"/>
          <w:szCs w:val="22"/>
          <w:color w:val="auto"/>
        </w:rPr>
      </w:pPr>
      <w:r>
        <w:rPr>
          <w:rFonts w:ascii="Arial" w:cs="Arial" w:eastAsia="Arial" w:hAnsi="Arial"/>
          <w:sz w:val="22"/>
          <w:szCs w:val="22"/>
          <w:color w:val="auto"/>
        </w:rPr>
        <w:t>a change, after the Grant Date, in the composition of the Board such that the Incumbent Board ceases for any reason to constitute at least a majority of the Board; or</w:t>
      </w:r>
    </w:p>
    <w:p>
      <w:pPr>
        <w:spacing w:after="0" w:line="186" w:lineRule="exact"/>
        <w:rPr>
          <w:rFonts w:ascii="Arial" w:cs="Arial" w:eastAsia="Arial" w:hAnsi="Arial"/>
          <w:sz w:val="22"/>
          <w:szCs w:val="22"/>
          <w:color w:val="auto"/>
        </w:rPr>
      </w:pPr>
    </w:p>
    <w:p>
      <w:pPr>
        <w:jc w:val="both"/>
        <w:ind w:left="2300" w:right="99" w:firstLine="641"/>
        <w:spacing w:after="0" w:line="234" w:lineRule="auto"/>
        <w:tabs>
          <w:tab w:leader="none" w:pos="3695" w:val="left"/>
        </w:tabs>
        <w:numPr>
          <w:ilvl w:val="2"/>
          <w:numId w:val="107"/>
        </w:numPr>
        <w:rPr>
          <w:rFonts w:ascii="Arial" w:cs="Arial" w:eastAsia="Arial" w:hAnsi="Arial"/>
          <w:sz w:val="22"/>
          <w:szCs w:val="22"/>
          <w:color w:val="auto"/>
        </w:rPr>
      </w:pPr>
      <w:r>
        <w:rPr>
          <w:rFonts w:ascii="Arial" w:cs="Arial" w:eastAsia="Arial" w:hAnsi="Arial"/>
          <w:sz w:val="22"/>
          <w:szCs w:val="22"/>
          <w:color w:val="auto"/>
        </w:rPr>
        <w:t xml:space="preserve">after the Grant Date a Person (as defined below) other than a Permitted Holder (as defined below) becomes the “Beneficial Owner” (as defined in Rules 13d-3 and 13d-5 under the Exchange Act), directly or indirectly, of securities of the Company representing in the aggregate thirty percent (30%) or more of the then outstanding Voting Securities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Change in Control shall not be deemed to have occurred for purposes of this clause (B) solely as the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188595</wp:posOffset>
            </wp:positionV>
            <wp:extent cx="5642610" cy="514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44" w:name="page145"/>
    <w:bookmarkEnd w:id="144"/>
    <w:p>
      <w:pPr>
        <w:jc w:val="both"/>
        <w:ind w:left="2960" w:right="99" w:hanging="3"/>
        <w:spacing w:after="0" w:line="238" w:lineRule="auto"/>
        <w:tabs>
          <w:tab w:leader="none" w:pos="3346"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any acquisition directly from the Company, other than an acquisition by virtue of the exercise of a conversion privilege unless the security being so converted itself was acquired directly from the Company,</w:t>
      </w:r>
    </w:p>
    <w:p>
      <w:pPr>
        <w:spacing w:after="0" w:line="185" w:lineRule="exact"/>
        <w:rPr>
          <w:rFonts w:ascii="Arial" w:cs="Arial" w:eastAsia="Arial" w:hAnsi="Arial"/>
          <w:sz w:val="22"/>
          <w:szCs w:val="22"/>
          <w:color w:val="auto"/>
        </w:rPr>
      </w:pPr>
    </w:p>
    <w:p>
      <w:pPr>
        <w:ind w:left="3260" w:hanging="303"/>
        <w:spacing w:after="0"/>
        <w:tabs>
          <w:tab w:leader="none" w:pos="326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any repurchase of securities by the Company,</w:t>
      </w:r>
    </w:p>
    <w:p>
      <w:pPr>
        <w:spacing w:after="0" w:line="206" w:lineRule="exact"/>
        <w:rPr>
          <w:rFonts w:ascii="Arial" w:cs="Arial" w:eastAsia="Arial" w:hAnsi="Arial"/>
          <w:sz w:val="22"/>
          <w:szCs w:val="22"/>
          <w:color w:val="auto"/>
        </w:rPr>
      </w:pPr>
    </w:p>
    <w:p>
      <w:pPr>
        <w:jc w:val="both"/>
        <w:ind w:left="2960" w:right="99" w:hanging="3"/>
        <w:spacing w:after="0"/>
        <w:tabs>
          <w:tab w:leader="none" w:pos="32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any acquisition by any employee benefit plan (or related trust) sponsored or maintained by the Company or any entity controlled by the Company, and</w:t>
      </w:r>
    </w:p>
    <w:p>
      <w:pPr>
        <w:spacing w:after="0" w:line="186" w:lineRule="exact"/>
        <w:rPr>
          <w:rFonts w:ascii="Arial" w:cs="Arial" w:eastAsia="Arial" w:hAnsi="Arial"/>
          <w:sz w:val="22"/>
          <w:szCs w:val="22"/>
          <w:color w:val="auto"/>
        </w:rPr>
      </w:pPr>
    </w:p>
    <w:p>
      <w:pPr>
        <w:jc w:val="both"/>
        <w:ind w:left="2960" w:right="99" w:hanging="3"/>
        <w:spacing w:after="0"/>
        <w:tabs>
          <w:tab w:leader="none" w:pos="329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any acquisition pursuant to a transaction that is excluded from the definition of Corporate Transaction pursuant to approval by the Incumbent Board.</w:t>
      </w:r>
    </w:p>
    <w:p>
      <w:pPr>
        <w:spacing w:after="0" w:line="186" w:lineRule="exact"/>
        <w:rPr>
          <w:rFonts w:ascii="Arial" w:cs="Arial" w:eastAsia="Arial" w:hAnsi="Arial"/>
          <w:sz w:val="22"/>
          <w:szCs w:val="22"/>
          <w:color w:val="auto"/>
        </w:rPr>
      </w:pPr>
    </w:p>
    <w:p>
      <w:pPr>
        <w:ind w:left="3060" w:hanging="768"/>
        <w:spacing w:after="0"/>
        <w:tabs>
          <w:tab w:leader="none" w:pos="30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term “Corporate Transaction” shall mean:</w:t>
      </w:r>
    </w:p>
    <w:p>
      <w:pPr>
        <w:spacing w:after="0" w:line="206" w:lineRule="exact"/>
        <w:rPr>
          <w:sz w:val="20"/>
          <w:szCs w:val="20"/>
          <w:color w:val="auto"/>
        </w:rPr>
      </w:pPr>
    </w:p>
    <w:p>
      <w:pPr>
        <w:jc w:val="both"/>
        <w:ind w:left="2300" w:right="99" w:firstLine="641"/>
        <w:spacing w:after="0" w:line="248" w:lineRule="auto"/>
        <w:tabs>
          <w:tab w:leader="none" w:pos="3815"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the consummation of a reorganization, merger or consolidation or sale or other disposition of all or substantially all of the assets of the Company, whether directly or indirectly through the sale of any one or more of the Company’s subsidiaries or the assets of such one or more subsidiaries; </w:t>
      </w:r>
      <w:r>
        <w:rPr>
          <w:rFonts w:ascii="Arial" w:cs="Arial" w:eastAsia="Arial" w:hAnsi="Arial"/>
          <w:sz w:val="21"/>
          <w:szCs w:val="21"/>
          <w:u w:val="single" w:color="auto"/>
          <w:color w:val="auto"/>
        </w:rPr>
        <w:t>excluding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any such transaction approved by the Incumbent Board (as defined below); or</w:t>
      </w:r>
    </w:p>
    <w:p>
      <w:pPr>
        <w:spacing w:after="0" w:line="177" w:lineRule="exact"/>
        <w:rPr>
          <w:rFonts w:ascii="Arial" w:cs="Arial" w:eastAsia="Arial" w:hAnsi="Arial"/>
          <w:sz w:val="21"/>
          <w:szCs w:val="21"/>
          <w:color w:val="auto"/>
        </w:rPr>
      </w:pPr>
    </w:p>
    <w:p>
      <w:pPr>
        <w:ind w:left="3680" w:hanging="739"/>
        <w:spacing w:after="0"/>
        <w:tabs>
          <w:tab w:leader="none" w:pos="368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liquidation or dissolution of the Company.</w:t>
      </w:r>
    </w:p>
    <w:p>
      <w:pPr>
        <w:spacing w:after="0" w:line="206" w:lineRule="exact"/>
        <w:rPr>
          <w:rFonts w:ascii="Arial" w:cs="Arial" w:eastAsia="Arial" w:hAnsi="Arial"/>
          <w:sz w:val="22"/>
          <w:szCs w:val="22"/>
          <w:color w:val="auto"/>
        </w:rPr>
      </w:pPr>
    </w:p>
    <w:p>
      <w:pPr>
        <w:jc w:val="both"/>
        <w:ind w:left="1640" w:right="99" w:firstLine="652"/>
        <w:spacing w:after="0" w:line="272" w:lineRule="auto"/>
        <w:tabs>
          <w:tab w:leader="none" w:pos="304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The term “Incumbent Board” shall mean the individuals who, as of the Grant Date, constitute the entire Board together with any individual(s) who becomes a member of the Board subsequent to the Grant Date, whose election, or nomination for election by the Company’s stockholders, was approved by a vote of at least a majority of those individuals who are members of the Board and who were also members of the then-Incumbent Board (or deemed to be such pursuant to this proviso);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left="1640" w:right="99" w:firstLine="652"/>
        <w:spacing w:after="0" w:line="277" w:lineRule="auto"/>
        <w:tabs>
          <w:tab w:leader="none" w:pos="306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term “Participant” in a Change in Control or a Corporate Transaction shall mean any Person who, after such Change in Control or Corporate Transaction either (a) is or controls any Person whose acquisition or control of securities of the Company gives rise to the Change in Control pursuant to Section 2.3(d)(ii)(B) above, or (b) is or controls any Permitted Holder as of the effective date of such Change in Control or Corporate Transaction but was not or did not control such Permitted Holder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166370</wp:posOffset>
            </wp:positionV>
            <wp:extent cx="5642610" cy="51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45" w:name="page146"/>
    <w:bookmarkEnd w:id="145"/>
    <w:p>
      <w:pPr>
        <w:jc w:val="both"/>
        <w:ind w:left="1640" w:right="99" w:firstLine="652"/>
        <w:spacing w:after="0" w:line="271" w:lineRule="auto"/>
        <w:tabs>
          <w:tab w:leader="none" w:pos="305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The term “Permitted Holder” shall mean (i) the Company or any trustee or other fiduciary holding securities under an employee benefit plan of the Company, (ii) any Person who, since the Grant Date, has continuously been the Beneficial Owner of not less than thirty percent (30%) of the Voting Securities, or</w:t>
      </w:r>
    </w:p>
    <w:p>
      <w:pPr>
        <w:spacing w:after="0" w:line="3" w:lineRule="exact"/>
        <w:rPr>
          <w:rFonts w:ascii="Arial" w:cs="Arial" w:eastAsia="Arial" w:hAnsi="Arial"/>
          <w:sz w:val="19"/>
          <w:szCs w:val="19"/>
          <w:color w:val="auto"/>
        </w:rPr>
      </w:pPr>
    </w:p>
    <w:p>
      <w:pPr>
        <w:ind w:left="1640" w:right="99" w:firstLine="4"/>
        <w:spacing w:after="0" w:line="237" w:lineRule="auto"/>
        <w:tabs>
          <w:tab w:leader="none" w:pos="203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Person controlled, directly or indirectly, by one or more of the foregoing Persons referred to in the immediately preceding clause (ii).</w:t>
      </w:r>
    </w:p>
    <w:p>
      <w:pPr>
        <w:spacing w:after="0" w:line="184" w:lineRule="exact"/>
        <w:rPr>
          <w:rFonts w:ascii="Arial" w:cs="Arial" w:eastAsia="Arial" w:hAnsi="Arial"/>
          <w:sz w:val="22"/>
          <w:szCs w:val="22"/>
          <w:color w:val="auto"/>
        </w:rPr>
      </w:pPr>
    </w:p>
    <w:p>
      <w:pPr>
        <w:jc w:val="both"/>
        <w:ind w:left="1640" w:right="99" w:firstLine="652"/>
        <w:spacing w:after="0" w:line="246" w:lineRule="auto"/>
        <w:tabs>
          <w:tab w:leader="none" w:pos="3092" w:val="left"/>
        </w:tabs>
        <w:numPr>
          <w:ilvl w:val="1"/>
          <w:numId w:val="113"/>
        </w:numPr>
        <w:rPr>
          <w:rFonts w:ascii="Arial" w:cs="Arial" w:eastAsia="Arial" w:hAnsi="Arial"/>
          <w:sz w:val="21"/>
          <w:szCs w:val="21"/>
          <w:color w:val="auto"/>
        </w:rPr>
      </w:pPr>
      <w:r>
        <w:rPr>
          <w:rFonts w:ascii="Arial" w:cs="Arial" w:eastAsia="Arial" w:hAnsi="Arial"/>
          <w:sz w:val="21"/>
          <w:szCs w:val="21"/>
          <w:color w:val="auto"/>
        </w:rPr>
        <w:t>The term “Person” shall mean any individual (whether acting in an individual capacity or in a representative capacity so as to have sole or shared voting power of Voting Securities), entity (including, without limitation, any corporation, charitable or not-for profit corporation, private foundation, partnership, limited liability company, trust (including, without limitation, any private, charitable or split-interest trust), joint venture, association or governmental body) or group (as defined in Section 13(d)(3) or 14(d)(2) of the Exchange Act and the rules and regulations thereunder.</w:t>
      </w:r>
    </w:p>
    <w:p>
      <w:pPr>
        <w:spacing w:after="0" w:line="180" w:lineRule="exact"/>
        <w:rPr>
          <w:rFonts w:ascii="Arial" w:cs="Arial" w:eastAsia="Arial" w:hAnsi="Arial"/>
          <w:sz w:val="21"/>
          <w:szCs w:val="21"/>
          <w:color w:val="auto"/>
        </w:rPr>
      </w:pPr>
    </w:p>
    <w:p>
      <w:pPr>
        <w:ind w:left="1640" w:right="99" w:firstLine="652"/>
        <w:spacing w:after="0" w:line="251" w:lineRule="auto"/>
        <w:tabs>
          <w:tab w:leader="none" w:pos="3152" w:val="left"/>
        </w:tabs>
        <w:numPr>
          <w:ilvl w:val="1"/>
          <w:numId w:val="113"/>
        </w:numPr>
        <w:rPr>
          <w:rFonts w:ascii="Arial" w:cs="Arial" w:eastAsia="Arial" w:hAnsi="Arial"/>
          <w:sz w:val="22"/>
          <w:szCs w:val="22"/>
          <w:color w:val="auto"/>
        </w:rPr>
      </w:pPr>
      <w:r>
        <w:rPr>
          <w:rFonts w:ascii="Arial" w:cs="Arial" w:eastAsia="Arial" w:hAnsi="Arial"/>
          <w:sz w:val="22"/>
          <w:szCs w:val="22"/>
          <w:color w:val="auto"/>
        </w:rPr>
        <w:t>Services shall mean Recipient’s services as a Director of the Company or any successor.</w:t>
      </w:r>
    </w:p>
    <w:p>
      <w:pPr>
        <w:spacing w:after="0" w:line="173" w:lineRule="exact"/>
        <w:rPr>
          <w:rFonts w:ascii="Arial" w:cs="Arial" w:eastAsia="Arial" w:hAnsi="Arial"/>
          <w:sz w:val="22"/>
          <w:szCs w:val="22"/>
          <w:color w:val="auto"/>
        </w:rPr>
      </w:pPr>
    </w:p>
    <w:p>
      <w:pPr>
        <w:jc w:val="both"/>
        <w:ind w:left="1640" w:right="99" w:firstLine="652"/>
        <w:spacing w:after="0" w:line="235" w:lineRule="auto"/>
        <w:tabs>
          <w:tab w:leader="none" w:pos="312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term “Voting Securities” shall mean all securities of a corporation having the right under ordinary circumstances to vote in an election of the board of directors of such corporation, or other interests having comparable rights to elect managers or fiduciary persons or boards in non-corporate entities. As of the date hereof, the Voting Securities of the Company includes the shares of Class B common stock of the Company.</w:t>
      </w:r>
    </w:p>
    <w:p>
      <w:pPr>
        <w:spacing w:after="0" w:line="188" w:lineRule="exact"/>
        <w:rPr>
          <w:sz w:val="20"/>
          <w:szCs w:val="20"/>
          <w:color w:val="auto"/>
        </w:rPr>
      </w:pPr>
    </w:p>
    <w:p>
      <w:pPr>
        <w:jc w:val="both"/>
        <w:ind w:left="480" w:right="99" w:firstLine="504"/>
        <w:spacing w:after="0" w:line="28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Settlement</w:t>
      </w:r>
      <w:r>
        <w:rPr>
          <w:rFonts w:ascii="Arial" w:cs="Arial" w:eastAsia="Arial" w:hAnsi="Arial"/>
          <w:sz w:val="19"/>
          <w:szCs w:val="19"/>
          <w:color w:val="auto"/>
        </w:rPr>
        <w:t>. If Restricted Stock Units vest, then within thirty (30) days after the last day of the calendar year in which the Restricted Stock Units become vested pursuant to Section 2 hereof, the Company shall settle the Restricted Stock Units by delivering to the Recipient, or if applicable the Recipient’s estate, that number of shares of Common Stock equal to the number of Restricted Stock Units which vested on such vesting date as set forth above.</w:t>
      </w:r>
    </w:p>
    <w:p>
      <w:pPr>
        <w:spacing w:after="0" w:line="148" w:lineRule="exact"/>
        <w:rPr>
          <w:sz w:val="20"/>
          <w:szCs w:val="20"/>
          <w:color w:val="auto"/>
        </w:rPr>
      </w:pPr>
    </w:p>
    <w:p>
      <w:pPr>
        <w:jc w:val="both"/>
        <w:ind w:left="480" w:right="99" w:firstLine="504"/>
        <w:spacing w:after="0" w:line="252"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Taxes</w:t>
      </w:r>
      <w:r>
        <w:rPr>
          <w:rFonts w:ascii="Arial" w:cs="Arial" w:eastAsia="Arial" w:hAnsi="Arial"/>
          <w:sz w:val="21"/>
          <w:szCs w:val="21"/>
          <w:color w:val="auto"/>
        </w:rPr>
        <w:t>. On the date on which the Restricted Stock Units are settled pursuant to Section 2.4 hereof, the Recipient shall recognize taxable income in respect of the Common Stock deliverable and the Company shall report such taxable income to the appropriate taxing authorities in respect thereof as it determines to be necessary and appropriate.</w:t>
      </w:r>
    </w:p>
    <w:p>
      <w:pPr>
        <w:spacing w:after="0" w:line="174" w:lineRule="exact"/>
        <w:rPr>
          <w:sz w:val="20"/>
          <w:szCs w:val="20"/>
          <w:color w:val="auto"/>
        </w:rPr>
      </w:pPr>
    </w:p>
    <w:p>
      <w:pPr>
        <w:jc w:val="both"/>
        <w:ind w:left="480" w:right="99" w:firstLine="504"/>
        <w:spacing w:after="0" w:line="275"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Certificate</w:t>
      </w:r>
      <w:r>
        <w:rPr>
          <w:rFonts w:ascii="Arial" w:cs="Arial" w:eastAsia="Arial" w:hAnsi="Arial"/>
          <w:sz w:val="19"/>
          <w:szCs w:val="19"/>
          <w:color w:val="auto"/>
        </w:rPr>
        <w:t>. Upon settlement of the Restricted Stock Units pursuant to Section 2.4 hereof (or as soon as practicable thereafter), the Company shall deliver or cause to be delivered one or more certificates issued in the Recipient’s name representing shares of Common Stock equal to the number of vested Restricted Stock Units. If a valid SEC Form S-8 Registration Statement is not in effect at the time, the Certificate shall set forth restrictive legends advising the Recipient that the shares of Common Stock have not been registered under the securities laws of the United States or the laws of any state and that the sale or other disposition of such shares is prohibited unless such sale or other disposition is made in compliance with all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170180</wp:posOffset>
            </wp:positionV>
            <wp:extent cx="5642610" cy="51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46" w:name="page147"/>
    <w:bookmarkEnd w:id="146"/>
    <w:p>
      <w:pPr>
        <w:jc w:val="both"/>
        <w:ind w:left="100" w:right="99" w:firstLine="383"/>
        <w:spacing w:after="0" w:line="297" w:lineRule="auto"/>
        <w:tabs>
          <w:tab w:leader="none" w:pos="1032"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Pursuant to Section 11 of the Plan, in the event of a change in capitalization, the Board shall make such equitable changes or adjustments to the number and kind of securities or other property (including cash) issued or issuable in respect of outstanding Restricted Stock Units.</w:t>
      </w:r>
    </w:p>
    <w:p>
      <w:pPr>
        <w:spacing w:after="0" w:line="134" w:lineRule="exact"/>
        <w:rPr>
          <w:rFonts w:ascii="Arial" w:cs="Arial" w:eastAsia="Arial" w:hAnsi="Arial"/>
          <w:sz w:val="19"/>
          <w:szCs w:val="19"/>
          <w:color w:val="auto"/>
        </w:rPr>
      </w:pPr>
    </w:p>
    <w:p>
      <w:pPr>
        <w:jc w:val="both"/>
        <w:ind w:left="100" w:right="99" w:firstLine="383"/>
        <w:spacing w:after="0" w:line="245" w:lineRule="auto"/>
        <w:tabs>
          <w:tab w:leader="none" w:pos="1113"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under this Restricted Stock Unit Agreement shall be in writing and shall be given by e-mail, first class mail, certified or registered with return receipt requests, and shall be deemed to have been duly given three days after mailing (or one-day in case of delivery by e-mail) to the respective parties, as follows: (i) if to the Company, (a) if by mail, addressed to the Company in care of its Corporate Secretary at the principal executive office of the Company, or (b) if by e-mail, addressed to the care of the Corporate Secretary at corporatesecretary@readingrdi.com and (ii) if to the Recipient, using the contact information on file with the Company. Either party hereto may change such party’s address for notices by notice duly given pursuant hereto.</w:t>
      </w:r>
    </w:p>
    <w:p>
      <w:pPr>
        <w:spacing w:after="0" w:line="185" w:lineRule="exact"/>
        <w:rPr>
          <w:rFonts w:ascii="Arial" w:cs="Arial" w:eastAsia="Arial" w:hAnsi="Arial"/>
          <w:sz w:val="21"/>
          <w:szCs w:val="21"/>
          <w:color w:val="auto"/>
        </w:rPr>
      </w:pPr>
    </w:p>
    <w:p>
      <w:pPr>
        <w:ind w:left="1040" w:hanging="557"/>
        <w:spacing w:after="0"/>
        <w:tabs>
          <w:tab w:leader="none" w:pos="104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Protections against Violations of Agreement</w:t>
      </w:r>
      <w:r>
        <w:rPr>
          <w:rFonts w:ascii="Arial" w:cs="Arial" w:eastAsia="Arial" w:hAnsi="Arial"/>
          <w:sz w:val="22"/>
          <w:szCs w:val="22"/>
          <w:color w:val="auto"/>
        </w:rPr>
        <w:t>.</w:t>
      </w:r>
    </w:p>
    <w:p>
      <w:pPr>
        <w:spacing w:after="0" w:line="206" w:lineRule="exact"/>
        <w:rPr>
          <w:sz w:val="20"/>
          <w:szCs w:val="20"/>
          <w:color w:val="auto"/>
        </w:rPr>
      </w:pPr>
    </w:p>
    <w:p>
      <w:pPr>
        <w:jc w:val="both"/>
        <w:ind w:left="480" w:right="99" w:firstLine="504"/>
        <w:spacing w:after="0" w:line="247" w:lineRule="auto"/>
        <w:rPr>
          <w:sz w:val="20"/>
          <w:szCs w:val="20"/>
          <w:color w:val="auto"/>
        </w:rPr>
      </w:pPr>
      <w:r>
        <w:rPr>
          <w:rFonts w:ascii="Arial" w:cs="Arial" w:eastAsia="Arial" w:hAnsi="Arial"/>
          <w:sz w:val="21"/>
          <w:szCs w:val="21"/>
          <w:color w:val="auto"/>
        </w:rPr>
        <w:t>5.1 No purported sale, assignment, mortgage, hypothecation, transfer, charge, pledge, encumbrance, gift, transfer in trust (voting or other) or other disposition or creation of a security interest in or lien on, any of the Restricted Stock Units or any agreement or commitment to do any of the foregoing (each a “Transfer”) by any holder thereof in violation of the provisions of this Restricted Stock Unit Agreement will be valid, except (i) a transfer for estate planning purposes, or (ii) with the prior written consent of the Board (such consent shall be granted or withheld in the sole discretion of the Board).</w:t>
      </w:r>
    </w:p>
    <w:p>
      <w:pPr>
        <w:spacing w:after="0" w:line="178" w:lineRule="exact"/>
        <w:rPr>
          <w:sz w:val="20"/>
          <w:szCs w:val="20"/>
          <w:color w:val="auto"/>
        </w:rPr>
      </w:pPr>
    </w:p>
    <w:p>
      <w:pPr>
        <w:jc w:val="both"/>
        <w:ind w:left="480" w:right="99" w:firstLine="504"/>
        <w:spacing w:after="0" w:line="235" w:lineRule="auto"/>
        <w:rPr>
          <w:sz w:val="20"/>
          <w:szCs w:val="20"/>
          <w:color w:val="auto"/>
        </w:rPr>
      </w:pPr>
      <w:r>
        <w:rPr>
          <w:rFonts w:ascii="Arial" w:cs="Arial" w:eastAsia="Arial" w:hAnsi="Arial"/>
          <w:sz w:val="22"/>
          <w:szCs w:val="22"/>
          <w:color w:val="auto"/>
        </w:rPr>
        <w:t>5.2 Any purported Transfer of Restricted Stock Units or any economic benefit or interest therein in violation of this Restricted Stock Unit Agreement shall be null and void ab initio, and shall not create any obligation or liability of the Company, and any person purportedly acquiring any Restricted Stock Units or any economic benefit or interest therein transferred in violation of this Restricted Stock Unit Agreement shall not be entitled to receive any Common Stock.</w:t>
      </w:r>
    </w:p>
    <w:p>
      <w:pPr>
        <w:spacing w:after="0" w:line="188" w:lineRule="exact"/>
        <w:rPr>
          <w:sz w:val="20"/>
          <w:szCs w:val="20"/>
          <w:color w:val="auto"/>
        </w:rPr>
      </w:pPr>
    </w:p>
    <w:p>
      <w:pPr>
        <w:jc w:val="both"/>
        <w:ind w:left="100" w:right="99" w:firstLine="383"/>
        <w:spacing w:after="0" w:line="233" w:lineRule="auto"/>
        <w:tabs>
          <w:tab w:leader="none" w:pos="1126"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BY SIGNING THIS RESTRICTED STOCK UNIT AGREEMENT, THE RECIPIENT REPRESENTS THAT HE OR SHE HAS REVIEWED WITH HIS OR HER OWN TAX ADVISORS THE FEDERAL, STATE, LOCAL AND FOREIGN TAX CONSEQUENCES OF THE TRANSACTIONS CONTEMPLATED BY THIS RESTRICTED STOCK UNIT AGREEMENT AND THAT HE OR SHE IS RELYING SOLELY ON SUCH ADVISORS AND NOT ON ANY STATEMENTS OR REPRESENTATIONS OF THE COMPANY OR ANY OF ITS AGENTS. THE RECIPIENT UNDERSTANDS AND AGREES THAT HE OR SHE (AND NOT THE COMPANY) SHALL BE RESPONSIBLE FOR ANY TAX LIABILITY THAT MAY ARISE AS A RESULT OF THE TRANSACTIONS CONTEMPLATED BY THIS RESTRICTED STOCK UNIT AGREEMENT.</w:t>
      </w:r>
    </w:p>
    <w:p>
      <w:pPr>
        <w:spacing w:after="0" w:line="191" w:lineRule="exact"/>
        <w:rPr>
          <w:rFonts w:ascii="Arial" w:cs="Arial" w:eastAsia="Arial" w:hAnsi="Arial"/>
          <w:sz w:val="22"/>
          <w:szCs w:val="22"/>
          <w:color w:val="auto"/>
        </w:rPr>
      </w:pPr>
    </w:p>
    <w:p>
      <w:pPr>
        <w:jc w:val="both"/>
        <w:ind w:left="100" w:right="99" w:firstLine="383"/>
        <w:spacing w:after="0"/>
        <w:tabs>
          <w:tab w:leader="none" w:pos="1045"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Failure to Enforce Not a Waiver</w:t>
      </w:r>
      <w:r>
        <w:rPr>
          <w:rFonts w:ascii="Arial" w:cs="Arial" w:eastAsia="Arial" w:hAnsi="Arial"/>
          <w:sz w:val="22"/>
          <w:szCs w:val="22"/>
          <w:color w:val="auto"/>
        </w:rPr>
        <w:t>. The failure of the Company to enforce at any time any provision of this Restricted Stock Unit Agreement shall in no way be construed to be a waiver of such provision or of any other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187960</wp:posOffset>
            </wp:positionV>
            <wp:extent cx="5642610" cy="514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47" w:name="page148"/>
    <w:bookmarkEnd w:id="147"/>
    <w:p>
      <w:pPr>
        <w:jc w:val="both"/>
        <w:ind w:left="100" w:right="99" w:firstLine="383"/>
        <w:spacing w:after="0" w:line="233" w:lineRule="auto"/>
        <w:tabs>
          <w:tab w:leader="none" w:pos="1099"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Restricted Stock Unit Agreement shall be governed by and construed and enforced in accordance with the laws of the State of Nevada applicable to contracts made and to be performed herein. Any suit, action or proceeding with respect to this Restricted Stock Unit Agreement, or any judgment entered by any court in respect of any thereof, shall be brought in any court of competent jurisdiction in the State of Nevada, and the Company and the Recipient hereby submit to the exclusive jurisdiction of such courts for the purpose of any such suit, action, proceeding or judgment. The Recipient and the Company hereby irrevocably waive (i) any objections which it may now or hereafter have to the laying of the venue of any suit, action or proceeding arising out of or relating to this Restricted stock Unit Agreement brought in any court of competent jurisdiction in the State of Nevada, (ii) any claim that any such suit, action or proceeding brought in any such court has been brought in any inconvenient forum and (iii) any right to a jury trial.</w:t>
      </w:r>
    </w:p>
    <w:p>
      <w:pPr>
        <w:spacing w:after="0" w:line="186" w:lineRule="exact"/>
        <w:rPr>
          <w:rFonts w:ascii="Arial" w:cs="Arial" w:eastAsia="Arial" w:hAnsi="Arial"/>
          <w:sz w:val="22"/>
          <w:szCs w:val="22"/>
          <w:color w:val="auto"/>
        </w:rPr>
      </w:pPr>
    </w:p>
    <w:p>
      <w:pPr>
        <w:jc w:val="both"/>
        <w:ind w:left="100" w:right="99" w:firstLine="383"/>
        <w:spacing w:after="0" w:line="258" w:lineRule="auto"/>
        <w:tabs>
          <w:tab w:leader="none" w:pos="1072"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Incorporation of Plan</w:t>
      </w:r>
      <w:r>
        <w:rPr>
          <w:rFonts w:ascii="Arial" w:cs="Arial" w:eastAsia="Arial" w:hAnsi="Arial"/>
          <w:sz w:val="21"/>
          <w:szCs w:val="21"/>
          <w:color w:val="auto"/>
        </w:rPr>
        <w:t>. The Plan is hereby incorporated by reference and made a part hereof, and the Restricted Stock Units and this Restricted Stock Unit Agreement shall be subject to all terms and conditions of the Plan and this Restricted Stock Unit Agreement.</w:t>
      </w:r>
    </w:p>
    <w:p>
      <w:pPr>
        <w:spacing w:after="0" w:line="166" w:lineRule="exact"/>
        <w:rPr>
          <w:rFonts w:ascii="Arial" w:cs="Arial" w:eastAsia="Arial" w:hAnsi="Arial"/>
          <w:sz w:val="21"/>
          <w:szCs w:val="21"/>
          <w:color w:val="auto"/>
        </w:rPr>
      </w:pPr>
    </w:p>
    <w:p>
      <w:pPr>
        <w:jc w:val="both"/>
        <w:ind w:left="100" w:right="99" w:firstLine="383"/>
        <w:spacing w:after="0" w:line="282" w:lineRule="auto"/>
        <w:tabs>
          <w:tab w:leader="none" w:pos="1099"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Amendments / Construction</w:t>
      </w:r>
      <w:r>
        <w:rPr>
          <w:rFonts w:ascii="Arial" w:cs="Arial" w:eastAsia="Arial" w:hAnsi="Arial"/>
          <w:sz w:val="19"/>
          <w:szCs w:val="19"/>
          <w:color w:val="auto"/>
        </w:rPr>
        <w:t>. The Board may amend the terms of this Restricted Stock Unit Agreement prospectively or retroactively at any time, but no such amendment shall impair the rights of the Recipient hereunder without Recipient’s consent. Headings to Sections of this Restricted Stock Unit Agreement are intended for convenience of reference only, are not part of this Restricted Stock Unit Agreement and shall have no effect on the interpretation hereof.</w:t>
      </w:r>
    </w:p>
    <w:p>
      <w:pPr>
        <w:spacing w:after="0" w:line="147" w:lineRule="exact"/>
        <w:rPr>
          <w:rFonts w:ascii="Arial" w:cs="Arial" w:eastAsia="Arial" w:hAnsi="Arial"/>
          <w:sz w:val="19"/>
          <w:szCs w:val="19"/>
          <w:color w:val="auto"/>
        </w:rPr>
      </w:pPr>
    </w:p>
    <w:p>
      <w:pPr>
        <w:jc w:val="both"/>
        <w:ind w:left="100" w:right="99" w:firstLine="383"/>
        <w:spacing w:after="0"/>
        <w:tabs>
          <w:tab w:leader="none" w:pos="1091"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Survival of Terms</w:t>
      </w:r>
      <w:r>
        <w:rPr>
          <w:rFonts w:ascii="Arial" w:cs="Arial" w:eastAsia="Arial" w:hAnsi="Arial"/>
          <w:sz w:val="22"/>
          <w:szCs w:val="22"/>
          <w:color w:val="auto"/>
        </w:rPr>
        <w:t>. This Restricted Stock Unit Agreement shall apply to and bind the Recipient and the Company and their respective permitted assignees and transferees, heirs, legatees, executors, administrators and legal successors.</w:t>
      </w:r>
    </w:p>
    <w:p>
      <w:pPr>
        <w:spacing w:after="0" w:line="186" w:lineRule="exact"/>
        <w:rPr>
          <w:rFonts w:ascii="Arial" w:cs="Arial" w:eastAsia="Arial" w:hAnsi="Arial"/>
          <w:sz w:val="22"/>
          <w:szCs w:val="22"/>
          <w:color w:val="auto"/>
        </w:rPr>
      </w:pPr>
    </w:p>
    <w:p>
      <w:pPr>
        <w:jc w:val="both"/>
        <w:ind w:left="100" w:right="99" w:firstLine="383"/>
        <w:spacing w:after="0" w:line="275" w:lineRule="auto"/>
        <w:tabs>
          <w:tab w:leader="none" w:pos="1072"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The Recipient shall have no rights of a stockholder (including the right to vote and the right to receive distributions or dividends) until the Recipient has received the shares of Common Stock equal to the number of Restricted Stock Units which vested. On the date that the Recipient receives Common Stock with respect to Restricted Stock Units, the Recipient shall receive distributions or dividends that would have been paid to or made with respect to the number of shares of Common Stock that relate to this Restricted Stock Unit Award from the date of vesting until such date of delivery of the Common Stock. The Recipient shall be able to exercise voting rights upon receipt of the shares of Common Stock.</w:t>
      </w:r>
    </w:p>
    <w:p>
      <w:pPr>
        <w:spacing w:after="0" w:line="158" w:lineRule="exact"/>
        <w:rPr>
          <w:rFonts w:ascii="Arial" w:cs="Arial" w:eastAsia="Arial" w:hAnsi="Arial"/>
          <w:sz w:val="19"/>
          <w:szCs w:val="19"/>
          <w:color w:val="auto"/>
        </w:rPr>
      </w:pPr>
    </w:p>
    <w:p>
      <w:pPr>
        <w:jc w:val="both"/>
        <w:ind w:left="100" w:right="99" w:firstLine="383"/>
        <w:spacing w:after="0" w:line="236" w:lineRule="auto"/>
        <w:tabs>
          <w:tab w:leader="none" w:pos="1099"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Agreement Not a Contract for Continued Service</w:t>
      </w:r>
      <w:r>
        <w:rPr>
          <w:rFonts w:ascii="Arial" w:cs="Arial" w:eastAsia="Arial" w:hAnsi="Arial"/>
          <w:sz w:val="22"/>
          <w:szCs w:val="22"/>
          <w:color w:val="auto"/>
        </w:rPr>
        <w:t>. Neither the Plan, the granting of the Restricted Stock Units, this Restricted Stock Unit Agreement nor any other action taken pursuant to the Plan shall constitute or be evidence of any agreement or understanding, express or implied, that the Recipient has a right to continue to serve as a director of the Company for any period of time or at any specific rate of compensation.</w:t>
      </w:r>
    </w:p>
    <w:p>
      <w:pPr>
        <w:spacing w:after="0" w:line="187" w:lineRule="exact"/>
        <w:rPr>
          <w:rFonts w:ascii="Arial" w:cs="Arial" w:eastAsia="Arial" w:hAnsi="Arial"/>
          <w:sz w:val="22"/>
          <w:szCs w:val="22"/>
          <w:color w:val="auto"/>
        </w:rPr>
      </w:pPr>
    </w:p>
    <w:p>
      <w:pPr>
        <w:jc w:val="both"/>
        <w:ind w:left="100" w:right="99" w:firstLine="383"/>
        <w:spacing w:after="0" w:line="249" w:lineRule="auto"/>
        <w:tabs>
          <w:tab w:leader="none" w:pos="1126"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Authority of the Board; Disputes</w:t>
      </w:r>
      <w:r>
        <w:rPr>
          <w:rFonts w:ascii="Arial" w:cs="Arial" w:eastAsia="Arial" w:hAnsi="Arial"/>
          <w:sz w:val="21"/>
          <w:szCs w:val="21"/>
          <w:color w:val="auto"/>
        </w:rPr>
        <w:t>. The Board, directly or through its delegation of authority to the Committee, shall have full authority to interpret and construe the terms of the Plan and this Restricted Stock Unit Agreement. Notwithstanding the above, nothing within this provision shall restrict the Company or the Recipient from seeking to enforce the terms of this Restricted Stock Unit Agreement under and as provided in Section 8,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182880</wp:posOffset>
            </wp:positionV>
            <wp:extent cx="5642610" cy="514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48" w:name="page149"/>
    <w:bookmarkEnd w:id="148"/>
    <w:p>
      <w:pPr>
        <w:jc w:val="both"/>
        <w:ind w:left="100" w:right="99" w:firstLine="383"/>
        <w:spacing w:after="0" w:line="235" w:lineRule="auto"/>
        <w:tabs>
          <w:tab w:leader="none" w:pos="1086"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Restricted Stock Unit Agreement be held by a court of competent jurisdiction to be unenforceable, or enforceable only if modified, such holding shall not affect the validity of the remainder of this Restricted Stock Unit Agreement, the balance of which shall continue to be binding upon the parties hereto with any such modification (if any) to become a part hereof and treated as though contained in this original Recipient Restricted Stock Unit Agreement.</w:t>
      </w:r>
    </w:p>
    <w:p>
      <w:pPr>
        <w:spacing w:after="0" w:line="188" w:lineRule="exact"/>
        <w:rPr>
          <w:rFonts w:ascii="Arial" w:cs="Arial" w:eastAsia="Arial" w:hAnsi="Arial"/>
          <w:sz w:val="22"/>
          <w:szCs w:val="22"/>
          <w:color w:val="auto"/>
        </w:rPr>
      </w:pPr>
    </w:p>
    <w:p>
      <w:pPr>
        <w:jc w:val="both"/>
        <w:ind w:left="100" w:right="99" w:firstLine="383"/>
        <w:spacing w:after="0" w:line="252" w:lineRule="auto"/>
        <w:tabs>
          <w:tab w:leader="none" w:pos="1167"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The Board, directly or through its delegation of authority to the Committee, has the right to amend, alter, suspend, discontinue or cancel the Restricted Stock Unit, prospectively or retroactively; provided, that, no such amendment shall adversely affect the Recipient’s material rights under this Agreement without the Recipient’s consent.</w:t>
      </w:r>
    </w:p>
    <w:p>
      <w:pPr>
        <w:spacing w:after="0" w:line="174" w:lineRule="exact"/>
        <w:rPr>
          <w:rFonts w:ascii="Arial" w:cs="Arial" w:eastAsia="Arial" w:hAnsi="Arial"/>
          <w:sz w:val="21"/>
          <w:szCs w:val="21"/>
          <w:color w:val="auto"/>
        </w:rPr>
      </w:pPr>
    </w:p>
    <w:p>
      <w:pPr>
        <w:jc w:val="both"/>
        <w:ind w:left="100" w:right="99" w:firstLine="383"/>
        <w:spacing w:after="0" w:line="248" w:lineRule="auto"/>
        <w:tabs>
          <w:tab w:leader="none" w:pos="1086"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7" w:lineRule="exact"/>
        <w:rPr>
          <w:rFonts w:ascii="Arial" w:cs="Arial" w:eastAsia="Arial" w:hAnsi="Arial"/>
          <w:sz w:val="21"/>
          <w:szCs w:val="21"/>
          <w:color w:val="auto"/>
        </w:rPr>
      </w:pPr>
    </w:p>
    <w:p>
      <w:pPr>
        <w:jc w:val="both"/>
        <w:ind w:left="100" w:right="99" w:firstLine="383"/>
        <w:spacing w:after="0" w:line="279" w:lineRule="auto"/>
        <w:tabs>
          <w:tab w:leader="none" w:pos="108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The Recipient hereby acknowledges receipt of a copy of the Plan and this Agreement. The Recipient has read and understands the terms and provisions thereof, and accepts the Restricted Stock Units subject to all of the terms and conditions of the Plan and this Agreement. The Recipient acknowledges that there may be adverse tax consequences upon vesting and/or settlement of the Restricted Stock Unit or disposition of the underlying shares and that the Recipient should consult a tax advisor prior to such vesting, settlement or disposition.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286385</wp:posOffset>
            </wp:positionV>
            <wp:extent cx="5642610" cy="514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49" w:name="page150"/>
    <w:bookmarkEnd w:id="149"/>
    <w:p>
      <w:pPr>
        <w:ind w:left="100" w:right="99" w:firstLine="648"/>
        <w:spacing w:after="0" w:line="251" w:lineRule="auto"/>
        <w:rPr>
          <w:sz w:val="20"/>
          <w:szCs w:val="20"/>
          <w:color w:val="auto"/>
        </w:rPr>
      </w:pPr>
      <w:r>
        <w:rPr>
          <w:rFonts w:ascii="Arial" w:cs="Arial" w:eastAsia="Arial" w:hAnsi="Arial"/>
          <w:sz w:val="22"/>
          <w:szCs w:val="22"/>
          <w:color w:val="auto"/>
        </w:rPr>
        <w:t>IN WITNESS WHEREOF, the parties hereto have executed this Agreement as of the date first above written.</w:t>
      </w:r>
    </w:p>
    <w:p>
      <w:pPr>
        <w:spacing w:after="0" w:line="21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READING INTERNATIONAL, INC.</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 Ellen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-158115</wp:posOffset>
            </wp:positionV>
            <wp:extent cx="2718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400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29"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RECIPIENT</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-158115</wp:posOffset>
            </wp:positionV>
            <wp:extent cx="2718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2718435" cy="889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274955</wp:posOffset>
            </wp:positionV>
            <wp:extent cx="5642610" cy="514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50" w:name="page151"/>
    <w:bookmarkEnd w:id="150"/>
    <w:p>
      <w:pPr>
        <w:ind w:left="2220"/>
        <w:spacing w:after="0"/>
        <w:rPr>
          <w:sz w:val="20"/>
          <w:szCs w:val="20"/>
          <w:color w:val="auto"/>
        </w:rPr>
      </w:pPr>
      <w:r>
        <w:rPr>
          <w:rFonts w:ascii="Arial" w:cs="Arial" w:eastAsia="Arial" w:hAnsi="Arial"/>
          <w:sz w:val="22"/>
          <w:szCs w:val="22"/>
          <w:b w:val="1"/>
          <w:bCs w:val="1"/>
          <w:color w:val="auto"/>
        </w:rPr>
        <w:t>RESTRICTED STOCK UNIT GRANT NOTICE</w:t>
      </w:r>
    </w:p>
    <w:p>
      <w:pPr>
        <w:spacing w:after="0" w:line="5"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UNDER THE</w:t>
      </w:r>
    </w:p>
    <w:p>
      <w:pPr>
        <w:ind w:left="2760"/>
        <w:spacing w:after="0" w:line="230" w:lineRule="auto"/>
        <w:rPr>
          <w:sz w:val="20"/>
          <w:szCs w:val="20"/>
          <w:color w:val="auto"/>
        </w:rPr>
      </w:pPr>
      <w:r>
        <w:rPr>
          <w:rFonts w:ascii="Arial" w:cs="Arial" w:eastAsia="Arial" w:hAnsi="Arial"/>
          <w:sz w:val="22"/>
          <w:szCs w:val="22"/>
          <w:b w:val="1"/>
          <w:bCs w:val="1"/>
          <w:color w:val="auto"/>
        </w:rPr>
        <w:t>READING INTERNATIONAL, INC.</w:t>
      </w:r>
    </w:p>
    <w:p>
      <w:pPr>
        <w:spacing w:after="0" w:line="1"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2010 STOCK INCENTIVE PLAN</w:t>
      </w:r>
    </w:p>
    <w:p>
      <w:pPr>
        <w:spacing w:after="0" w:line="215" w:lineRule="exact"/>
        <w:rPr>
          <w:sz w:val="20"/>
          <w:szCs w:val="20"/>
          <w:color w:val="auto"/>
        </w:rPr>
      </w:pPr>
    </w:p>
    <w:p>
      <w:pPr>
        <w:jc w:val="both"/>
        <w:ind w:left="100" w:right="99" w:firstLine="1296"/>
        <w:spacing w:after="0" w:line="248" w:lineRule="auto"/>
        <w:rPr>
          <w:sz w:val="20"/>
          <w:szCs w:val="20"/>
          <w:color w:val="auto"/>
        </w:rPr>
      </w:pPr>
      <w:r>
        <w:rPr>
          <w:rFonts w:ascii="Arial" w:cs="Arial" w:eastAsia="Arial" w:hAnsi="Arial"/>
          <w:sz w:val="21"/>
          <w:szCs w:val="21"/>
          <w:color w:val="auto"/>
        </w:rPr>
        <w:t>Reading International, Inc. (the “</w:t>
      </w:r>
      <w:r>
        <w:rPr>
          <w:rFonts w:ascii="Arial" w:cs="Arial" w:eastAsia="Arial" w:hAnsi="Arial"/>
          <w:sz w:val="21"/>
          <w:szCs w:val="21"/>
          <w:u w:val="single" w:color="auto"/>
          <w:color w:val="auto"/>
        </w:rPr>
        <w:t>Company</w:t>
      </w:r>
      <w:r>
        <w:rPr>
          <w:rFonts w:ascii="Arial" w:cs="Arial" w:eastAsia="Arial" w:hAnsi="Arial"/>
          <w:sz w:val="21"/>
          <w:szCs w:val="21"/>
          <w:color w:val="auto"/>
        </w:rPr>
        <w:t>”), pursuant to its 2010 Stock Incentive Plan, as amended (the “</w:t>
      </w:r>
      <w:r>
        <w:rPr>
          <w:rFonts w:ascii="Arial" w:cs="Arial" w:eastAsia="Arial" w:hAnsi="Arial"/>
          <w:sz w:val="21"/>
          <w:szCs w:val="21"/>
          <w:u w:val="single" w:color="auto"/>
          <w:color w:val="auto"/>
        </w:rPr>
        <w:t>Plan</w:t>
      </w:r>
      <w:r>
        <w:rPr>
          <w:rFonts w:ascii="Arial" w:cs="Arial" w:eastAsia="Arial" w:hAnsi="Arial"/>
          <w:sz w:val="21"/>
          <w:szCs w:val="21"/>
          <w:color w:val="auto"/>
        </w:rPr>
        <w:t>”), hereby grants to the Recipient set forth below the number of Restricted Stock Units set forth below. The Restricted Stock Units are subject to all of the terms and conditions as set forth herein, in the Restricted Stock Unit Agreement (attached hereto), and in the Plan, all of which are incorporated herein in their entirety. Capitalized terms not otherwise defined herein shall have the meaning set forth in the Plan.</w:t>
      </w:r>
    </w:p>
    <w:p>
      <w:pPr>
        <w:spacing w:after="0" w:line="200" w:lineRule="exact"/>
        <w:rPr>
          <w:sz w:val="20"/>
          <w:szCs w:val="20"/>
          <w:color w:val="auto"/>
        </w:rPr>
      </w:pPr>
    </w:p>
    <w:p>
      <w:pPr>
        <w:spacing w:after="0" w:line="269" w:lineRule="exact"/>
        <w:rPr>
          <w:sz w:val="20"/>
          <w:szCs w:val="20"/>
          <w:color w:val="auto"/>
        </w:rPr>
      </w:pPr>
    </w:p>
    <w:tbl>
      <w:tblPr>
        <w:tblLayout w:type="fixed"/>
        <w:tblInd w:w="100" w:type="dxa"/>
        <w:tblCellMar>
          <w:top w:w="0" w:type="dxa"/>
          <w:left w:w="0" w:type="dxa"/>
          <w:bottom w:w="0" w:type="dxa"/>
          <w:right w:w="0" w:type="dxa"/>
        </w:tblCellMar>
      </w:tblPr>
      <w:tr>
        <w:trPr>
          <w:trHeight w:val="281"/>
        </w:trPr>
        <w:tc>
          <w:tcPr>
            <w:tcW w:w="3300" w:type="dxa"/>
            <w:vAlign w:val="bottom"/>
          </w:tcPr>
          <w:p>
            <w:pPr>
              <w:spacing w:after="0"/>
              <w:rPr>
                <w:sz w:val="20"/>
                <w:szCs w:val="20"/>
                <w:color w:val="auto"/>
              </w:rPr>
            </w:pPr>
            <w:r>
              <w:rPr>
                <w:rFonts w:ascii="Arial" w:cs="Arial" w:eastAsia="Arial" w:hAnsi="Arial"/>
                <w:sz w:val="22"/>
                <w:szCs w:val="22"/>
                <w:b w:val="1"/>
                <w:bCs w:val="1"/>
                <w:color w:val="auto"/>
              </w:rPr>
              <w:t>Recipient</w:t>
            </w:r>
            <w:r>
              <w:rPr>
                <w:rFonts w:ascii="Arial" w:cs="Arial" w:eastAsia="Arial" w:hAnsi="Arial"/>
                <w:sz w:val="22"/>
                <w:szCs w:val="22"/>
                <w:color w:val="auto"/>
              </w:rPr>
              <w:t>:</w:t>
            </w:r>
          </w:p>
        </w:tc>
        <w:tc>
          <w:tcPr>
            <w:tcW w:w="2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00"/>
        </w:trPr>
        <w:tc>
          <w:tcPr>
            <w:tcW w:w="3300" w:type="dxa"/>
            <w:vAlign w:val="bottom"/>
          </w:tcPr>
          <w:p>
            <w:pPr>
              <w:spacing w:after="0"/>
              <w:rPr>
                <w:sz w:val="20"/>
                <w:szCs w:val="20"/>
                <w:color w:val="auto"/>
              </w:rPr>
            </w:pPr>
            <w:r>
              <w:rPr>
                <w:rFonts w:ascii="Arial" w:cs="Arial" w:eastAsia="Arial" w:hAnsi="Arial"/>
                <w:sz w:val="22"/>
                <w:szCs w:val="22"/>
                <w:b w:val="1"/>
                <w:bCs w:val="1"/>
                <w:color w:val="auto"/>
                <w:w w:val="91"/>
              </w:rPr>
              <w:t>Number of Restricted Stock Units</w:t>
            </w:r>
            <w:r>
              <w:rPr>
                <w:rFonts w:ascii="Arial" w:cs="Arial" w:eastAsia="Arial" w:hAnsi="Arial"/>
                <w:sz w:val="22"/>
                <w:szCs w:val="22"/>
                <w:color w:val="auto"/>
                <w:w w:val="91"/>
              </w:rPr>
              <w:t>:</w:t>
            </w:r>
          </w:p>
        </w:tc>
        <w:tc>
          <w:tcPr>
            <w:tcW w:w="2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00"/>
        </w:trPr>
        <w:tc>
          <w:tcPr>
            <w:tcW w:w="3300" w:type="dxa"/>
            <w:vAlign w:val="bottom"/>
          </w:tcPr>
          <w:p>
            <w:pPr>
              <w:spacing w:after="0"/>
              <w:rPr>
                <w:sz w:val="20"/>
                <w:szCs w:val="20"/>
                <w:color w:val="auto"/>
              </w:rPr>
            </w:pPr>
            <w:r>
              <w:rPr>
                <w:rFonts w:ascii="Arial" w:cs="Arial" w:eastAsia="Arial" w:hAnsi="Arial"/>
                <w:sz w:val="22"/>
                <w:szCs w:val="22"/>
                <w:b w:val="1"/>
                <w:bCs w:val="1"/>
                <w:color w:val="auto"/>
              </w:rPr>
              <w:t>Grant Date:</w:t>
            </w:r>
          </w:p>
        </w:tc>
        <w:tc>
          <w:tcPr>
            <w:tcW w:w="2900" w:type="dxa"/>
            <w:vAlign w:val="bottom"/>
          </w:tcPr>
          <w:p>
            <w:pPr>
              <w:ind w:left="760"/>
              <w:spacing w:after="0"/>
              <w:rPr>
                <w:sz w:val="20"/>
                <w:szCs w:val="20"/>
                <w:color w:val="auto"/>
              </w:rPr>
            </w:pPr>
            <w:r>
              <w:rPr>
                <w:rFonts w:ascii="Arial" w:cs="Arial" w:eastAsia="Arial" w:hAnsi="Arial"/>
                <w:sz w:val="22"/>
                <w:szCs w:val="22"/>
                <w:color w:val="auto"/>
              </w:rPr>
              <w:t>__________, 20__</w:t>
            </w: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68"/>
        </w:trPr>
        <w:tc>
          <w:tcPr>
            <w:tcW w:w="3300" w:type="dxa"/>
            <w:vAlign w:val="bottom"/>
          </w:tcPr>
          <w:p>
            <w:pPr>
              <w:spacing w:after="0"/>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p>
        </w:tc>
        <w:tc>
          <w:tcPr>
            <w:tcW w:w="5520" w:type="dxa"/>
            <w:vAlign w:val="bottom"/>
            <w:gridSpan w:val="3"/>
          </w:tcPr>
          <w:p>
            <w:pPr>
              <w:ind w:left="100"/>
              <w:spacing w:after="0"/>
              <w:rPr>
                <w:sz w:val="20"/>
                <w:szCs w:val="20"/>
                <w:color w:val="auto"/>
              </w:rPr>
            </w:pPr>
            <w:r>
              <w:rPr>
                <w:rFonts w:ascii="Arial" w:cs="Arial" w:eastAsia="Arial" w:hAnsi="Arial"/>
                <w:sz w:val="22"/>
                <w:szCs w:val="22"/>
                <w:color w:val="auto"/>
                <w:w w:val="93"/>
              </w:rPr>
              <w:t>100% of the Restricted Stock Units granted hereunder shall</w:t>
            </w:r>
          </w:p>
        </w:tc>
      </w:tr>
      <w:tr>
        <w:trPr>
          <w:trHeight w:val="243"/>
        </w:trPr>
        <w:tc>
          <w:tcPr>
            <w:tcW w:w="3300" w:type="dxa"/>
            <w:vAlign w:val="bottom"/>
          </w:tcPr>
          <w:p>
            <w:pPr>
              <w:spacing w:after="0"/>
              <w:rPr>
                <w:sz w:val="21"/>
                <w:szCs w:val="21"/>
                <w:color w:val="auto"/>
              </w:rPr>
            </w:pPr>
          </w:p>
        </w:tc>
        <w:tc>
          <w:tcPr>
            <w:tcW w:w="55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1"/>
              </w:rPr>
              <w:t>vest on the first to occur of (i) 5:00 pm, Los Angeles, CA time</w:t>
            </w:r>
          </w:p>
        </w:tc>
      </w:tr>
      <w:tr>
        <w:trPr>
          <w:trHeight w:val="243"/>
        </w:trPr>
        <w:tc>
          <w:tcPr>
            <w:tcW w:w="3300" w:type="dxa"/>
            <w:vAlign w:val="bottom"/>
          </w:tcPr>
          <w:p>
            <w:pPr>
              <w:spacing w:after="0"/>
              <w:rPr>
                <w:sz w:val="21"/>
                <w:szCs w:val="21"/>
                <w:color w:val="auto"/>
              </w:rPr>
            </w:pPr>
          </w:p>
        </w:tc>
        <w:tc>
          <w:tcPr>
            <w:tcW w:w="55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2"/>
              </w:rPr>
              <w:t>on the last business day prior to the one-year anniversary of</w:t>
            </w:r>
          </w:p>
        </w:tc>
      </w:tr>
      <w:tr>
        <w:trPr>
          <w:trHeight w:val="243"/>
        </w:trPr>
        <w:tc>
          <w:tcPr>
            <w:tcW w:w="3300" w:type="dxa"/>
            <w:vAlign w:val="bottom"/>
          </w:tcPr>
          <w:p>
            <w:pPr>
              <w:spacing w:after="0"/>
              <w:rPr>
                <w:sz w:val="21"/>
                <w:szCs w:val="21"/>
                <w:color w:val="auto"/>
              </w:rPr>
            </w:pPr>
          </w:p>
        </w:tc>
        <w:tc>
          <w:tcPr>
            <w:tcW w:w="55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1"/>
              </w:rPr>
              <w:t>the Grant Date or (ii) the date on which Recipient’s term as a</w:t>
            </w:r>
          </w:p>
        </w:tc>
      </w:tr>
      <w:tr>
        <w:trPr>
          <w:trHeight w:val="243"/>
        </w:trPr>
        <w:tc>
          <w:tcPr>
            <w:tcW w:w="3300" w:type="dxa"/>
            <w:vAlign w:val="bottom"/>
          </w:tcPr>
          <w:p>
            <w:pPr>
              <w:spacing w:after="0"/>
              <w:rPr>
                <w:sz w:val="21"/>
                <w:szCs w:val="21"/>
                <w:color w:val="auto"/>
              </w:rPr>
            </w:pPr>
          </w:p>
        </w:tc>
        <w:tc>
          <w:tcPr>
            <w:tcW w:w="55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2"/>
              </w:rPr>
              <w:t>Director shall end and the Recipient, or as the case may be,</w:t>
            </w:r>
          </w:p>
        </w:tc>
      </w:tr>
      <w:tr>
        <w:trPr>
          <w:trHeight w:val="243"/>
        </w:trPr>
        <w:tc>
          <w:tcPr>
            <w:tcW w:w="3300" w:type="dxa"/>
            <w:vAlign w:val="bottom"/>
          </w:tcPr>
          <w:p>
            <w:pPr>
              <w:spacing w:after="0"/>
              <w:rPr>
                <w:sz w:val="21"/>
                <w:szCs w:val="21"/>
                <w:color w:val="auto"/>
              </w:rPr>
            </w:pPr>
          </w:p>
        </w:tc>
        <w:tc>
          <w:tcPr>
            <w:tcW w:w="55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7"/>
              </w:rPr>
              <w:t>the Recipient’s successor is elected at the next occurring</w:t>
            </w:r>
          </w:p>
        </w:tc>
      </w:tr>
      <w:tr>
        <w:trPr>
          <w:trHeight w:val="243"/>
        </w:trPr>
        <w:tc>
          <w:tcPr>
            <w:tcW w:w="3300" w:type="dxa"/>
            <w:vAlign w:val="bottom"/>
          </w:tcPr>
          <w:p>
            <w:pPr>
              <w:spacing w:after="0"/>
              <w:rPr>
                <w:sz w:val="21"/>
                <w:szCs w:val="21"/>
                <w:color w:val="auto"/>
              </w:rPr>
            </w:pPr>
          </w:p>
        </w:tc>
        <w:tc>
          <w:tcPr>
            <w:tcW w:w="55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2"/>
              </w:rPr>
              <w:t>annual meeting or special meeting of stockholders called for</w:t>
            </w:r>
          </w:p>
        </w:tc>
      </w:tr>
      <w:tr>
        <w:trPr>
          <w:trHeight w:val="224"/>
        </w:trPr>
        <w:tc>
          <w:tcPr>
            <w:tcW w:w="3300" w:type="dxa"/>
            <w:vAlign w:val="bottom"/>
          </w:tcPr>
          <w:p>
            <w:pPr>
              <w:spacing w:after="0"/>
              <w:rPr>
                <w:sz w:val="19"/>
                <w:szCs w:val="19"/>
                <w:color w:val="auto"/>
              </w:rPr>
            </w:pPr>
          </w:p>
        </w:tc>
        <w:tc>
          <w:tcPr>
            <w:tcW w:w="5520" w:type="dxa"/>
            <w:vAlign w:val="bottom"/>
            <w:gridSpan w:val="3"/>
          </w:tcPr>
          <w:p>
            <w:pPr>
              <w:ind w:left="100"/>
              <w:spacing w:after="0" w:line="224" w:lineRule="exact"/>
              <w:rPr>
                <w:sz w:val="20"/>
                <w:szCs w:val="20"/>
                <w:color w:val="auto"/>
              </w:rPr>
            </w:pPr>
            <w:r>
              <w:rPr>
                <w:rFonts w:ascii="Arial" w:cs="Arial" w:eastAsia="Arial" w:hAnsi="Arial"/>
                <w:sz w:val="22"/>
                <w:szCs w:val="22"/>
                <w:color w:val="auto"/>
                <w:w w:val="94"/>
              </w:rPr>
              <w:t>the election of Directors (the “Vesting Date”); provided that</w:t>
            </w:r>
          </w:p>
        </w:tc>
      </w:tr>
      <w:tr>
        <w:trPr>
          <w:trHeight w:val="20"/>
        </w:trPr>
        <w:tc>
          <w:tcPr>
            <w:tcW w:w="3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42"/>
        </w:trPr>
        <w:tc>
          <w:tcPr>
            <w:tcW w:w="3300" w:type="dxa"/>
            <w:vAlign w:val="bottom"/>
          </w:tcPr>
          <w:p>
            <w:pPr>
              <w:spacing w:after="0"/>
              <w:rPr>
                <w:sz w:val="21"/>
                <w:szCs w:val="21"/>
                <w:color w:val="auto"/>
              </w:rPr>
            </w:pPr>
          </w:p>
        </w:tc>
        <w:tc>
          <w:tcPr>
            <w:tcW w:w="5520" w:type="dxa"/>
            <w:vAlign w:val="bottom"/>
            <w:gridSpan w:val="3"/>
          </w:tcPr>
          <w:p>
            <w:pPr>
              <w:ind w:left="100"/>
              <w:spacing w:after="0" w:line="242" w:lineRule="exact"/>
              <w:rPr>
                <w:sz w:val="20"/>
                <w:szCs w:val="20"/>
                <w:color w:val="auto"/>
              </w:rPr>
            </w:pPr>
            <w:r>
              <w:rPr>
                <w:rFonts w:ascii="Arial" w:cs="Arial" w:eastAsia="Arial" w:hAnsi="Arial"/>
                <w:sz w:val="22"/>
                <w:szCs w:val="22"/>
                <w:color w:val="auto"/>
                <w:w w:val="94"/>
              </w:rPr>
              <w:t>the Recipient has not undergone a termination of his or her</w:t>
            </w:r>
          </w:p>
        </w:tc>
      </w:tr>
      <w:tr>
        <w:trPr>
          <w:trHeight w:val="243"/>
        </w:trPr>
        <w:tc>
          <w:tcPr>
            <w:tcW w:w="3300" w:type="dxa"/>
            <w:vAlign w:val="bottom"/>
          </w:tcPr>
          <w:p>
            <w:pPr>
              <w:spacing w:after="0"/>
              <w:rPr>
                <w:sz w:val="21"/>
                <w:szCs w:val="21"/>
                <w:color w:val="auto"/>
              </w:rPr>
            </w:pPr>
          </w:p>
        </w:tc>
        <w:tc>
          <w:tcPr>
            <w:tcW w:w="55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3"/>
              </w:rPr>
              <w:t>services as a Director at the time of the Vesting Date (or an</w:t>
            </w:r>
          </w:p>
        </w:tc>
      </w:tr>
      <w:tr>
        <w:trPr>
          <w:trHeight w:val="275"/>
        </w:trPr>
        <w:tc>
          <w:tcPr>
            <w:tcW w:w="3300" w:type="dxa"/>
            <w:vAlign w:val="bottom"/>
          </w:tcPr>
          <w:p>
            <w:pPr>
              <w:spacing w:after="0"/>
              <w:rPr>
                <w:sz w:val="23"/>
                <w:szCs w:val="23"/>
                <w:color w:val="auto"/>
              </w:rPr>
            </w:pPr>
          </w:p>
        </w:tc>
        <w:tc>
          <w:tcPr>
            <w:tcW w:w="5520" w:type="dxa"/>
            <w:vAlign w:val="bottom"/>
            <w:gridSpan w:val="3"/>
          </w:tcPr>
          <w:p>
            <w:pPr>
              <w:ind w:left="100"/>
              <w:spacing w:after="0"/>
              <w:rPr>
                <w:sz w:val="20"/>
                <w:szCs w:val="20"/>
                <w:color w:val="auto"/>
              </w:rPr>
            </w:pPr>
            <w:r>
              <w:rPr>
                <w:rFonts w:ascii="Arial" w:cs="Arial" w:eastAsia="Arial" w:hAnsi="Arial"/>
                <w:sz w:val="22"/>
                <w:szCs w:val="22"/>
                <w:color w:val="auto"/>
              </w:rPr>
              <w:t>earlier accelerating event).</w:t>
            </w:r>
          </w:p>
        </w:tc>
      </w:tr>
    </w:tbl>
    <w:p>
      <w:pPr>
        <w:spacing w:after="0" w:line="200" w:lineRule="exact"/>
        <w:rPr>
          <w:sz w:val="20"/>
          <w:szCs w:val="20"/>
          <w:color w:val="auto"/>
        </w:rPr>
      </w:pPr>
    </w:p>
    <w:p>
      <w:pPr>
        <w:spacing w:after="0" w:line="262"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22"/>
          <w:szCs w:val="22"/>
          <w:b w:val="1"/>
          <w:bCs w:val="1"/>
          <w:color w:val="auto"/>
        </w:rPr>
        <w:t>THE UNDERSIGNED RECIPIENT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Restricted Stock Unit Grant Notice is dated as of __________, 20__.</w:t>
      </w:r>
    </w:p>
    <w:p>
      <w:pPr>
        <w:spacing w:after="0" w:line="200" w:lineRule="exact"/>
        <w:rPr>
          <w:sz w:val="20"/>
          <w:szCs w:val="20"/>
          <w:color w:val="auto"/>
        </w:rPr>
      </w:pPr>
    </w:p>
    <w:p>
      <w:pPr>
        <w:spacing w:after="0" w:line="243" w:lineRule="exact"/>
        <w:rPr>
          <w:sz w:val="20"/>
          <w:szCs w:val="20"/>
          <w:color w:val="auto"/>
        </w:rPr>
      </w:pPr>
    </w:p>
    <w:tbl>
      <w:tblPr>
        <w:tblLayout w:type="fixed"/>
        <w:tblInd w:w="100" w:type="dxa"/>
        <w:tblCellMar>
          <w:top w:w="0" w:type="dxa"/>
          <w:left w:w="0" w:type="dxa"/>
          <w:bottom w:w="0" w:type="dxa"/>
          <w:right w:w="0" w:type="dxa"/>
        </w:tblCellMar>
      </w:tblPr>
      <w:tr>
        <w:trPr>
          <w:trHeight w:val="281"/>
        </w:trPr>
        <w:tc>
          <w:tcPr>
            <w:tcW w:w="4780" w:type="dxa"/>
            <w:vAlign w:val="bottom"/>
            <w:gridSpan w:val="2"/>
          </w:tcPr>
          <w:p>
            <w:pPr>
              <w:ind w:left="360"/>
              <w:spacing w:after="0"/>
              <w:rPr>
                <w:sz w:val="20"/>
                <w:szCs w:val="20"/>
                <w:color w:val="auto"/>
              </w:rPr>
            </w:pPr>
            <w:r>
              <w:rPr>
                <w:rFonts w:ascii="Arial" w:cs="Arial" w:eastAsia="Arial" w:hAnsi="Arial"/>
                <w:sz w:val="22"/>
                <w:szCs w:val="22"/>
                <w:b w:val="1"/>
                <w:bCs w:val="1"/>
                <w:color w:val="auto"/>
              </w:rPr>
              <w:t>Reading International, Inc.</w:t>
            </w:r>
          </w:p>
        </w:tc>
        <w:tc>
          <w:tcPr>
            <w:tcW w:w="4080" w:type="dxa"/>
            <w:vAlign w:val="bottom"/>
            <w:gridSpan w:val="3"/>
          </w:tcPr>
          <w:p>
            <w:pPr>
              <w:ind w:left="540"/>
              <w:spacing w:after="0"/>
              <w:rPr>
                <w:sz w:val="20"/>
                <w:szCs w:val="20"/>
                <w:color w:val="auto"/>
              </w:rPr>
            </w:pPr>
            <w:r>
              <w:rPr>
                <w:rFonts w:ascii="Arial" w:cs="Arial" w:eastAsia="Arial" w:hAnsi="Arial"/>
                <w:sz w:val="22"/>
                <w:szCs w:val="22"/>
                <w:b w:val="1"/>
                <w:bCs w:val="1"/>
                <w:color w:val="auto"/>
              </w:rPr>
              <w:t>“Recipient”</w:t>
            </w:r>
          </w:p>
        </w:tc>
        <w:tc>
          <w:tcPr>
            <w:tcW w:w="0" w:type="dxa"/>
            <w:vAlign w:val="bottom"/>
          </w:tcPr>
          <w:p>
            <w:pPr>
              <w:spacing w:after="0"/>
              <w:rPr>
                <w:sz w:val="1"/>
                <w:szCs w:val="1"/>
                <w:color w:val="auto"/>
              </w:rPr>
            </w:pPr>
          </w:p>
        </w:tc>
      </w:tr>
      <w:tr>
        <w:trPr>
          <w:trHeight w:val="455"/>
        </w:trPr>
        <w:tc>
          <w:tcPr>
            <w:tcW w:w="4780" w:type="dxa"/>
            <w:vAlign w:val="bottom"/>
            <w:gridSpan w:val="2"/>
          </w:tcPr>
          <w:p>
            <w:pPr>
              <w:ind w:left="360"/>
              <w:spacing w:after="0"/>
              <w:rPr>
                <w:sz w:val="20"/>
                <w:szCs w:val="20"/>
                <w:color w:val="auto"/>
              </w:rPr>
            </w:pPr>
            <w:r>
              <w:rPr>
                <w:rFonts w:ascii="Arial" w:cs="Arial" w:eastAsia="Arial" w:hAnsi="Arial"/>
                <w:sz w:val="22"/>
                <w:szCs w:val="22"/>
                <w:color w:val="auto"/>
              </w:rPr>
              <w:t>By:</w:t>
            </w:r>
          </w:p>
        </w:tc>
        <w:tc>
          <w:tcPr>
            <w:tcW w:w="4080" w:type="dxa"/>
            <w:vAlign w:val="bottom"/>
            <w:gridSpan w:val="3"/>
          </w:tcPr>
          <w:p>
            <w:pPr>
              <w:ind w:left="540"/>
              <w:spacing w:after="0"/>
              <w:rPr>
                <w:sz w:val="20"/>
                <w:szCs w:val="20"/>
                <w:color w:val="auto"/>
              </w:rPr>
            </w:pPr>
            <w:r>
              <w:rPr>
                <w:rFonts w:ascii="Arial" w:cs="Arial" w:eastAsia="Arial" w:hAnsi="Arial"/>
                <w:sz w:val="22"/>
                <w:szCs w:val="22"/>
                <w:color w:val="auto"/>
              </w:rPr>
              <w:t>By:</w:t>
            </w:r>
          </w:p>
        </w:tc>
        <w:tc>
          <w:tcPr>
            <w:tcW w:w="0" w:type="dxa"/>
            <w:vAlign w:val="bottom"/>
          </w:tcPr>
          <w:p>
            <w:pPr>
              <w:spacing w:after="0"/>
              <w:rPr>
                <w:sz w:val="1"/>
                <w:szCs w:val="1"/>
                <w:color w:val="auto"/>
              </w:rPr>
            </w:pPr>
          </w:p>
        </w:tc>
      </w:tr>
      <w:tr>
        <w:trPr>
          <w:trHeight w:val="21"/>
        </w:trPr>
        <w:tc>
          <w:tcPr>
            <w:tcW w:w="1100" w:type="dxa"/>
            <w:vAlign w:val="bottom"/>
            <w:vMerge w:val="restart"/>
          </w:tcPr>
          <w:p>
            <w:pPr>
              <w:ind w:left="360"/>
              <w:spacing w:after="0"/>
              <w:rPr>
                <w:sz w:val="20"/>
                <w:szCs w:val="20"/>
                <w:color w:val="auto"/>
              </w:rPr>
            </w:pPr>
            <w:r>
              <w:rPr>
                <w:rFonts w:ascii="Arial" w:cs="Arial" w:eastAsia="Arial" w:hAnsi="Arial"/>
                <w:sz w:val="22"/>
                <w:szCs w:val="22"/>
                <w:color w:val="auto"/>
              </w:rPr>
              <w:t>Name:</w:t>
            </w:r>
          </w:p>
        </w:tc>
        <w:tc>
          <w:tcPr>
            <w:tcW w:w="3680" w:type="dxa"/>
            <w:vAlign w:val="bottom"/>
            <w:tcBorders>
              <w:bottom w:val="single" w:sz="8" w:color="auto"/>
            </w:tcBorders>
          </w:tcPr>
          <w:p>
            <w:pPr>
              <w:spacing w:after="0" w:line="20" w:lineRule="exact"/>
              <w:rPr>
                <w:sz w:val="1"/>
                <w:szCs w:val="1"/>
                <w:color w:val="auto"/>
              </w:rPr>
            </w:pPr>
          </w:p>
        </w:tc>
        <w:tc>
          <w:tcPr>
            <w:tcW w:w="1260" w:type="dxa"/>
            <w:vAlign w:val="bottom"/>
            <w:vMerge w:val="restart"/>
          </w:tcPr>
          <w:p>
            <w:pPr>
              <w:ind w:left="540"/>
              <w:spacing w:after="0"/>
              <w:rPr>
                <w:sz w:val="20"/>
                <w:szCs w:val="20"/>
                <w:color w:val="auto"/>
              </w:rPr>
            </w:pPr>
            <w:r>
              <w:rPr>
                <w:rFonts w:ascii="Arial" w:cs="Arial" w:eastAsia="Arial" w:hAnsi="Arial"/>
                <w:sz w:val="22"/>
                <w:szCs w:val="22"/>
                <w:color w:val="auto"/>
              </w:rPr>
              <w:t>Name:</w:t>
            </w:r>
          </w:p>
        </w:tc>
        <w:tc>
          <w:tcPr>
            <w:tcW w:w="27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100" w:type="dxa"/>
            <w:vAlign w:val="bottom"/>
            <w:vMerge w:val="continue"/>
          </w:tcPr>
          <w:p>
            <w:pPr>
              <w:spacing w:after="0"/>
              <w:rPr>
                <w:sz w:val="18"/>
                <w:szCs w:val="18"/>
                <w:color w:val="auto"/>
              </w:rPr>
            </w:pPr>
          </w:p>
        </w:tc>
        <w:tc>
          <w:tcPr>
            <w:tcW w:w="3680" w:type="dxa"/>
            <w:vAlign w:val="bottom"/>
          </w:tcPr>
          <w:p>
            <w:pPr>
              <w:spacing w:after="0" w:line="216" w:lineRule="exact"/>
              <w:rPr>
                <w:sz w:val="20"/>
                <w:szCs w:val="20"/>
                <w:color w:val="auto"/>
              </w:rPr>
            </w:pPr>
            <w:r>
              <w:rPr>
                <w:rFonts w:ascii="Arial" w:cs="Arial" w:eastAsia="Arial" w:hAnsi="Arial"/>
                <w:sz w:val="22"/>
                <w:szCs w:val="22"/>
                <w:color w:val="auto"/>
              </w:rPr>
              <w:t>Ellen Cotter</w:t>
            </w:r>
          </w:p>
        </w:tc>
        <w:tc>
          <w:tcPr>
            <w:tcW w:w="1260" w:type="dxa"/>
            <w:vAlign w:val="bottom"/>
            <w:vMerge w:val="continue"/>
          </w:tcPr>
          <w:p>
            <w:pPr>
              <w:spacing w:after="0"/>
              <w:rPr>
                <w:sz w:val="18"/>
                <w:szCs w:val="18"/>
                <w:color w:val="auto"/>
              </w:rPr>
            </w:pPr>
          </w:p>
        </w:tc>
        <w:tc>
          <w:tcPr>
            <w:tcW w:w="2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780" w:type="dxa"/>
            <w:vAlign w:val="bottom"/>
            <w:tcBorders>
              <w:bottom w:val="single" w:sz="8" w:color="9A9A9A"/>
            </w:tcBorders>
            <w:gridSpan w:val="2"/>
          </w:tcPr>
          <w:p>
            <w:pPr>
              <w:ind w:left="360"/>
              <w:spacing w:after="0"/>
              <w:rPr>
                <w:sz w:val="20"/>
                <w:szCs w:val="20"/>
                <w:color w:val="auto"/>
              </w:rPr>
            </w:pPr>
            <w:r>
              <w:rPr>
                <w:rFonts w:ascii="Arial" w:cs="Arial" w:eastAsia="Arial" w:hAnsi="Arial"/>
                <w:sz w:val="22"/>
                <w:szCs w:val="22"/>
                <w:color w:val="auto"/>
              </w:rPr>
              <w:t>Title:   President and Chief Executive Officer</w:t>
            </w:r>
          </w:p>
        </w:tc>
        <w:tc>
          <w:tcPr>
            <w:tcW w:w="1260" w:type="dxa"/>
            <w:vAlign w:val="bottom"/>
            <w:tcBorders>
              <w:bottom w:val="single" w:sz="8" w:color="9A9A9A"/>
            </w:tcBorders>
          </w:tcPr>
          <w:p>
            <w:pPr>
              <w:spacing w:after="0"/>
              <w:rPr>
                <w:sz w:val="23"/>
                <w:szCs w:val="23"/>
                <w:color w:val="auto"/>
              </w:rPr>
            </w:pPr>
          </w:p>
        </w:tc>
        <w:tc>
          <w:tcPr>
            <w:tcW w:w="27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EEEEEE"/>
            </w:tcBorders>
          </w:tcPr>
          <w:p>
            <w:pPr>
              <w:spacing w:after="0" w:line="20" w:lineRule="exact"/>
              <w:rPr>
                <w:sz w:val="1"/>
                <w:szCs w:val="1"/>
                <w:color w:val="auto"/>
              </w:rPr>
            </w:pPr>
          </w:p>
        </w:tc>
        <w:tc>
          <w:tcPr>
            <w:tcW w:w="36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1" w:name="page152"/>
    <w:bookmarkEnd w:id="151"/>
    <w:tbl>
      <w:tblPr>
        <w:tblLayout w:type="fixed"/>
        <w:tblInd w:w="100" w:type="dxa"/>
        <w:tblCellMar>
          <w:top w:w="0" w:type="dxa"/>
          <w:left w:w="0" w:type="dxa"/>
          <w:bottom w:w="0" w:type="dxa"/>
          <w:right w:w="0" w:type="dxa"/>
        </w:tblCellMar>
      </w:tblPr>
      <w:tr>
        <w:trPr>
          <w:trHeight w:val="257"/>
        </w:trPr>
        <w:tc>
          <w:tcPr>
            <w:tcW w:w="5900" w:type="dxa"/>
            <w:vAlign w:val="bottom"/>
          </w:tcPr>
          <w:p>
            <w:pPr>
              <w:spacing w:after="0"/>
              <w:rPr>
                <w:sz w:val="20"/>
                <w:szCs w:val="20"/>
                <w:color w:val="auto"/>
              </w:rPr>
            </w:pPr>
            <w:r>
              <w:rPr>
                <w:rFonts w:ascii="Arial" w:cs="Arial" w:eastAsia="Arial" w:hAnsi="Arial"/>
                <w:sz w:val="20"/>
                <w:szCs w:val="20"/>
                <w:b w:val="1"/>
                <w:bCs w:val="1"/>
                <w:color w:val="auto"/>
              </w:rPr>
              <w:t>READING INTERNATIONAL, INC. –LIST OF SUBSIDIARIES</w:t>
            </w:r>
          </w:p>
        </w:tc>
        <w:tc>
          <w:tcPr>
            <w:tcW w:w="29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30"/>
        </w:trPr>
        <w:tc>
          <w:tcPr>
            <w:tcW w:w="590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Subsidiary</w:t>
            </w:r>
          </w:p>
        </w:tc>
        <w:tc>
          <w:tcPr>
            <w:tcW w:w="292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Jurisdiction of Incorporation</w:t>
            </w:r>
          </w:p>
        </w:tc>
        <w:tc>
          <w:tcPr>
            <w:tcW w:w="40" w:type="dxa"/>
            <w:vAlign w:val="bottom"/>
          </w:tcPr>
          <w:p>
            <w:pPr>
              <w:spacing w:after="0"/>
              <w:rPr>
                <w:sz w:val="24"/>
                <w:szCs w:val="24"/>
                <w:color w:val="auto"/>
              </w:rPr>
            </w:pPr>
          </w:p>
        </w:tc>
      </w:tr>
      <w:tr>
        <w:trPr>
          <w:trHeight w:val="250"/>
        </w:trPr>
        <w:tc>
          <w:tcPr>
            <w:tcW w:w="5900" w:type="dxa"/>
            <w:vAlign w:val="bottom"/>
          </w:tcPr>
          <w:p>
            <w:pPr>
              <w:ind w:left="120"/>
              <w:spacing w:after="0"/>
              <w:rPr>
                <w:sz w:val="20"/>
                <w:szCs w:val="20"/>
                <w:color w:val="auto"/>
              </w:rPr>
            </w:pPr>
            <w:r>
              <w:rPr>
                <w:rFonts w:ascii="Arial" w:cs="Arial" w:eastAsia="Arial" w:hAnsi="Arial"/>
                <w:sz w:val="20"/>
                <w:szCs w:val="20"/>
                <w:color w:val="auto"/>
              </w:rPr>
              <w:t>A.C.N. 143 633 096 Pty Ltd</w:t>
            </w:r>
          </w:p>
        </w:tc>
        <w:tc>
          <w:tcPr>
            <w:tcW w:w="2920" w:type="dxa"/>
            <w:vAlign w:val="bottom"/>
          </w:tcPr>
          <w:p>
            <w:pPr>
              <w:ind w:left="36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1"/>
                <w:szCs w:val="21"/>
                <w:color w:val="auto"/>
              </w:rPr>
            </w:pPr>
          </w:p>
        </w:tc>
      </w:tr>
      <w:tr>
        <w:trPr>
          <w:trHeight w:val="267"/>
        </w:trPr>
        <w:tc>
          <w:tcPr>
            <w:tcW w:w="5900" w:type="dxa"/>
            <w:vAlign w:val="bottom"/>
          </w:tcPr>
          <w:p>
            <w:pPr>
              <w:ind w:left="120"/>
              <w:spacing w:after="0"/>
              <w:rPr>
                <w:sz w:val="20"/>
                <w:szCs w:val="20"/>
                <w:color w:val="auto"/>
              </w:rPr>
            </w:pPr>
            <w:r>
              <w:rPr>
                <w:rFonts w:ascii="Arial" w:cs="Arial" w:eastAsia="Arial" w:hAnsi="Arial"/>
                <w:sz w:val="20"/>
                <w:szCs w:val="20"/>
                <w:color w:val="auto"/>
              </w:rPr>
              <w:t>AHGP, Inc.</w:t>
            </w:r>
          </w:p>
        </w:tc>
        <w:tc>
          <w:tcPr>
            <w:tcW w:w="2920" w:type="dxa"/>
            <w:vAlign w:val="bottom"/>
          </w:tcPr>
          <w:p>
            <w:pPr>
              <w:ind w:left="36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AHLP, Inc.</w:t>
            </w:r>
          </w:p>
        </w:tc>
        <w:tc>
          <w:tcPr>
            <w:tcW w:w="2920" w:type="dxa"/>
            <w:vAlign w:val="bottom"/>
          </w:tcPr>
          <w:p>
            <w:pPr>
              <w:ind w:left="36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Angelika Film Centers, LLC</w:t>
            </w:r>
          </w:p>
        </w:tc>
        <w:tc>
          <w:tcPr>
            <w:tcW w:w="2920" w:type="dxa"/>
            <w:vAlign w:val="bottom"/>
          </w:tcPr>
          <w:p>
            <w:pPr>
              <w:ind w:left="36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Angelika Film Center Mosaic,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Angelika Film Centers (Dallas), Inc.</w:t>
            </w:r>
          </w:p>
        </w:tc>
        <w:tc>
          <w:tcPr>
            <w:tcW w:w="2920" w:type="dxa"/>
            <w:vAlign w:val="bottom"/>
          </w:tcPr>
          <w:p>
            <w:pPr>
              <w:ind w:left="360"/>
              <w:spacing w:after="0"/>
              <w:rPr>
                <w:sz w:val="20"/>
                <w:szCs w:val="20"/>
                <w:color w:val="auto"/>
              </w:rPr>
            </w:pPr>
            <w:r>
              <w:rPr>
                <w:rFonts w:ascii="Arial" w:cs="Arial" w:eastAsia="Arial" w:hAnsi="Arial"/>
                <w:sz w:val="20"/>
                <w:szCs w:val="20"/>
                <w:color w:val="auto"/>
              </w:rPr>
              <w:t>Texas</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Angelika Film Center Union Market,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Angelika Film Centers (Plano) LP</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Angelika Plano Beverage LLC</w:t>
            </w:r>
          </w:p>
        </w:tc>
        <w:tc>
          <w:tcPr>
            <w:tcW w:w="2920" w:type="dxa"/>
            <w:vAlign w:val="bottom"/>
          </w:tcPr>
          <w:p>
            <w:pPr>
              <w:ind w:left="360"/>
              <w:spacing w:after="0"/>
              <w:rPr>
                <w:sz w:val="20"/>
                <w:szCs w:val="20"/>
                <w:color w:val="auto"/>
              </w:rPr>
            </w:pPr>
            <w:r>
              <w:rPr>
                <w:rFonts w:ascii="Arial" w:cs="Arial" w:eastAsia="Arial" w:hAnsi="Arial"/>
                <w:sz w:val="20"/>
                <w:szCs w:val="20"/>
                <w:color w:val="auto"/>
              </w:rPr>
              <w:t>Texas</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Angelika Plano Holdings,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Australia Country Cinemas Pty Ltd</w:t>
            </w:r>
          </w:p>
        </w:tc>
        <w:tc>
          <w:tcPr>
            <w:tcW w:w="2920" w:type="dxa"/>
            <w:vAlign w:val="bottom"/>
          </w:tcPr>
          <w:p>
            <w:pPr>
              <w:ind w:left="36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Australian Equipment Supply Pty Ltd</w:t>
            </w:r>
          </w:p>
        </w:tc>
        <w:tc>
          <w:tcPr>
            <w:tcW w:w="2920" w:type="dxa"/>
            <w:vAlign w:val="bottom"/>
          </w:tcPr>
          <w:p>
            <w:pPr>
              <w:ind w:left="36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Bayou Cinemas LP</w:t>
            </w:r>
          </w:p>
        </w:tc>
        <w:tc>
          <w:tcPr>
            <w:tcW w:w="2920" w:type="dxa"/>
            <w:vAlign w:val="bottom"/>
          </w:tcPr>
          <w:p>
            <w:pPr>
              <w:ind w:left="36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Bogart Holdings Ltd</w:t>
            </w:r>
          </w:p>
        </w:tc>
        <w:tc>
          <w:tcPr>
            <w:tcW w:w="2920" w:type="dxa"/>
            <w:vAlign w:val="bottom"/>
          </w:tcPr>
          <w:p>
            <w:pPr>
              <w:ind w:left="36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Burwood Developments Pty Ltd</w:t>
            </w:r>
          </w:p>
        </w:tc>
        <w:tc>
          <w:tcPr>
            <w:tcW w:w="2920" w:type="dxa"/>
            <w:vAlign w:val="bottom"/>
          </w:tcPr>
          <w:p>
            <w:pPr>
              <w:ind w:left="36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Carmel Theatres,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Citadel Agriculture, Inc.</w:t>
            </w:r>
          </w:p>
        </w:tc>
        <w:tc>
          <w:tcPr>
            <w:tcW w:w="2920" w:type="dxa"/>
            <w:vAlign w:val="bottom"/>
          </w:tcPr>
          <w:p>
            <w:pPr>
              <w:ind w:left="360"/>
              <w:spacing w:after="0"/>
              <w:rPr>
                <w:sz w:val="20"/>
                <w:szCs w:val="20"/>
                <w:color w:val="auto"/>
              </w:rPr>
            </w:pPr>
            <w:r>
              <w:rPr>
                <w:rFonts w:ascii="Arial" w:cs="Arial" w:eastAsia="Arial" w:hAnsi="Arial"/>
                <w:sz w:val="20"/>
                <w:szCs w:val="20"/>
                <w:color w:val="auto"/>
              </w:rPr>
              <w:t>California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Citadel Cinemas, Inc.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Citadel Realty, Inc.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City Cinemas,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Consolidated Amusement Holdings,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Consolidated Cinema Services,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Consolidated Cinemas Kapolei,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Consolidated Entertainment,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Courtenay Car Park Ltd</w:t>
            </w:r>
          </w:p>
        </w:tc>
        <w:tc>
          <w:tcPr>
            <w:tcW w:w="2920" w:type="dxa"/>
            <w:vAlign w:val="bottom"/>
          </w:tcPr>
          <w:p>
            <w:pPr>
              <w:ind w:left="36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Craig Corporation</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Darnelle Enterprises Ltd</w:t>
            </w:r>
          </w:p>
        </w:tc>
        <w:tc>
          <w:tcPr>
            <w:tcW w:w="2920" w:type="dxa"/>
            <w:vAlign w:val="bottom"/>
          </w:tcPr>
          <w:p>
            <w:pPr>
              <w:ind w:left="36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Dimension Specialty, Inc.</w:t>
            </w:r>
          </w:p>
        </w:tc>
        <w:tc>
          <w:tcPr>
            <w:tcW w:w="2920" w:type="dxa"/>
            <w:vAlign w:val="bottom"/>
          </w:tcPr>
          <w:p>
            <w:pPr>
              <w:ind w:left="36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Epping Cinemas Pty Ltd</w:t>
            </w:r>
          </w:p>
        </w:tc>
        <w:tc>
          <w:tcPr>
            <w:tcW w:w="2920" w:type="dxa"/>
            <w:vAlign w:val="bottom"/>
          </w:tcPr>
          <w:p>
            <w:pPr>
              <w:ind w:left="36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Gaslamp Theatres,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Hope Street Hospitality, LLC</w:t>
            </w:r>
          </w:p>
        </w:tc>
        <w:tc>
          <w:tcPr>
            <w:tcW w:w="2920" w:type="dxa"/>
            <w:vAlign w:val="bottom"/>
          </w:tcPr>
          <w:p>
            <w:pPr>
              <w:ind w:left="36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Hotel Newmarket Pty Ltd</w:t>
            </w:r>
          </w:p>
        </w:tc>
        <w:tc>
          <w:tcPr>
            <w:tcW w:w="2920" w:type="dxa"/>
            <w:vAlign w:val="bottom"/>
          </w:tcPr>
          <w:p>
            <w:pPr>
              <w:ind w:left="36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Kaahumanu Cinemas,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Kahala Cinema Company,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KMA Cinemas,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Liberty Live,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Liberty Theaters,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Liberty Theatricals,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Liberty Theatres Properties,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Minetta Live, LLC</w:t>
            </w:r>
          </w:p>
        </w:tc>
        <w:tc>
          <w:tcPr>
            <w:tcW w:w="2920" w:type="dxa"/>
            <w:vAlign w:val="bottom"/>
          </w:tcPr>
          <w:p>
            <w:pPr>
              <w:ind w:left="36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Movieland Cinemas (NZ) Ltd</w:t>
            </w:r>
          </w:p>
        </w:tc>
        <w:tc>
          <w:tcPr>
            <w:tcW w:w="2920" w:type="dxa"/>
            <w:vAlign w:val="bottom"/>
          </w:tcPr>
          <w:p>
            <w:pPr>
              <w:ind w:left="36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New Zealand Equipment Supply Limited</w:t>
            </w:r>
          </w:p>
        </w:tc>
        <w:tc>
          <w:tcPr>
            <w:tcW w:w="2920" w:type="dxa"/>
            <w:vAlign w:val="bottom"/>
          </w:tcPr>
          <w:p>
            <w:pPr>
              <w:ind w:left="36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900" w:type="dxa"/>
            <w:vAlign w:val="bottom"/>
          </w:tcPr>
          <w:p>
            <w:pPr>
              <w:ind w:left="120"/>
              <w:spacing w:after="0"/>
              <w:rPr>
                <w:sz w:val="20"/>
                <w:szCs w:val="20"/>
                <w:color w:val="auto"/>
              </w:rPr>
            </w:pPr>
            <w:r>
              <w:rPr>
                <w:rFonts w:ascii="Arial" w:cs="Arial" w:eastAsia="Arial" w:hAnsi="Arial"/>
                <w:sz w:val="20"/>
                <w:szCs w:val="20"/>
                <w:color w:val="auto"/>
              </w:rPr>
              <w:t>Newmarket Properties #3 Pty Ltd</w:t>
            </w:r>
          </w:p>
        </w:tc>
        <w:tc>
          <w:tcPr>
            <w:tcW w:w="2920" w:type="dxa"/>
            <w:vAlign w:val="bottom"/>
          </w:tcPr>
          <w:p>
            <w:pPr>
              <w:ind w:left="36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26"/>
        </w:trPr>
        <w:tc>
          <w:tcPr>
            <w:tcW w:w="5900" w:type="dxa"/>
            <w:vAlign w:val="bottom"/>
            <w:tcBorders>
              <w:bottom w:val="single" w:sz="8" w:color="9A9A9A"/>
            </w:tcBorders>
          </w:tcPr>
          <w:p>
            <w:pPr>
              <w:spacing w:after="0"/>
              <w:rPr>
                <w:sz w:val="19"/>
                <w:szCs w:val="19"/>
                <w:color w:val="auto"/>
              </w:rPr>
            </w:pPr>
          </w:p>
        </w:tc>
        <w:tc>
          <w:tcPr>
            <w:tcW w:w="29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r>
      <w:tr>
        <w:trPr>
          <w:trHeight w:val="20"/>
        </w:trPr>
        <w:tc>
          <w:tcPr>
            <w:tcW w:w="590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52" w:name="page153"/>
    <w:bookmarkEnd w:id="152"/>
    <w:tbl>
      <w:tblPr>
        <w:tblLayout w:type="fixed"/>
        <w:tblInd w:w="100" w:type="dxa"/>
        <w:tblCellMar>
          <w:top w:w="0" w:type="dxa"/>
          <w:left w:w="0" w:type="dxa"/>
          <w:bottom w:w="0" w:type="dxa"/>
          <w:right w:w="0" w:type="dxa"/>
        </w:tblCellMar>
      </w:tblPr>
      <w:tr>
        <w:trPr>
          <w:trHeight w:val="250"/>
        </w:trPr>
        <w:tc>
          <w:tcPr>
            <w:tcW w:w="5020" w:type="dxa"/>
            <w:vAlign w:val="bottom"/>
          </w:tcPr>
          <w:p>
            <w:pPr>
              <w:ind w:left="120"/>
              <w:spacing w:after="0"/>
              <w:rPr>
                <w:sz w:val="20"/>
                <w:szCs w:val="20"/>
                <w:color w:val="auto"/>
              </w:rPr>
            </w:pPr>
            <w:r>
              <w:rPr>
                <w:rFonts w:ascii="Arial" w:cs="Arial" w:eastAsia="Arial" w:hAnsi="Arial"/>
                <w:sz w:val="20"/>
                <w:szCs w:val="20"/>
                <w:color w:val="auto"/>
              </w:rPr>
              <w:t>Newmarket Properties No. 2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Newmarket Properties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Orpheum Live, LLC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Queenstown Land Holdings Ltd</w:t>
            </w:r>
          </w:p>
        </w:tc>
        <w:tc>
          <w:tcPr>
            <w:tcW w:w="3840" w:type="dxa"/>
            <w:vAlign w:val="bottom"/>
          </w:tcPr>
          <w:p>
            <w:pPr>
              <w:ind w:left="1240"/>
              <w:spacing w:after="0"/>
              <w:rPr>
                <w:sz w:val="20"/>
                <w:szCs w:val="20"/>
                <w:color w:val="auto"/>
              </w:rPr>
            </w:pPr>
            <w:r>
              <w:rPr>
                <w:rFonts w:ascii="Arial" w:cs="Arial" w:eastAsia="Arial" w:hAnsi="Arial"/>
                <w:sz w:val="20"/>
                <w:szCs w:val="20"/>
                <w:color w:val="auto"/>
              </w:rPr>
              <w:t>New Zealand</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RCPA LLC (fka Reading Company)</w:t>
            </w:r>
          </w:p>
        </w:tc>
        <w:tc>
          <w:tcPr>
            <w:tcW w:w="3840" w:type="dxa"/>
            <w:vAlign w:val="bottom"/>
          </w:tcPr>
          <w:p>
            <w:pPr>
              <w:ind w:left="1240"/>
              <w:spacing w:after="0"/>
              <w:rPr>
                <w:sz w:val="20"/>
                <w:szCs w:val="20"/>
                <w:color w:val="auto"/>
              </w:rPr>
            </w:pPr>
            <w:r>
              <w:rPr>
                <w:rFonts w:ascii="Arial" w:cs="Arial" w:eastAsia="Arial" w:hAnsi="Arial"/>
                <w:sz w:val="20"/>
                <w:szCs w:val="20"/>
                <w:color w:val="auto"/>
              </w:rPr>
              <w:t>Pennsylvania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RDI Employee Investment Fund LLC</w:t>
            </w:r>
          </w:p>
        </w:tc>
        <w:tc>
          <w:tcPr>
            <w:tcW w:w="3840" w:type="dxa"/>
            <w:vAlign w:val="bottom"/>
          </w:tcPr>
          <w:p>
            <w:pPr>
              <w:ind w:left="1240"/>
              <w:spacing w:after="0"/>
              <w:rPr>
                <w:sz w:val="20"/>
                <w:szCs w:val="20"/>
                <w:color w:val="auto"/>
              </w:rPr>
            </w:pPr>
            <w:r>
              <w:rPr>
                <w:rFonts w:ascii="Arial" w:cs="Arial" w:eastAsia="Arial" w:hAnsi="Arial"/>
                <w:sz w:val="20"/>
                <w:szCs w:val="20"/>
                <w:color w:val="auto"/>
              </w:rPr>
              <w:t>California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Arthouse Ltd</w:t>
            </w:r>
          </w:p>
        </w:tc>
        <w:tc>
          <w:tcPr>
            <w:tcW w:w="3840" w:type="dxa"/>
            <w:vAlign w:val="bottom"/>
          </w:tcPr>
          <w:p>
            <w:pPr>
              <w:ind w:left="1240"/>
              <w:spacing w:after="0"/>
              <w:rPr>
                <w:sz w:val="20"/>
                <w:szCs w:val="20"/>
                <w:color w:val="auto"/>
              </w:rPr>
            </w:pPr>
            <w:r>
              <w:rPr>
                <w:rFonts w:ascii="Arial" w:cs="Arial" w:eastAsia="Arial" w:hAnsi="Arial"/>
                <w:sz w:val="20"/>
                <w:szCs w:val="20"/>
                <w:color w:val="auto"/>
              </w:rPr>
              <w:t>New Zealand</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Auburn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Australia Leasing (E&amp;R)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Belmont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Beverages (California) LLC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spacing w:after="0"/>
              <w:rPr>
                <w:sz w:val="23"/>
                <w:szCs w:val="23"/>
                <w:color w:val="auto"/>
              </w:rPr>
            </w:pP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84"/>
        </w:trPr>
        <w:tc>
          <w:tcPr>
            <w:tcW w:w="5020" w:type="dxa"/>
            <w:vAlign w:val="bottom"/>
          </w:tcPr>
          <w:p>
            <w:pPr>
              <w:ind w:left="120"/>
              <w:spacing w:after="0"/>
              <w:rPr>
                <w:sz w:val="20"/>
                <w:szCs w:val="20"/>
                <w:color w:val="auto"/>
              </w:rPr>
            </w:pPr>
            <w:r>
              <w:rPr>
                <w:rFonts w:ascii="Arial" w:cs="Arial" w:eastAsia="Arial" w:hAnsi="Arial"/>
                <w:sz w:val="20"/>
                <w:szCs w:val="20"/>
                <w:color w:val="auto"/>
              </w:rPr>
              <w:t>Reading Burwood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Cannon Park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Capital Corporation</w:t>
            </w:r>
          </w:p>
        </w:tc>
        <w:tc>
          <w:tcPr>
            <w:tcW w:w="3840" w:type="dxa"/>
            <w:vAlign w:val="bottom"/>
          </w:tcPr>
          <w:p>
            <w:pPr>
              <w:ind w:left="124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Center Development Corporation</w:t>
            </w:r>
          </w:p>
        </w:tc>
        <w:tc>
          <w:tcPr>
            <w:tcW w:w="3840" w:type="dxa"/>
            <w:vAlign w:val="bottom"/>
          </w:tcPr>
          <w:p>
            <w:pPr>
              <w:ind w:left="1240"/>
              <w:spacing w:after="0"/>
              <w:rPr>
                <w:sz w:val="20"/>
                <w:szCs w:val="20"/>
                <w:color w:val="auto"/>
              </w:rPr>
            </w:pPr>
            <w:r>
              <w:rPr>
                <w:rFonts w:ascii="Arial" w:cs="Arial" w:eastAsia="Arial" w:hAnsi="Arial"/>
                <w:sz w:val="20"/>
                <w:szCs w:val="20"/>
                <w:color w:val="auto"/>
              </w:rPr>
              <w:t>Pennsylvania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Charlestown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Cinemas Courtenay Central Ltd</w:t>
            </w:r>
          </w:p>
        </w:tc>
        <w:tc>
          <w:tcPr>
            <w:tcW w:w="3840" w:type="dxa"/>
            <w:vAlign w:val="bottom"/>
          </w:tcPr>
          <w:p>
            <w:pPr>
              <w:ind w:left="1240"/>
              <w:spacing w:after="0"/>
              <w:rPr>
                <w:sz w:val="20"/>
                <w:szCs w:val="20"/>
                <w:color w:val="auto"/>
              </w:rPr>
            </w:pPr>
            <w:r>
              <w:rPr>
                <w:rFonts w:ascii="Arial" w:cs="Arial" w:eastAsia="Arial" w:hAnsi="Arial"/>
                <w:sz w:val="20"/>
                <w:szCs w:val="20"/>
                <w:color w:val="auto"/>
              </w:rPr>
              <w:t>New Zealand</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Cinemas Management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Cinemas NJ, Inc.</w:t>
            </w:r>
          </w:p>
        </w:tc>
        <w:tc>
          <w:tcPr>
            <w:tcW w:w="3840" w:type="dxa"/>
            <w:vAlign w:val="bottom"/>
          </w:tcPr>
          <w:p>
            <w:pPr>
              <w:ind w:left="124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Cinemas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Cinemas Puerto Rico LLC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Cinemas USA LLC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Colac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Consolidated Holdings, Inc.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Consolidated Holdings (Hawaii), Inc.</w:t>
            </w:r>
          </w:p>
        </w:tc>
        <w:tc>
          <w:tcPr>
            <w:tcW w:w="3840" w:type="dxa"/>
            <w:vAlign w:val="bottom"/>
          </w:tcPr>
          <w:p>
            <w:pPr>
              <w:ind w:left="1240"/>
              <w:spacing w:after="0"/>
              <w:rPr>
                <w:sz w:val="20"/>
                <w:szCs w:val="20"/>
                <w:color w:val="auto"/>
              </w:rPr>
            </w:pPr>
            <w:r>
              <w:rPr>
                <w:rFonts w:ascii="Arial" w:cs="Arial" w:eastAsia="Arial" w:hAnsi="Arial"/>
                <w:sz w:val="20"/>
                <w:szCs w:val="20"/>
                <w:color w:val="auto"/>
              </w:rPr>
              <w:t>Hawaii</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Courtenay Central Ltd</w:t>
            </w:r>
          </w:p>
        </w:tc>
        <w:tc>
          <w:tcPr>
            <w:tcW w:w="3840" w:type="dxa"/>
            <w:vAlign w:val="bottom"/>
          </w:tcPr>
          <w:p>
            <w:pPr>
              <w:ind w:left="1240"/>
              <w:spacing w:after="0"/>
              <w:rPr>
                <w:sz w:val="20"/>
                <w:szCs w:val="20"/>
                <w:color w:val="auto"/>
              </w:rPr>
            </w:pPr>
            <w:r>
              <w:rPr>
                <w:rFonts w:ascii="Arial" w:cs="Arial" w:eastAsia="Arial" w:hAnsi="Arial"/>
                <w:sz w:val="20"/>
                <w:szCs w:val="20"/>
                <w:color w:val="auto"/>
              </w:rPr>
              <w:t>New Zealand</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Dandenong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Dunedin Limited</w:t>
            </w:r>
          </w:p>
        </w:tc>
        <w:tc>
          <w:tcPr>
            <w:tcW w:w="3840" w:type="dxa"/>
            <w:vAlign w:val="bottom"/>
          </w:tcPr>
          <w:p>
            <w:pPr>
              <w:ind w:left="1240"/>
              <w:spacing w:after="0"/>
              <w:rPr>
                <w:sz w:val="20"/>
                <w:szCs w:val="20"/>
                <w:color w:val="auto"/>
              </w:rPr>
            </w:pPr>
            <w:r>
              <w:rPr>
                <w:rFonts w:ascii="Arial" w:cs="Arial" w:eastAsia="Arial" w:hAnsi="Arial"/>
                <w:sz w:val="20"/>
                <w:szCs w:val="20"/>
                <w:color w:val="auto"/>
              </w:rPr>
              <w:t>New Zealand</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Elizabeth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Entertainment Australia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Exhibition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Foundation, LTD</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Holdings, Inc.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International, LLC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International Cinemas LLC</w:t>
            </w:r>
          </w:p>
        </w:tc>
        <w:tc>
          <w:tcPr>
            <w:tcW w:w="3840" w:type="dxa"/>
            <w:vAlign w:val="bottom"/>
          </w:tcPr>
          <w:p>
            <w:pPr>
              <w:ind w:left="124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International Services Company</w:t>
            </w:r>
          </w:p>
        </w:tc>
        <w:tc>
          <w:tcPr>
            <w:tcW w:w="3840" w:type="dxa"/>
            <w:vAlign w:val="bottom"/>
          </w:tcPr>
          <w:p>
            <w:pPr>
              <w:ind w:left="1240"/>
              <w:spacing w:after="0"/>
              <w:rPr>
                <w:sz w:val="20"/>
                <w:szCs w:val="20"/>
                <w:color w:val="auto"/>
              </w:rPr>
            </w:pPr>
            <w:r>
              <w:rPr>
                <w:rFonts w:ascii="Arial" w:cs="Arial" w:eastAsia="Arial" w:hAnsi="Arial"/>
                <w:sz w:val="20"/>
                <w:szCs w:val="20"/>
                <w:color w:val="auto"/>
              </w:rPr>
              <w:t>California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IP, LLC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Licenses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Maitland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Malulani, LLC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Management NZ Limited</w:t>
            </w:r>
          </w:p>
        </w:tc>
        <w:tc>
          <w:tcPr>
            <w:tcW w:w="3840" w:type="dxa"/>
            <w:vAlign w:val="bottom"/>
          </w:tcPr>
          <w:p>
            <w:pPr>
              <w:ind w:left="1240"/>
              <w:spacing w:after="0"/>
              <w:rPr>
                <w:sz w:val="20"/>
                <w:szCs w:val="20"/>
                <w:color w:val="auto"/>
              </w:rPr>
            </w:pPr>
            <w:r>
              <w:rPr>
                <w:rFonts w:ascii="Arial" w:cs="Arial" w:eastAsia="Arial" w:hAnsi="Arial"/>
                <w:sz w:val="20"/>
                <w:szCs w:val="20"/>
                <w:color w:val="auto"/>
              </w:rPr>
              <w:t>New Zealand</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Melton Pty Ltd</w:t>
            </w:r>
          </w:p>
        </w:tc>
        <w:tc>
          <w:tcPr>
            <w:tcW w:w="3840" w:type="dxa"/>
            <w:vAlign w:val="bottom"/>
          </w:tcPr>
          <w:p>
            <w:pPr>
              <w:ind w:left="1240"/>
              <w:spacing w:after="0"/>
              <w:rPr>
                <w:sz w:val="20"/>
                <w:szCs w:val="20"/>
                <w:color w:val="auto"/>
              </w:rPr>
            </w:pPr>
            <w:r>
              <w:rPr>
                <w:rFonts w:ascii="Arial" w:cs="Arial" w:eastAsia="Arial" w:hAnsi="Arial"/>
                <w:sz w:val="20"/>
                <w:szCs w:val="20"/>
                <w:color w:val="auto"/>
              </w:rPr>
              <w:t>Australia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Murrieta Theater, LLC</w:t>
            </w:r>
          </w:p>
        </w:tc>
        <w:tc>
          <w:tcPr>
            <w:tcW w:w="3840" w:type="dxa"/>
            <w:vAlign w:val="bottom"/>
          </w:tcPr>
          <w:p>
            <w:pPr>
              <w:ind w:left="1240"/>
              <w:spacing w:after="0"/>
              <w:rPr>
                <w:sz w:val="20"/>
                <w:szCs w:val="20"/>
                <w:color w:val="auto"/>
              </w:rPr>
            </w:pPr>
            <w:r>
              <w:rPr>
                <w:rFonts w:ascii="Arial" w:cs="Arial" w:eastAsia="Arial" w:hAnsi="Arial"/>
                <w:sz w:val="20"/>
                <w:szCs w:val="20"/>
                <w:color w:val="auto"/>
              </w:rPr>
              <w:t>Nevada</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New Lynn Limited</w:t>
            </w:r>
          </w:p>
        </w:tc>
        <w:tc>
          <w:tcPr>
            <w:tcW w:w="3840" w:type="dxa"/>
            <w:vAlign w:val="bottom"/>
          </w:tcPr>
          <w:p>
            <w:pPr>
              <w:ind w:left="1240"/>
              <w:spacing w:after="0"/>
              <w:rPr>
                <w:sz w:val="20"/>
                <w:szCs w:val="20"/>
                <w:color w:val="auto"/>
              </w:rPr>
            </w:pPr>
            <w:r>
              <w:rPr>
                <w:rFonts w:ascii="Arial" w:cs="Arial" w:eastAsia="Arial" w:hAnsi="Arial"/>
                <w:sz w:val="20"/>
                <w:szCs w:val="20"/>
                <w:color w:val="auto"/>
              </w:rPr>
              <w:t>New Zealand</w:t>
            </w:r>
          </w:p>
        </w:tc>
      </w:tr>
      <w:tr>
        <w:trPr>
          <w:trHeight w:val="270"/>
        </w:trPr>
        <w:tc>
          <w:tcPr>
            <w:tcW w:w="5020" w:type="dxa"/>
            <w:vAlign w:val="bottom"/>
          </w:tcPr>
          <w:p>
            <w:pPr>
              <w:ind w:left="120"/>
              <w:spacing w:after="0"/>
              <w:rPr>
                <w:sz w:val="20"/>
                <w:szCs w:val="20"/>
                <w:color w:val="auto"/>
              </w:rPr>
            </w:pPr>
            <w:r>
              <w:rPr>
                <w:rFonts w:ascii="Arial" w:cs="Arial" w:eastAsia="Arial" w:hAnsi="Arial"/>
                <w:sz w:val="20"/>
                <w:szCs w:val="20"/>
                <w:color w:val="auto"/>
              </w:rPr>
              <w:t>Reading New Zealand Ltd</w:t>
            </w:r>
          </w:p>
        </w:tc>
        <w:tc>
          <w:tcPr>
            <w:tcW w:w="3840" w:type="dxa"/>
            <w:vAlign w:val="bottom"/>
          </w:tcPr>
          <w:p>
            <w:pPr>
              <w:ind w:left="1240"/>
              <w:spacing w:after="0"/>
              <w:rPr>
                <w:sz w:val="20"/>
                <w:szCs w:val="20"/>
                <w:color w:val="auto"/>
              </w:rPr>
            </w:pPr>
            <w:r>
              <w:rPr>
                <w:rFonts w:ascii="Arial" w:cs="Arial" w:eastAsia="Arial" w:hAnsi="Arial"/>
                <w:sz w:val="20"/>
                <w:szCs w:val="20"/>
                <w:color w:val="auto"/>
              </w:rPr>
              <w:t>New Zealand</w:t>
            </w:r>
          </w:p>
        </w:tc>
      </w:tr>
      <w:tr>
        <w:trPr>
          <w:trHeight w:val="226"/>
        </w:trPr>
        <w:tc>
          <w:tcPr>
            <w:tcW w:w="5020" w:type="dxa"/>
            <w:vAlign w:val="bottom"/>
            <w:tcBorders>
              <w:bottom w:val="single" w:sz="8" w:color="9A9A9A"/>
            </w:tcBorders>
          </w:tcPr>
          <w:p>
            <w:pPr>
              <w:spacing w:after="0"/>
              <w:rPr>
                <w:sz w:val="19"/>
                <w:szCs w:val="19"/>
                <w:color w:val="auto"/>
              </w:rPr>
            </w:pPr>
          </w:p>
        </w:tc>
        <w:tc>
          <w:tcPr>
            <w:tcW w:w="3840" w:type="dxa"/>
            <w:vAlign w:val="bottom"/>
            <w:tcBorders>
              <w:bottom w:val="single" w:sz="8" w:color="9A9A9A"/>
            </w:tcBorders>
          </w:tcPr>
          <w:p>
            <w:pPr>
              <w:spacing w:after="0"/>
              <w:rPr>
                <w:sz w:val="19"/>
                <w:szCs w:val="19"/>
                <w:color w:val="auto"/>
              </w:rPr>
            </w:pPr>
          </w:p>
        </w:tc>
      </w:tr>
      <w:tr>
        <w:trPr>
          <w:trHeight w:val="20"/>
        </w:trPr>
        <w:tc>
          <w:tcPr>
            <w:tcW w:w="502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-6174105</wp:posOffset>
            </wp:positionV>
            <wp:extent cx="3104515" cy="1803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3104515" cy="180340"/>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153" w:name="page154"/>
    <w:bookmarkEnd w:id="153"/>
    <w:tbl>
      <w:tblPr>
        <w:tblLayout w:type="fixed"/>
        <w:tblInd w:w="100" w:type="dxa"/>
        <w:tblCellMar>
          <w:top w:w="0" w:type="dxa"/>
          <w:left w:w="0" w:type="dxa"/>
          <w:bottom w:w="0" w:type="dxa"/>
          <w:right w:w="0" w:type="dxa"/>
        </w:tblCellMar>
      </w:tblPr>
      <w:tr>
        <w:trPr>
          <w:trHeight w:val="250"/>
        </w:trPr>
        <w:tc>
          <w:tcPr>
            <w:tcW w:w="5560" w:type="dxa"/>
            <w:vAlign w:val="bottom"/>
          </w:tcPr>
          <w:p>
            <w:pPr>
              <w:ind w:left="120"/>
              <w:spacing w:after="0"/>
              <w:rPr>
                <w:sz w:val="20"/>
                <w:szCs w:val="20"/>
                <w:color w:val="auto"/>
              </w:rPr>
            </w:pPr>
            <w:r>
              <w:rPr>
                <w:rFonts w:ascii="Arial" w:cs="Arial" w:eastAsia="Arial" w:hAnsi="Arial"/>
                <w:sz w:val="20"/>
                <w:szCs w:val="20"/>
                <w:color w:val="auto"/>
              </w:rPr>
              <w:t>Reading Pacific LLC</w:t>
            </w:r>
          </w:p>
        </w:tc>
        <w:tc>
          <w:tcPr>
            <w:tcW w:w="3300" w:type="dxa"/>
            <w:vAlign w:val="bottom"/>
          </w:tcPr>
          <w:p>
            <w:pPr>
              <w:ind w:left="700"/>
              <w:spacing w:after="0"/>
              <w:rPr>
                <w:sz w:val="20"/>
                <w:szCs w:val="20"/>
                <w:color w:val="auto"/>
              </w:rPr>
            </w:pPr>
            <w:r>
              <w:rPr>
                <w:rFonts w:ascii="Arial" w:cs="Arial" w:eastAsia="Arial" w:hAnsi="Arial"/>
                <w:sz w:val="20"/>
                <w:szCs w:val="20"/>
                <w:color w:val="auto"/>
              </w:rPr>
              <w:t>Nevada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Productions, LLC</w:t>
            </w:r>
          </w:p>
        </w:tc>
        <w:tc>
          <w:tcPr>
            <w:tcW w:w="3300" w:type="dxa"/>
            <w:vAlign w:val="bottom"/>
          </w:tcPr>
          <w:p>
            <w:pPr>
              <w:ind w:left="700"/>
              <w:spacing w:after="0"/>
              <w:rPr>
                <w:sz w:val="20"/>
                <w:szCs w:val="20"/>
                <w:color w:val="auto"/>
              </w:rPr>
            </w:pPr>
            <w:r>
              <w:rPr>
                <w:rFonts w:ascii="Arial" w:cs="Arial" w:eastAsia="Arial" w:hAnsi="Arial"/>
                <w:sz w:val="20"/>
                <w:szCs w:val="20"/>
                <w:color w:val="auto"/>
              </w:rPr>
              <w:t>Nevada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Properties LLC (fka - GardenWalk Cinemas, LLC)</w:t>
            </w:r>
          </w:p>
        </w:tc>
        <w:tc>
          <w:tcPr>
            <w:tcW w:w="3300" w:type="dxa"/>
            <w:vAlign w:val="bottom"/>
          </w:tcPr>
          <w:p>
            <w:pPr>
              <w:ind w:left="700"/>
              <w:spacing w:after="0"/>
              <w:rPr>
                <w:sz w:val="20"/>
                <w:szCs w:val="20"/>
                <w:color w:val="auto"/>
              </w:rPr>
            </w:pPr>
            <w:r>
              <w:rPr>
                <w:rFonts w:ascii="Arial" w:cs="Arial" w:eastAsia="Arial" w:hAnsi="Arial"/>
                <w:sz w:val="20"/>
                <w:szCs w:val="20"/>
                <w:color w:val="auto"/>
              </w:rPr>
              <w:t>Nevada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Properties Indooroopilly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Properties Lake Taupo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Properties Manukau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Properties New Zealand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Properties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Properties Taringa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Property Holdings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Queenstown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RREC LLC (Reading Real Estate Company)</w:t>
            </w:r>
          </w:p>
        </w:tc>
        <w:tc>
          <w:tcPr>
            <w:tcW w:w="3300" w:type="dxa"/>
            <w:vAlign w:val="bottom"/>
          </w:tcPr>
          <w:p>
            <w:pPr>
              <w:ind w:left="700"/>
              <w:spacing w:after="0"/>
              <w:rPr>
                <w:sz w:val="20"/>
                <w:szCs w:val="20"/>
                <w:color w:val="auto"/>
              </w:rPr>
            </w:pPr>
            <w:r>
              <w:rPr>
                <w:rFonts w:ascii="Arial" w:cs="Arial" w:eastAsia="Arial" w:hAnsi="Arial"/>
                <w:sz w:val="20"/>
                <w:szCs w:val="20"/>
                <w:color w:val="auto"/>
              </w:rPr>
              <w:t>Pennsylvania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Restaurants NZ Limited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Rouse Hill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Royal George, LLC</w:t>
            </w:r>
          </w:p>
        </w:tc>
        <w:tc>
          <w:tcPr>
            <w:tcW w:w="3300" w:type="dxa"/>
            <w:vAlign w:val="bottom"/>
          </w:tcPr>
          <w:p>
            <w:pPr>
              <w:ind w:left="700"/>
              <w:spacing w:after="0"/>
              <w:rPr>
                <w:sz w:val="20"/>
                <w:szCs w:val="20"/>
                <w:color w:val="auto"/>
              </w:rPr>
            </w:pPr>
            <w:r>
              <w:rPr>
                <w:rFonts w:ascii="Arial" w:cs="Arial" w:eastAsia="Arial" w:hAnsi="Arial"/>
                <w:sz w:val="20"/>
                <w:szCs w:val="20"/>
                <w:color w:val="auto"/>
              </w:rPr>
              <w:t>Delaware</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South City Square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Sunbury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Theaters, Inc.</w:t>
            </w:r>
          </w:p>
        </w:tc>
        <w:tc>
          <w:tcPr>
            <w:tcW w:w="3300" w:type="dxa"/>
            <w:vAlign w:val="bottom"/>
          </w:tcPr>
          <w:p>
            <w:pPr>
              <w:ind w:left="700"/>
              <w:spacing w:after="0"/>
              <w:rPr>
                <w:sz w:val="20"/>
                <w:szCs w:val="20"/>
                <w:color w:val="auto"/>
              </w:rPr>
            </w:pPr>
            <w:r>
              <w:rPr>
                <w:rFonts w:ascii="Arial" w:cs="Arial" w:eastAsia="Arial" w:hAnsi="Arial"/>
                <w:sz w:val="20"/>
                <w:szCs w:val="20"/>
                <w:color w:val="auto"/>
              </w:rPr>
              <w:t>Delaware</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Traralgon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Reading Wellington Properties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Rhodes Peninsula Cinema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Rialto Cinemas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Rialto Entertainment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Ronwood Investments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Rydal Equipment Co.</w:t>
            </w:r>
          </w:p>
        </w:tc>
        <w:tc>
          <w:tcPr>
            <w:tcW w:w="3300" w:type="dxa"/>
            <w:vAlign w:val="bottom"/>
          </w:tcPr>
          <w:p>
            <w:pPr>
              <w:ind w:left="700"/>
              <w:spacing w:after="0"/>
              <w:rPr>
                <w:sz w:val="20"/>
                <w:szCs w:val="20"/>
                <w:color w:val="auto"/>
              </w:rPr>
            </w:pPr>
            <w:r>
              <w:rPr>
                <w:rFonts w:ascii="Arial" w:cs="Arial" w:eastAsia="Arial" w:hAnsi="Arial"/>
                <w:sz w:val="20"/>
                <w:szCs w:val="20"/>
                <w:color w:val="auto"/>
              </w:rPr>
              <w:t>Pennsylvania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S Note Liquidation Company, LLC</w:t>
            </w:r>
          </w:p>
        </w:tc>
        <w:tc>
          <w:tcPr>
            <w:tcW w:w="3300" w:type="dxa"/>
            <w:vAlign w:val="bottom"/>
          </w:tcPr>
          <w:p>
            <w:pPr>
              <w:ind w:left="700"/>
              <w:spacing w:after="0"/>
              <w:rPr>
                <w:sz w:val="20"/>
                <w:szCs w:val="20"/>
                <w:color w:val="auto"/>
              </w:rPr>
            </w:pPr>
            <w:r>
              <w:rPr>
                <w:rFonts w:ascii="Arial" w:cs="Arial" w:eastAsia="Arial" w:hAnsi="Arial"/>
                <w:sz w:val="20"/>
                <w:szCs w:val="20"/>
                <w:color w:val="auto"/>
              </w:rPr>
              <w:t>Nevada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Sails Apartments Management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Shadow View Land and Farming, LLC</w:t>
            </w:r>
          </w:p>
        </w:tc>
        <w:tc>
          <w:tcPr>
            <w:tcW w:w="3300" w:type="dxa"/>
            <w:vAlign w:val="bottom"/>
          </w:tcPr>
          <w:p>
            <w:pPr>
              <w:ind w:left="700"/>
              <w:spacing w:after="0"/>
              <w:rPr>
                <w:sz w:val="20"/>
                <w:szCs w:val="20"/>
                <w:color w:val="auto"/>
              </w:rPr>
            </w:pPr>
            <w:r>
              <w:rPr>
                <w:rFonts w:ascii="Arial" w:cs="Arial" w:eastAsia="Arial" w:hAnsi="Arial"/>
                <w:sz w:val="20"/>
                <w:szCs w:val="20"/>
                <w:color w:val="auto"/>
              </w:rPr>
              <w:t>Nevada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Sutton Hill Properties, LLC</w:t>
            </w:r>
          </w:p>
        </w:tc>
        <w:tc>
          <w:tcPr>
            <w:tcW w:w="3300" w:type="dxa"/>
            <w:vAlign w:val="bottom"/>
          </w:tcPr>
          <w:p>
            <w:pPr>
              <w:ind w:left="700"/>
              <w:spacing w:after="0"/>
              <w:rPr>
                <w:sz w:val="20"/>
                <w:szCs w:val="20"/>
                <w:color w:val="auto"/>
              </w:rPr>
            </w:pPr>
            <w:r>
              <w:rPr>
                <w:rFonts w:ascii="Arial" w:cs="Arial" w:eastAsia="Arial" w:hAnsi="Arial"/>
                <w:sz w:val="20"/>
                <w:szCs w:val="20"/>
                <w:color w:val="auto"/>
              </w:rPr>
              <w:t>Nevada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The Theatre At Legacy L.P.</w:t>
            </w:r>
          </w:p>
        </w:tc>
        <w:tc>
          <w:tcPr>
            <w:tcW w:w="3300" w:type="dxa"/>
            <w:vAlign w:val="bottom"/>
          </w:tcPr>
          <w:p>
            <w:pPr>
              <w:ind w:left="700"/>
              <w:spacing w:after="0"/>
              <w:rPr>
                <w:sz w:val="20"/>
                <w:szCs w:val="20"/>
                <w:color w:val="auto"/>
              </w:rPr>
            </w:pPr>
            <w:r>
              <w:rPr>
                <w:rFonts w:ascii="Arial" w:cs="Arial" w:eastAsia="Arial" w:hAnsi="Arial"/>
                <w:sz w:val="20"/>
                <w:szCs w:val="20"/>
                <w:color w:val="auto"/>
              </w:rPr>
              <w:t>Texas</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Tobrooke Holdings Ltd</w:t>
            </w:r>
          </w:p>
        </w:tc>
        <w:tc>
          <w:tcPr>
            <w:tcW w:w="3300" w:type="dxa"/>
            <w:vAlign w:val="bottom"/>
          </w:tcPr>
          <w:p>
            <w:pPr>
              <w:ind w:left="700"/>
              <w:spacing w:after="0"/>
              <w:rPr>
                <w:sz w:val="20"/>
                <w:szCs w:val="20"/>
                <w:color w:val="auto"/>
              </w:rPr>
            </w:pPr>
            <w:r>
              <w:rPr>
                <w:rFonts w:ascii="Arial" w:cs="Arial" w:eastAsia="Arial" w:hAnsi="Arial"/>
                <w:sz w:val="20"/>
                <w:szCs w:val="20"/>
                <w:color w:val="auto"/>
              </w:rPr>
              <w:t>New Zealand</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Trans-Pacific Finance Fund I, LLC</w:t>
            </w:r>
          </w:p>
        </w:tc>
        <w:tc>
          <w:tcPr>
            <w:tcW w:w="3300" w:type="dxa"/>
            <w:vAlign w:val="bottom"/>
          </w:tcPr>
          <w:p>
            <w:pPr>
              <w:ind w:left="700"/>
              <w:spacing w:after="0"/>
              <w:rPr>
                <w:sz w:val="20"/>
                <w:szCs w:val="20"/>
                <w:color w:val="auto"/>
              </w:rPr>
            </w:pPr>
            <w:r>
              <w:rPr>
                <w:rFonts w:ascii="Arial" w:cs="Arial" w:eastAsia="Arial" w:hAnsi="Arial"/>
                <w:sz w:val="20"/>
                <w:szCs w:val="20"/>
                <w:color w:val="auto"/>
              </w:rPr>
              <w:t>Delaware</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Trenton-Princeton Traction Company</w:t>
            </w:r>
          </w:p>
        </w:tc>
        <w:tc>
          <w:tcPr>
            <w:tcW w:w="3300" w:type="dxa"/>
            <w:vAlign w:val="bottom"/>
          </w:tcPr>
          <w:p>
            <w:pPr>
              <w:ind w:left="700"/>
              <w:spacing w:after="0"/>
              <w:rPr>
                <w:sz w:val="20"/>
                <w:szCs w:val="20"/>
                <w:color w:val="auto"/>
              </w:rPr>
            </w:pPr>
            <w:r>
              <w:rPr>
                <w:rFonts w:ascii="Arial" w:cs="Arial" w:eastAsia="Arial" w:hAnsi="Arial"/>
                <w:sz w:val="20"/>
                <w:szCs w:val="20"/>
                <w:color w:val="auto"/>
              </w:rPr>
              <w:t>New Jersey</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Twin Cities Cinemas, Inc.</w:t>
            </w:r>
          </w:p>
        </w:tc>
        <w:tc>
          <w:tcPr>
            <w:tcW w:w="3300" w:type="dxa"/>
            <w:vAlign w:val="bottom"/>
          </w:tcPr>
          <w:p>
            <w:pPr>
              <w:ind w:left="700"/>
              <w:spacing w:after="0"/>
              <w:rPr>
                <w:sz w:val="20"/>
                <w:szCs w:val="20"/>
                <w:color w:val="auto"/>
              </w:rPr>
            </w:pPr>
            <w:r>
              <w:rPr>
                <w:rFonts w:ascii="Arial" w:cs="Arial" w:eastAsia="Arial" w:hAnsi="Arial"/>
                <w:sz w:val="20"/>
                <w:szCs w:val="20"/>
                <w:color w:val="auto"/>
              </w:rPr>
              <w:t>Delaware</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US Agricultural Investors, LLC</w:t>
            </w:r>
          </w:p>
        </w:tc>
        <w:tc>
          <w:tcPr>
            <w:tcW w:w="3300" w:type="dxa"/>
            <w:vAlign w:val="bottom"/>
          </w:tcPr>
          <w:p>
            <w:pPr>
              <w:ind w:left="700"/>
              <w:spacing w:after="0"/>
              <w:rPr>
                <w:sz w:val="20"/>
                <w:szCs w:val="20"/>
                <w:color w:val="auto"/>
              </w:rPr>
            </w:pPr>
            <w:r>
              <w:rPr>
                <w:rFonts w:ascii="Arial" w:cs="Arial" w:eastAsia="Arial" w:hAnsi="Arial"/>
                <w:sz w:val="20"/>
                <w:szCs w:val="20"/>
                <w:color w:val="auto"/>
              </w:rPr>
              <w:t>Delaware</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US Development, LLC</w:t>
            </w:r>
          </w:p>
        </w:tc>
        <w:tc>
          <w:tcPr>
            <w:tcW w:w="3300" w:type="dxa"/>
            <w:vAlign w:val="bottom"/>
          </w:tcPr>
          <w:p>
            <w:pPr>
              <w:ind w:left="700"/>
              <w:spacing w:after="0"/>
              <w:rPr>
                <w:sz w:val="20"/>
                <w:szCs w:val="20"/>
                <w:color w:val="auto"/>
              </w:rPr>
            </w:pPr>
            <w:r>
              <w:rPr>
                <w:rFonts w:ascii="Arial" w:cs="Arial" w:eastAsia="Arial" w:hAnsi="Arial"/>
                <w:sz w:val="20"/>
                <w:szCs w:val="20"/>
                <w:color w:val="auto"/>
              </w:rPr>
              <w:t>Nevada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US International Property Finance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Washington and Franklin Railway Company</w:t>
            </w:r>
          </w:p>
        </w:tc>
        <w:tc>
          <w:tcPr>
            <w:tcW w:w="3300" w:type="dxa"/>
            <w:vAlign w:val="bottom"/>
          </w:tcPr>
          <w:p>
            <w:pPr>
              <w:ind w:left="700"/>
              <w:spacing w:after="0"/>
              <w:rPr>
                <w:sz w:val="20"/>
                <w:szCs w:val="20"/>
                <w:color w:val="auto"/>
              </w:rPr>
            </w:pPr>
            <w:r>
              <w:rPr>
                <w:rFonts w:ascii="Arial" w:cs="Arial" w:eastAsia="Arial" w:hAnsi="Arial"/>
                <w:sz w:val="20"/>
                <w:szCs w:val="20"/>
                <w:color w:val="auto"/>
              </w:rPr>
              <w:t>Pennsylvania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Westlakes Cinema Pty Ltd</w:t>
            </w:r>
          </w:p>
        </w:tc>
        <w:tc>
          <w:tcPr>
            <w:tcW w:w="3300" w:type="dxa"/>
            <w:vAlign w:val="bottom"/>
          </w:tcPr>
          <w:p>
            <w:pPr>
              <w:ind w:left="700"/>
              <w:spacing w:after="0"/>
              <w:rPr>
                <w:sz w:val="20"/>
                <w:szCs w:val="20"/>
                <w:color w:val="auto"/>
              </w:rPr>
            </w:pPr>
            <w:r>
              <w:rPr>
                <w:rFonts w:ascii="Arial" w:cs="Arial" w:eastAsia="Arial" w:hAnsi="Arial"/>
                <w:sz w:val="20"/>
                <w:szCs w:val="20"/>
                <w:color w:val="auto"/>
              </w:rPr>
              <w:t>Australia</w:t>
            </w:r>
          </w:p>
        </w:tc>
      </w:tr>
      <w:tr>
        <w:trPr>
          <w:trHeight w:val="270"/>
        </w:trPr>
        <w:tc>
          <w:tcPr>
            <w:tcW w:w="5560" w:type="dxa"/>
            <w:vAlign w:val="bottom"/>
          </w:tcPr>
          <w:p>
            <w:pPr>
              <w:ind w:left="120"/>
              <w:spacing w:after="0"/>
              <w:rPr>
                <w:sz w:val="20"/>
                <w:szCs w:val="20"/>
                <w:color w:val="auto"/>
              </w:rPr>
            </w:pPr>
            <w:r>
              <w:rPr>
                <w:rFonts w:ascii="Arial" w:cs="Arial" w:eastAsia="Arial" w:hAnsi="Arial"/>
                <w:sz w:val="20"/>
                <w:szCs w:val="20"/>
                <w:color w:val="auto"/>
              </w:rPr>
              <w:t>Wilmington and Northern Railroad Company</w:t>
            </w:r>
          </w:p>
        </w:tc>
        <w:tc>
          <w:tcPr>
            <w:tcW w:w="3300" w:type="dxa"/>
            <w:vAlign w:val="bottom"/>
          </w:tcPr>
          <w:p>
            <w:pPr>
              <w:ind w:left="700"/>
              <w:spacing w:after="0"/>
              <w:rPr>
                <w:sz w:val="20"/>
                <w:szCs w:val="20"/>
                <w:color w:val="auto"/>
              </w:rPr>
            </w:pPr>
            <w:r>
              <w:rPr>
                <w:rFonts w:ascii="Arial" w:cs="Arial" w:eastAsia="Arial" w:hAnsi="Arial"/>
                <w:sz w:val="20"/>
                <w:szCs w:val="20"/>
                <w:color w:val="auto"/>
              </w:rPr>
              <w:t>Pennsylvania</w:t>
            </w:r>
          </w:p>
        </w:tc>
      </w:tr>
      <w:tr>
        <w:trPr>
          <w:trHeight w:val="496"/>
        </w:trPr>
        <w:tc>
          <w:tcPr>
            <w:tcW w:w="55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r>
        <w:trPr>
          <w:trHeight w:val="20"/>
        </w:trPr>
        <w:tc>
          <w:tcPr>
            <w:tcW w:w="556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150" w:lineRule="exact"/>
        <w:rPr>
          <w:sz w:val="20"/>
          <w:szCs w:val="20"/>
          <w:color w:val="auto"/>
        </w:rPr>
      </w:pPr>
    </w:p>
    <w:p>
      <w:pPr>
        <w:ind w:left="100" w:right="139"/>
        <w:spacing w:after="0" w:line="221" w:lineRule="auto"/>
        <w:rPr>
          <w:sz w:val="20"/>
          <w:szCs w:val="20"/>
          <w:color w:val="auto"/>
        </w:rPr>
      </w:pPr>
      <w:r>
        <w:rPr>
          <w:rFonts w:ascii="Arial" w:cs="Arial" w:eastAsia="Arial" w:hAnsi="Arial"/>
          <w:sz w:val="19"/>
          <w:szCs w:val="19"/>
          <w:color w:val="auto"/>
        </w:rPr>
        <w:t>We have issued our reports dated March 18, 2018 with respect to the consolidated financial statements and internal control over financial reporting in the Annual Report of Reading International, Inc. on Form 10-K for the year ended December 31, 2018. We consent to the incorporation by reference of the said reports in the Registration Statements of Reading International, Inc. on Forms S-8 (File No. 333-36277, File No. 333-53684, File No. 333-112069, and File No. 333-167101).</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GRANT THORNTON LLP</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Los Angeles, CA</w:t>
      </w:r>
    </w:p>
    <w:p>
      <w:pPr>
        <w:ind w:left="100"/>
        <w:spacing w:after="0"/>
        <w:rPr>
          <w:sz w:val="20"/>
          <w:szCs w:val="20"/>
          <w:color w:val="auto"/>
        </w:rPr>
      </w:pPr>
      <w:r>
        <w:rPr>
          <w:rFonts w:ascii="Arial" w:cs="Arial" w:eastAsia="Arial" w:hAnsi="Arial"/>
          <w:sz w:val="20"/>
          <w:szCs w:val="20"/>
          <w:color w:val="auto"/>
        </w:rPr>
        <w:t>March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236220</wp:posOffset>
            </wp:positionV>
            <wp:extent cx="5642610" cy="514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5" w:name="page156"/>
    <w:bookmarkEnd w:id="155"/>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Ellen M. Cotter, certify that:</w:t>
      </w:r>
    </w:p>
    <w:p>
      <w:pPr>
        <w:spacing w:after="0" w:line="158" w:lineRule="exact"/>
        <w:rPr>
          <w:sz w:val="20"/>
          <w:szCs w:val="20"/>
          <w:color w:val="auto"/>
        </w:rPr>
      </w:pPr>
    </w:p>
    <w:p>
      <w:pPr>
        <w:ind w:left="420" w:hanging="315"/>
        <w:spacing w:after="0"/>
        <w:tabs>
          <w:tab w:leader="none" w:pos="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Reading International, Inc.;</w:t>
      </w:r>
    </w:p>
    <w:p>
      <w:pPr>
        <w:spacing w:after="0" w:line="144" w:lineRule="exact"/>
        <w:rPr>
          <w:rFonts w:ascii="Arial" w:cs="Arial" w:eastAsia="Arial" w:hAnsi="Arial"/>
          <w:sz w:val="18"/>
          <w:szCs w:val="18"/>
          <w:color w:val="auto"/>
        </w:rPr>
      </w:pPr>
    </w:p>
    <w:p>
      <w:pPr>
        <w:jc w:val="both"/>
        <w:ind w:left="420" w:right="99" w:hanging="315"/>
        <w:spacing w:after="0" w:line="224" w:lineRule="auto"/>
        <w:tabs>
          <w:tab w:leader="none" w:pos="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420" w:right="99" w:hanging="315"/>
        <w:spacing w:after="0" w:line="224" w:lineRule="auto"/>
        <w:tabs>
          <w:tab w:leader="none" w:pos="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99" w:hanging="315"/>
        <w:spacing w:after="0" w:line="238" w:lineRule="auto"/>
        <w:tabs>
          <w:tab w:leader="none" w:pos="4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760" w:right="99" w:hanging="331"/>
        <w:spacing w:after="0" w:line="219" w:lineRule="auto"/>
        <w:tabs>
          <w:tab w:leader="none" w:pos="7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99" w:hanging="331"/>
        <w:spacing w:after="0" w:line="224" w:lineRule="auto"/>
        <w:tabs>
          <w:tab w:leader="none" w:pos="7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99" w:hanging="315"/>
        <w:spacing w:after="0" w:line="224" w:lineRule="auto"/>
        <w:tabs>
          <w:tab w:leader="none" w:pos="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760" w:right="99" w:hanging="331"/>
        <w:spacing w:after="0" w:line="224" w:lineRule="auto"/>
        <w:tabs>
          <w:tab w:leader="none" w:pos="7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99" w:hanging="331"/>
        <w:spacing w:after="0" w:line="235" w:lineRule="auto"/>
        <w:tabs>
          <w:tab w:leader="none" w:pos="7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Ellen M. Cotter</w:t>
      </w:r>
    </w:p>
    <w:p>
      <w:pPr>
        <w:ind w:left="100"/>
        <w:spacing w:after="0" w:line="200" w:lineRule="auto"/>
        <w:rPr>
          <w:sz w:val="20"/>
          <w:szCs w:val="20"/>
          <w:color w:val="auto"/>
        </w:rPr>
      </w:pPr>
      <w:r>
        <w:rPr>
          <w:rFonts w:ascii="Arial" w:cs="Arial" w:eastAsia="Arial" w:hAnsi="Arial"/>
          <w:sz w:val="18"/>
          <w:szCs w:val="18"/>
          <w:color w:val="auto"/>
        </w:rPr>
        <w:t>Ellen M. Cotter</w:t>
      </w:r>
    </w:p>
    <w:p>
      <w:pPr>
        <w:ind w:left="100"/>
        <w:spacing w:after="0" w:line="197" w:lineRule="auto"/>
        <w:rPr>
          <w:sz w:val="20"/>
          <w:szCs w:val="20"/>
          <w:color w:val="auto"/>
        </w:rPr>
      </w:pPr>
      <w:r>
        <w:rPr>
          <w:rFonts w:ascii="Arial" w:cs="Arial" w:eastAsia="Arial" w:hAnsi="Arial"/>
          <w:sz w:val="20"/>
          <w:szCs w:val="20"/>
          <w:color w:val="auto"/>
        </w:rPr>
        <w:t>President and Chief Executive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(Principal Executive Officer)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311150</wp:posOffset>
            </wp:positionV>
            <wp:extent cx="5642610" cy="514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6" w:name="page157"/>
    <w:bookmarkEnd w:id="156"/>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Gilbert Avanes, certify that:</w:t>
      </w:r>
    </w:p>
    <w:p>
      <w:pPr>
        <w:spacing w:after="0" w:line="158" w:lineRule="exact"/>
        <w:rPr>
          <w:sz w:val="20"/>
          <w:szCs w:val="20"/>
          <w:color w:val="auto"/>
        </w:rPr>
      </w:pPr>
    </w:p>
    <w:p>
      <w:pPr>
        <w:ind w:left="420" w:hanging="315"/>
        <w:spacing w:after="0"/>
        <w:tabs>
          <w:tab w:leader="none" w:pos="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Reading International, Inc.;</w:t>
      </w:r>
    </w:p>
    <w:p>
      <w:pPr>
        <w:spacing w:after="0" w:line="144" w:lineRule="exact"/>
        <w:rPr>
          <w:rFonts w:ascii="Arial" w:cs="Arial" w:eastAsia="Arial" w:hAnsi="Arial"/>
          <w:sz w:val="18"/>
          <w:szCs w:val="18"/>
          <w:color w:val="auto"/>
        </w:rPr>
      </w:pPr>
    </w:p>
    <w:p>
      <w:pPr>
        <w:jc w:val="both"/>
        <w:ind w:left="420" w:right="99" w:hanging="315"/>
        <w:spacing w:after="0" w:line="224" w:lineRule="auto"/>
        <w:tabs>
          <w:tab w:leader="none" w:pos="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420" w:right="99" w:hanging="315"/>
        <w:spacing w:after="0" w:line="224" w:lineRule="auto"/>
        <w:tabs>
          <w:tab w:leader="none" w:pos="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99" w:hanging="315"/>
        <w:spacing w:after="0" w:line="238" w:lineRule="auto"/>
        <w:tabs>
          <w:tab w:leader="none" w:pos="4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760" w:right="99" w:hanging="331"/>
        <w:spacing w:after="0" w:line="219" w:lineRule="auto"/>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99" w:hanging="331"/>
        <w:spacing w:after="0" w:line="224" w:lineRule="auto"/>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99" w:hanging="315"/>
        <w:spacing w:after="0" w:line="224" w:lineRule="auto"/>
        <w:tabs>
          <w:tab w:leader="none" w:pos="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760" w:right="99" w:hanging="331"/>
        <w:spacing w:after="0" w:line="224" w:lineRule="auto"/>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99" w:hanging="331"/>
        <w:spacing w:after="0" w:line="235" w:lineRule="auto"/>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Gilbert Avanes</w:t>
      </w:r>
    </w:p>
    <w:p>
      <w:pPr>
        <w:ind w:left="100"/>
        <w:spacing w:after="0" w:line="203" w:lineRule="auto"/>
        <w:rPr>
          <w:sz w:val="20"/>
          <w:szCs w:val="20"/>
          <w:color w:val="auto"/>
        </w:rPr>
      </w:pPr>
      <w:r>
        <w:rPr>
          <w:rFonts w:ascii="Arial" w:cs="Arial" w:eastAsia="Arial" w:hAnsi="Arial"/>
          <w:sz w:val="18"/>
          <w:szCs w:val="18"/>
          <w:color w:val="auto"/>
        </w:rPr>
        <w:t>Gilbert Avanes</w:t>
      </w:r>
    </w:p>
    <w:p>
      <w:pPr>
        <w:ind w:left="100"/>
        <w:spacing w:after="0" w:line="204" w:lineRule="auto"/>
        <w:rPr>
          <w:sz w:val="20"/>
          <w:szCs w:val="20"/>
          <w:color w:val="auto"/>
        </w:rPr>
      </w:pPr>
      <w:r>
        <w:rPr>
          <w:rFonts w:ascii="Arial" w:cs="Arial" w:eastAsia="Arial" w:hAnsi="Arial"/>
          <w:sz w:val="18"/>
          <w:szCs w:val="18"/>
          <w:color w:val="auto"/>
        </w:rPr>
        <w:t>Interim Chief Financial Officer</w:t>
      </w:r>
    </w:p>
    <w:p>
      <w:pPr>
        <w:ind w:left="100"/>
        <w:spacing w:after="0"/>
        <w:rPr>
          <w:sz w:val="20"/>
          <w:szCs w:val="20"/>
          <w:color w:val="auto"/>
        </w:rPr>
      </w:pPr>
      <w:r>
        <w:rPr>
          <w:rFonts w:ascii="Arial" w:cs="Arial" w:eastAsia="Arial" w:hAnsi="Arial"/>
          <w:sz w:val="18"/>
          <w:szCs w:val="18"/>
          <w:i w:val="1"/>
          <w:iCs w:val="1"/>
          <w:color w:val="auto"/>
        </w:rPr>
        <w:t>(Principal Financial Officer)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311150</wp:posOffset>
            </wp:positionV>
            <wp:extent cx="5642610" cy="514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7" w:name="page158"/>
    <w:bookmarkEnd w:id="157"/>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7" w:lineRule="exact"/>
        <w:rPr>
          <w:sz w:val="20"/>
          <w:szCs w:val="20"/>
          <w:color w:val="auto"/>
        </w:rPr>
      </w:pPr>
    </w:p>
    <w:p>
      <w:pPr>
        <w:jc w:val="both"/>
        <w:ind w:left="100" w:right="99" w:firstLine="648"/>
        <w:spacing w:after="0" w:line="219" w:lineRule="auto"/>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 December 31, 2018 (the “Report”), I, Ellen M. Cotter, Chief Executive Officer of the Company, certify, pursuant to 18 U.S.C. §1350, as adopted pursuant to §906 of the Sarbanes-Oxley Act of 2002, that to the best of my knowledge:</w:t>
      </w:r>
    </w:p>
    <w:p>
      <w:pPr>
        <w:spacing w:after="0" w:line="122" w:lineRule="exact"/>
        <w:rPr>
          <w:sz w:val="20"/>
          <w:szCs w:val="20"/>
          <w:color w:val="auto"/>
        </w:rPr>
      </w:pPr>
    </w:p>
    <w:p>
      <w:pPr>
        <w:ind w:left="760" w:hanging="331"/>
        <w:spacing w:after="0"/>
        <w:tabs>
          <w:tab w:leader="none" w:pos="7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of the Securities Exchange Act of 1934; and</w:t>
      </w:r>
    </w:p>
    <w:p>
      <w:pPr>
        <w:spacing w:after="0" w:line="167" w:lineRule="exact"/>
        <w:rPr>
          <w:rFonts w:ascii="Arial" w:cs="Arial" w:eastAsia="Arial" w:hAnsi="Arial"/>
          <w:sz w:val="16"/>
          <w:szCs w:val="16"/>
          <w:color w:val="auto"/>
        </w:rPr>
      </w:pPr>
    </w:p>
    <w:p>
      <w:pPr>
        <w:ind w:left="760" w:right="99" w:hanging="331"/>
        <w:spacing w:after="0" w:line="235" w:lineRule="auto"/>
        <w:tabs>
          <w:tab w:leader="none" w:pos="7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Ellen M. Cotter</w:t>
      </w:r>
    </w:p>
    <w:p>
      <w:pPr>
        <w:ind w:left="100"/>
        <w:spacing w:after="0" w:line="200" w:lineRule="auto"/>
        <w:rPr>
          <w:sz w:val="20"/>
          <w:szCs w:val="20"/>
          <w:color w:val="auto"/>
        </w:rPr>
      </w:pPr>
      <w:r>
        <w:rPr>
          <w:rFonts w:ascii="Arial" w:cs="Arial" w:eastAsia="Arial" w:hAnsi="Arial"/>
          <w:sz w:val="18"/>
          <w:szCs w:val="18"/>
          <w:color w:val="auto"/>
        </w:rPr>
        <w:t>Ellen M. Cotter</w:t>
      </w:r>
    </w:p>
    <w:p>
      <w:pPr>
        <w:ind w:left="100"/>
        <w:spacing w:after="0" w:line="197" w:lineRule="auto"/>
        <w:rPr>
          <w:sz w:val="20"/>
          <w:szCs w:val="20"/>
          <w:color w:val="auto"/>
        </w:rPr>
      </w:pPr>
      <w:r>
        <w:rPr>
          <w:rFonts w:ascii="Arial" w:cs="Arial" w:eastAsia="Arial" w:hAnsi="Arial"/>
          <w:sz w:val="20"/>
          <w:szCs w:val="20"/>
          <w:color w:val="auto"/>
        </w:rPr>
        <w:t>President and Chief Executive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(Principal Executive Officer)</w:t>
      </w: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259715</wp:posOffset>
            </wp:positionV>
            <wp:extent cx="5642610" cy="514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8" w:name="page159"/>
    <w:bookmarkEnd w:id="158"/>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5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(18 U.S.C. SECTION 1350)</w:t>
      </w:r>
    </w:p>
    <w:p>
      <w:pPr>
        <w:spacing w:after="0" w:line="67" w:lineRule="exact"/>
        <w:rPr>
          <w:sz w:val="20"/>
          <w:szCs w:val="20"/>
          <w:color w:val="auto"/>
        </w:rPr>
      </w:pPr>
    </w:p>
    <w:p>
      <w:pPr>
        <w:jc w:val="both"/>
        <w:ind w:left="100" w:right="99" w:firstLine="648"/>
        <w:spacing w:after="0" w:line="219" w:lineRule="auto"/>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 December 31, 2018 (the “Report”), I, Gilbert Avanes, Interim Chief Financial Officer of the Company, certify, pursuant to 18 U.S.C. §1350, as adopted pursuant to §906 of the Sarbanes-Oxley Act of 2002, that to the best of my knowledge:</w:t>
      </w:r>
    </w:p>
    <w:p>
      <w:pPr>
        <w:spacing w:after="0" w:line="122" w:lineRule="exact"/>
        <w:rPr>
          <w:sz w:val="20"/>
          <w:szCs w:val="20"/>
          <w:color w:val="auto"/>
        </w:rPr>
      </w:pPr>
    </w:p>
    <w:p>
      <w:pPr>
        <w:ind w:left="760" w:hanging="331"/>
        <w:spacing w:after="0"/>
        <w:tabs>
          <w:tab w:leader="none" w:pos="7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of the Securities Exchange Act of 1934; and</w:t>
      </w:r>
    </w:p>
    <w:p>
      <w:pPr>
        <w:spacing w:after="0" w:line="167" w:lineRule="exact"/>
        <w:rPr>
          <w:rFonts w:ascii="Arial" w:cs="Arial" w:eastAsia="Arial" w:hAnsi="Arial"/>
          <w:sz w:val="16"/>
          <w:szCs w:val="16"/>
          <w:color w:val="auto"/>
        </w:rPr>
      </w:pPr>
    </w:p>
    <w:p>
      <w:pPr>
        <w:ind w:left="760" w:right="99" w:hanging="331"/>
        <w:spacing w:after="0" w:line="235" w:lineRule="auto"/>
        <w:tabs>
          <w:tab w:leader="none" w:pos="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Gilbert Avanes</w:t>
      </w:r>
    </w:p>
    <w:p>
      <w:pPr>
        <w:ind w:left="100"/>
        <w:spacing w:after="0" w:line="203" w:lineRule="auto"/>
        <w:rPr>
          <w:sz w:val="20"/>
          <w:szCs w:val="20"/>
          <w:color w:val="auto"/>
        </w:rPr>
      </w:pPr>
      <w:r>
        <w:rPr>
          <w:rFonts w:ascii="Arial" w:cs="Arial" w:eastAsia="Arial" w:hAnsi="Arial"/>
          <w:sz w:val="18"/>
          <w:szCs w:val="18"/>
          <w:color w:val="auto"/>
        </w:rPr>
        <w:t>Gilbert Avanes</w:t>
      </w:r>
    </w:p>
    <w:p>
      <w:pPr>
        <w:ind w:left="100"/>
        <w:spacing w:after="0" w:line="204" w:lineRule="auto"/>
        <w:rPr>
          <w:sz w:val="20"/>
          <w:szCs w:val="20"/>
          <w:color w:val="auto"/>
        </w:rPr>
      </w:pPr>
      <w:r>
        <w:rPr>
          <w:rFonts w:ascii="Arial" w:cs="Arial" w:eastAsia="Arial" w:hAnsi="Arial"/>
          <w:sz w:val="18"/>
          <w:szCs w:val="18"/>
          <w:color w:val="auto"/>
        </w:rPr>
        <w:t>Interim Chief Financial Officer</w:t>
      </w:r>
    </w:p>
    <w:p>
      <w:pPr>
        <w:ind w:left="100"/>
        <w:spacing w:after="0"/>
        <w:rPr>
          <w:sz w:val="20"/>
          <w:szCs w:val="20"/>
          <w:color w:val="auto"/>
        </w:rPr>
      </w:pPr>
      <w:r>
        <w:rPr>
          <w:rFonts w:ascii="Arial" w:cs="Arial" w:eastAsia="Arial" w:hAnsi="Arial"/>
          <w:sz w:val="18"/>
          <w:szCs w:val="18"/>
          <w:i w:val="1"/>
          <w:iCs w:val="1"/>
          <w:color w:val="auto"/>
        </w:rPr>
        <w:t>(Principal Financial Officer)</w:t>
      </w:r>
    </w:p>
    <w:p>
      <w:pPr>
        <w:spacing w:after="0" w:line="3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259715</wp:posOffset>
            </wp:positionV>
            <wp:extent cx="5642610" cy="514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lvl w:ilvl="1">
      <w:lvlJc w:val="left"/>
      <w:lvlText w:val="☑"/>
      <w:numFmt w:val="bullet"/>
      <w:start w:val="1"/>
    </w:lvl>
  </w:abstractNum>
  <w:abstractNum w:abstractNumId="1">
    <w:nsid w:val="3F6AB60F"/>
    <w:multiLevelType w:val="hybridMultilevel"/>
    <w:lvl w:ilvl="0">
      <w:lvlJc w:val="left"/>
      <w:lvlText w:val="·"/>
      <w:numFmt w:val="bullet"/>
      <w:start w:val="1"/>
    </w:lvl>
    <w:lvl w:ilvl="1">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lvl w:ilvl="1">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lvl w:ilvl="1">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1)"/>
      <w:numFmt w:val="lowerRoman"/>
      <w:start w:val="4"/>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lvl w:ilvl="1">
      <w:lvlJc w:val="left"/>
      <w:lvlText w:val="-"/>
      <w:numFmt w:val="bullet"/>
      <w:start w:val="1"/>
    </w:lvl>
  </w:abstractNum>
  <w:abstractNum w:abstractNumId="12">
    <w:nsid w:val="1F48EAA1"/>
    <w:multiLevelType w:val="hybridMultilevel"/>
    <w:lvl w:ilvl="0">
      <w:lvlJc w:val="left"/>
      <w:lvlText w:val="%1."/>
      <w:numFmt w:val="lowerLetter"/>
      <w:start w:val="1"/>
    </w:lvl>
    <w:lvl w:ilvl="1">
      <w:lvlJc w:val="left"/>
      <w:lvlText w:val="-"/>
      <w:numFmt w:val="bullet"/>
      <w:start w:val="1"/>
    </w:lvl>
  </w:abstractNum>
  <w:abstractNum w:abstractNumId="13">
    <w:nsid w:val="1381823A"/>
    <w:multiLevelType w:val="hybridMultilevel"/>
    <w:lvl w:ilvl="0">
      <w:lvlJc w:val="left"/>
      <w:lvlText w:val="%1."/>
      <w:numFmt w:val="lowerLetter"/>
      <w:start w:val="4"/>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1)"/>
      <w:numFmt w:val="decimal"/>
      <w:start w:val="1"/>
    </w:lvl>
    <w:lvl w:ilvl="1">
      <w:lvlJc w:val="left"/>
      <w:lvlText w:val="-"/>
      <w:numFmt w:val="bullet"/>
      <w:start w:val="1"/>
    </w:lvl>
  </w:abstractNum>
  <w:abstractNum w:abstractNumId="16">
    <w:nsid w:val="6590700B"/>
    <w:multiLevelType w:val="hybridMultilevel"/>
    <w:lvl w:ilvl="0">
      <w:lvlJc w:val="left"/>
      <w:lvlText w:val="(%1)"/>
      <w:numFmt w:val="decimal"/>
      <w:start w:val="3"/>
    </w:lvl>
  </w:abstractNum>
  <w:abstractNum w:abstractNumId="17">
    <w:nsid w:val="15014ACB"/>
    <w:multiLevelType w:val="hybridMultilevel"/>
    <w:lvl w:ilvl="0">
      <w:lvlJc w:val="left"/>
      <w:lvlText w:val="(%1)"/>
      <w:numFmt w:val="decimal"/>
      <w:start w:val="1"/>
    </w:lvl>
    <w:lvl w:ilvl="1">
      <w:lvlJc w:val="left"/>
      <w:lvlText w:val="-"/>
      <w:numFmt w:val="bullet"/>
      <w:start w:val="1"/>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
      <w:numFmt w:val="bullet"/>
      <w:start w:val="1"/>
    </w:lvl>
    <w:lvl w:ilvl="1">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lvl w:ilvl="1">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lvl w:ilvl="1">
      <w:lvlJc w:val="left"/>
      <w:lvlText w:val="-"/>
      <w:numFmt w:val="bullet"/>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lvl w:ilvl="1">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lvl w:ilvl="1">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1)"/>
      <w:numFmt w:val="decimal"/>
      <w:start w:val="1"/>
    </w:lvl>
  </w:abstractNum>
  <w:abstractNum w:abstractNumId="35">
    <w:nsid w:val="8F2B15E"/>
    <w:multiLevelType w:val="hybridMultilevel"/>
    <w:lvl w:ilvl="0">
      <w:lvlJc w:val="left"/>
      <w:lvlText w:val="(%1)"/>
      <w:numFmt w:val="decimal"/>
      <w:start w:val="1"/>
    </w:lvl>
    <w:lvl w:ilvl="1">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1)"/>
      <w:numFmt w:val="decimal"/>
      <w:start w:val="1"/>
    </w:lvl>
  </w:abstractNum>
  <w:abstractNum w:abstractNumId="59">
    <w:nsid w:val="2DF6D648"/>
    <w:multiLevelType w:val="hybridMultilevel"/>
    <w:lvl w:ilvl="0">
      <w:lvlJc w:val="left"/>
      <w:lvlText w:val="(%1)"/>
      <w:numFmt w:val="decimal"/>
      <w:start w:val="1"/>
    </w:lvl>
  </w:abstractNum>
  <w:abstractNum w:abstractNumId="60">
    <w:nsid w:val="46B7D447"/>
    <w:multiLevelType w:val="hybridMultilevel"/>
    <w:lvl w:ilvl="0">
      <w:lvlJc w:val="left"/>
      <w:lvlText w:val="(%1)"/>
      <w:numFmt w:val="lowerRoman"/>
      <w:start w:val="1"/>
    </w:lvl>
  </w:abstractNum>
  <w:abstractNum w:abstractNumId="61">
    <w:nsid w:val="4A2AC315"/>
    <w:multiLevelType w:val="hybridMultilevel"/>
    <w:lvl w:ilvl="0">
      <w:lvlJc w:val="left"/>
      <w:lvlText w:val="(%1)"/>
      <w:numFmt w:val="lowerRoman"/>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1)"/>
      <w:numFmt w:val="decimal"/>
      <w:start w:val="1"/>
    </w:lvl>
    <w:lvl w:ilvl="1">
      <w:lvlJc w:val="left"/>
      <w:lvlText w:val="-"/>
      <w:numFmt w:val="bullet"/>
      <w:start w:val="1"/>
    </w:lvl>
  </w:abstractNum>
  <w:abstractNum w:abstractNumId="64">
    <w:nsid w:val="CC1016F"/>
    <w:multiLevelType w:val="hybridMultilevel"/>
    <w:lvl w:ilvl="0">
      <w:lvlJc w:val="left"/>
      <w:lvlText w:val="(%1)"/>
      <w:numFmt w:val="decimal"/>
      <w:start w:val="1"/>
    </w:lvl>
    <w:lvl w:ilvl="1">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1)"/>
      <w:numFmt w:val="decimal"/>
      <w:start w:val="1"/>
    </w:lvl>
  </w:abstractNum>
  <w:abstractNum w:abstractNumId="67">
    <w:nsid w:val="26F324BA"/>
    <w:multiLevelType w:val="hybridMultilevel"/>
    <w:lvl w:ilvl="0">
      <w:lvlJc w:val="left"/>
      <w:lvlText w:val="(%1)"/>
      <w:numFmt w:val="decimal"/>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lvl w:ilvl="1">
      <w:lvlJc w:val="left"/>
      <w:lvlText w:val="-"/>
      <w:numFmt w:val="bullet"/>
      <w:start w:val="1"/>
    </w:lvl>
  </w:abstractNum>
  <w:abstractNum w:abstractNumId="70">
    <w:nsid w:val="7055A5F5"/>
    <w:multiLevelType w:val="hybridMultilevel"/>
    <w:lvl w:ilvl="0">
      <w:lvlJc w:val="left"/>
      <w:lvlText w:val="(%1)"/>
      <w:numFmt w:val="lowerRoman"/>
      <w:start w:val="1"/>
    </w:lvl>
  </w:abstractNum>
  <w:abstractNum w:abstractNumId="71">
    <w:nsid w:val="5FB8370B"/>
    <w:multiLevelType w:val="hybridMultilevel"/>
    <w:lvl w:ilvl="0">
      <w:lvlJc w:val="left"/>
      <w:lvlText w:val="(%1)"/>
      <w:numFmt w:val="lowerRoman"/>
      <w:start w:val="1"/>
    </w:lvl>
  </w:abstractNum>
  <w:abstractNum w:abstractNumId="72">
    <w:nsid w:val="50801EE1"/>
    <w:multiLevelType w:val="hybridMultilevel"/>
    <w:lvl w:ilvl="0">
      <w:lvlJc w:val="left"/>
      <w:lvlText w:val="(%1)"/>
      <w:numFmt w:val="lowerRoman"/>
      <w:start w:val="1"/>
    </w:lvl>
  </w:abstractNum>
  <w:abstractNum w:abstractNumId="73">
    <w:nsid w:val="488AC1A"/>
    <w:multiLevelType w:val="hybridMultilevel"/>
    <w:lvl w:ilvl="0">
      <w:lvlJc w:val="left"/>
      <w:lvlText w:val="(%1)"/>
      <w:numFmt w:val="lowerRoman"/>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1)"/>
      <w:numFmt w:val="lowerRoman"/>
      <w:start w:val="2"/>
    </w:lvl>
  </w:abstractNum>
  <w:abstractNum w:abstractNumId="76">
    <w:nsid w:val="7672BD23"/>
    <w:multiLevelType w:val="hybridMultilevel"/>
    <w:lvl w:ilvl="0">
      <w:lvlJc w:val="left"/>
      <w:lvlText w:val="·"/>
      <w:numFmt w:val="bullet"/>
      <w:start w:val="1"/>
    </w:lvl>
    <w:lvl w:ilvl="1">
      <w:lvlJc w:val="left"/>
      <w:lvlText w:val="-"/>
      <w:numFmt w:val="bullet"/>
      <w:start w:val="1"/>
    </w:lvl>
  </w:abstractNum>
  <w:abstractNum w:abstractNumId="77">
    <w:nsid w:val="6FC75AF8"/>
    <w:multiLevelType w:val="hybridMultilevel"/>
    <w:lvl w:ilvl="0">
      <w:lvlJc w:val="left"/>
      <w:lvlText w:val="(%1)"/>
      <w:numFmt w:val="lowerRoman"/>
      <w:start w:val="1"/>
    </w:lvl>
  </w:abstractNum>
  <w:abstractNum w:abstractNumId="78">
    <w:nsid w:val="6A5F7029"/>
    <w:multiLevelType w:val="hybridMultilevel"/>
    <w:lvl w:ilvl="0">
      <w:lvlJc w:val="left"/>
      <w:lvlText w:val="(%1)"/>
      <w:numFmt w:val="lowerRoman"/>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1)"/>
      <w:numFmt w:val="lowerRoman"/>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v"/>
      <w:numFmt w:val="bullet"/>
      <w:start w:val="1"/>
    </w:lvl>
    <w:lvl w:ilvl="1">
      <w:lvlJc w:val="left"/>
      <w:lvlText w:val="·"/>
      <w:numFmt w:val="bullet"/>
      <w:start w:val="1"/>
    </w:lvl>
    <w:lvl w:ilvl="2">
      <w:lvlJc w:val="left"/>
      <w:lvlText w:val="-"/>
      <w:numFmt w:val="bullet"/>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1)"/>
      <w:numFmt w:val="decimal"/>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1)"/>
      <w:numFmt w:val="decimal"/>
      <w:start w:val="1"/>
    </w:lvl>
    <w:lvl w:ilvl="1">
      <w:lvlJc w:val="left"/>
      <w:lvlText w:val="-"/>
      <w:numFmt w:val="bullet"/>
      <w:start w:val="1"/>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1)"/>
      <w:numFmt w:val="decimal"/>
      <w:start w:val="1"/>
    </w:lvl>
  </w:abstractNum>
  <w:abstractNum w:abstractNumId="90">
    <w:nsid w:val="1FBFE8E0"/>
    <w:multiLevelType w:val="hybridMultilevel"/>
    <w:lvl w:ilvl="0">
      <w:lvlJc w:val="left"/>
      <w:lvlText w:val="(%1)"/>
      <w:numFmt w:val="decimal"/>
      <w:start w:val="1"/>
    </w:lvl>
  </w:abstractNum>
  <w:abstractNum w:abstractNumId="91">
    <w:nsid w:val="5092CA79"/>
    <w:multiLevelType w:val="hybridMultilevel"/>
    <w:lvl w:ilvl="0">
      <w:lvlJc w:val="left"/>
      <w:lvlText w:val="(%1)"/>
      <w:numFmt w:val="decimal"/>
      <w:start w:val="1"/>
    </w:lvl>
  </w:abstractNum>
  <w:abstractNum w:abstractNumId="92">
    <w:nsid w:val="1D545C4D"/>
    <w:multiLevelType w:val="hybridMultilevel"/>
    <w:lvl w:ilvl="0">
      <w:lvlJc w:val="left"/>
      <w:lvlText w:val="·"/>
      <w:numFmt w:val="bullet"/>
      <w:start w:val="1"/>
    </w:lvl>
    <w:lvl w:ilvl="1">
      <w:lvlJc w:val="left"/>
      <w:lvlText w:val="-"/>
      <w:numFmt w:val="bullet"/>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1)"/>
      <w:numFmt w:val="decimal"/>
      <w:start w:val="1"/>
    </w:lvl>
  </w:abstractNum>
  <w:abstractNum w:abstractNumId="95">
    <w:nsid w:val="2A155DBC"/>
    <w:multiLevelType w:val="hybridMultilevel"/>
    <w:lvl w:ilvl="0">
      <w:lvlJc w:val="left"/>
      <w:lvlText w:val="·"/>
      <w:numFmt w:val="bullet"/>
      <w:start w:val="1"/>
    </w:lvl>
    <w:lvl w:ilvl="1">
      <w:lvlJc w:val="left"/>
      <w:lvlText w:val="%2."/>
      <w:numFmt w:val="lowerRoman"/>
      <w:start w:val="1"/>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1)"/>
      <w:numFmt w:val="lowerRoman"/>
      <w:start w:val="1"/>
    </w:lvl>
  </w:abstractNum>
  <w:abstractNum w:abstractNumId="98">
    <w:nsid w:val="51088277"/>
    <w:multiLevelType w:val="hybridMultilevel"/>
    <w:lvl w:ilvl="0">
      <w:lvlJc w:val="left"/>
      <w:lvlText w:val="(%1)"/>
      <w:numFmt w:val="decimal"/>
      <w:start w:val="1"/>
    </w:lvl>
  </w:abstractNum>
  <w:abstractNum w:abstractNumId="99">
    <w:nsid w:val="1CA0C5FA"/>
    <w:multiLevelType w:val="hybridMultilevel"/>
    <w:lvl w:ilvl="0">
      <w:lvlJc w:val="left"/>
      <w:lvlText w:val="(%1)"/>
      <w:numFmt w:val="decimal"/>
      <w:start w:val="1"/>
    </w:lvl>
  </w:abstractNum>
  <w:abstractNum w:abstractNumId="100">
    <w:nsid w:val="53584BCB"/>
    <w:multiLevelType w:val="hybridMultilevel"/>
    <w:lvl w:ilvl="0">
      <w:lvlJc w:val="left"/>
      <w:lvlText w:val="%1."/>
      <w:numFmt w:val="decimal"/>
      <w:start w:val="1"/>
    </w:lvl>
  </w:abstractNum>
  <w:abstractNum w:abstractNumId="101">
    <w:nsid w:val="415E286C"/>
    <w:multiLevelType w:val="hybridMultilevel"/>
    <w:lvl w:ilvl="0">
      <w:lvlJc w:val="left"/>
      <w:lvlText w:val="(%1)"/>
      <w:numFmt w:val="lowerLetter"/>
      <w:start w:val="3"/>
    </w:lvl>
  </w:abstractNum>
  <w:abstractNum w:abstractNumId="102">
    <w:nsid w:val="7C58FD05"/>
    <w:multiLevelType w:val="hybridMultilevel"/>
    <w:lvl w:ilvl="0">
      <w:lvlJc w:val="left"/>
      <w:lvlText w:val="+"/>
      <w:numFmt w:val="bullet"/>
      <w:start w:val="1"/>
    </w:lvl>
    <w:lvl w:ilvl="1">
      <w:lvlJc w:val="left"/>
      <w:lvlText w:val="*"/>
      <w:numFmt w:val="bullet"/>
      <w:start w:val="1"/>
    </w:lvl>
  </w:abstractNum>
  <w:abstractNum w:abstractNumId="103">
    <w:nsid w:val="23D86AAC"/>
    <w:multiLevelType w:val="hybridMultilevel"/>
    <w:lvl w:ilvl="0">
      <w:lvlJc w:val="left"/>
      <w:lvlText w:val="1"/>
      <w:numFmt w:val="bullet"/>
      <w:start w:val="1"/>
    </w:lvl>
  </w:abstractNum>
  <w:abstractNum w:abstractNumId="104">
    <w:nsid w:val="45E6D486"/>
    <w:multiLevelType w:val="hybridMultilevel"/>
    <w:lvl w:ilvl="0">
      <w:lvlJc w:val="left"/>
      <w:lvlText w:val="%1."/>
      <w:numFmt w:val="decimal"/>
      <w:start w:val="1"/>
    </w:lvl>
  </w:abstractNum>
  <w:abstractNum w:abstractNumId="105">
    <w:nsid w:val="5C10FE21"/>
    <w:multiLevelType w:val="hybridMultilevel"/>
    <w:lvl w:ilvl="0">
      <w:lvlJc w:val="left"/>
      <w:lvlText w:val="(%1)"/>
      <w:numFmt w:val="lowerLetter"/>
      <w:start w:val="1"/>
    </w:lvl>
  </w:abstractNum>
  <w:abstractNum w:abstractNumId="106">
    <w:nsid w:val="E7FFA2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7">
    <w:nsid w:val="3C5991AA"/>
    <w:multiLevelType w:val="hybridMultilevel"/>
    <w:lvl w:ilvl="0">
      <w:lvlJc w:val="left"/>
      <w:lvlText w:val="%1"/>
      <w:numFmt w:val="lowerRoman"/>
      <w:start w:val="1"/>
    </w:lvl>
    <w:lvl w:ilvl="1">
      <w:lvlJc w:val="left"/>
      <w:lvlText w:val="(%2)"/>
      <w:numFmt w:val="decimal"/>
      <w:start w:val="1"/>
    </w:lvl>
  </w:abstractNum>
  <w:abstractNum w:abstractNumId="108">
    <w:nsid w:val="4BD8591A"/>
    <w:multiLevelType w:val="hybridMultilevel"/>
    <w:lvl w:ilvl="0">
      <w:lvlJc w:val="left"/>
      <w:lvlText w:val="(%1)"/>
      <w:numFmt w:val="lowerRoman"/>
      <w:start w:val="3"/>
    </w:lvl>
    <w:lvl w:ilvl="1">
      <w:lvlJc w:val="left"/>
      <w:lvlText w:val="%2"/>
      <w:numFmt w:val="decimal"/>
      <w:start w:val="1"/>
    </w:lvl>
  </w:abstractNum>
  <w:abstractNum w:abstractNumId="109">
    <w:nsid w:val="78DF6A55"/>
    <w:multiLevelType w:val="hybridMultilevel"/>
    <w:lvl w:ilvl="0">
      <w:lvlJc w:val="left"/>
      <w:lvlText w:val="%1"/>
      <w:numFmt w:val="lowerRoman"/>
      <w:start w:val="1"/>
    </w:lvl>
    <w:lvl w:ilvl="1">
      <w:lvlJc w:val="left"/>
      <w:lvlText w:val="(%2)"/>
      <w:numFmt w:val="upperLetter"/>
      <w:start w:val="1"/>
    </w:lvl>
  </w:abstractNum>
  <w:abstractNum w:abstractNumId="110">
    <w:nsid w:val="39B7AAA2"/>
    <w:multiLevelType w:val="hybridMultilevel"/>
    <w:lvl w:ilvl="0">
      <w:lvlJc w:val="left"/>
      <w:lvlText w:val="(%1)"/>
      <w:numFmt w:val="lowerRoman"/>
      <w:start w:val="4"/>
    </w:lvl>
    <w:lvl w:ilvl="1">
      <w:lvlJc w:val="left"/>
      <w:lvlText w:val="%2"/>
      <w:numFmt w:val="upperLetter"/>
      <w:start w:val="1"/>
    </w:lvl>
  </w:abstractNum>
  <w:abstractNum w:abstractNumId="111">
    <w:nsid w:val="2B0D8DBE"/>
    <w:multiLevelType w:val="hybridMultilevel"/>
    <w:lvl w:ilvl="0">
      <w:lvlJc w:val="left"/>
      <w:lvlText w:val="%1"/>
      <w:numFmt w:val="lowerRoman"/>
      <w:start w:val="1"/>
    </w:lvl>
    <w:lvl w:ilvl="1">
      <w:lvlJc w:val="left"/>
      <w:lvlText w:val="(%2)"/>
      <w:numFmt w:val="lowerRoman"/>
      <w:start w:val="6"/>
    </w:lvl>
  </w:abstractNum>
  <w:abstractNum w:abstractNumId="112">
    <w:nsid w:val="6C80EC70"/>
    <w:multiLevelType w:val="hybridMultilevel"/>
    <w:lvl w:ilvl="0">
      <w:lvlJc w:val="left"/>
      <w:lvlText w:val="(%1)"/>
      <w:numFmt w:val="lowerRoman"/>
      <w:start w:val="3"/>
    </w:lvl>
    <w:lvl w:ilvl="1">
      <w:lvlJc w:val="left"/>
      <w:lvlText w:val="(%2)"/>
      <w:numFmt w:val="lowerRoman"/>
      <w:start w:val="7"/>
    </w:lvl>
  </w:abstractNum>
  <w:abstractNum w:abstractNumId="113">
    <w:nsid w:val="379E21B5"/>
    <w:multiLevelType w:val="hybridMultilevel"/>
    <w:lvl w:ilvl="0">
      <w:lvlJc w:val="left"/>
      <w:lvlText w:val="%1."/>
      <w:numFmt w:val="decimal"/>
      <w:start w:val="3"/>
    </w:lvl>
  </w:abstractNum>
  <w:abstractNum w:abstractNumId="114">
    <w:nsid w:val="69E373"/>
    <w:multiLevelType w:val="hybridMultilevel"/>
    <w:lvl w:ilvl="0">
      <w:lvlJc w:val="left"/>
      <w:lvlText w:val="%1."/>
      <w:numFmt w:val="decimal"/>
      <w:start w:val="6"/>
    </w:lvl>
  </w:abstractNum>
  <w:abstractNum w:abstractNumId="115">
    <w:nsid w:val="2C27173B"/>
    <w:multiLevelType w:val="hybridMultilevel"/>
    <w:lvl w:ilvl="0">
      <w:lvlJc w:val="left"/>
      <w:lvlText w:val="%1."/>
      <w:numFmt w:val="decimal"/>
      <w:start w:val="8"/>
    </w:lvl>
  </w:abstractNum>
  <w:abstractNum w:abstractNumId="116">
    <w:nsid w:val="4C9B0904"/>
    <w:multiLevelType w:val="hybridMultilevel"/>
    <w:lvl w:ilvl="0">
      <w:lvlJc w:val="left"/>
      <w:lvlText w:val="%1."/>
      <w:numFmt w:val="decimal"/>
      <w:start w:val="15"/>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84" Type="http://schemas.openxmlformats.org/officeDocument/2006/relationships/image" Target="media/image264.png"/><Relationship Id="rId289"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jpe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271" Type="http://schemas.openxmlformats.org/officeDocument/2006/relationships/hyperlink" Target="http://www.sec.gov/Archives/edgar/data/716634/000071663416000067/rdi-20151231xex3_1.htm" TargetMode="External"/><Relationship Id="rId272" Type="http://schemas.openxmlformats.org/officeDocument/2006/relationships/hyperlink" Target="http://www.sec.gov/Archives/edgar/data/716634/000071663418000006/rdi-20171231xex3_2.htm" TargetMode="External"/><Relationship Id="rId273" Type="http://schemas.openxmlformats.org/officeDocument/2006/relationships/hyperlink" Target="http://www.sec.gov/Archives/edgar/data/716634/000071663407000004/ex4_1.htm" TargetMode="External"/><Relationship Id="rId274" Type="http://schemas.openxmlformats.org/officeDocument/2006/relationships/hyperlink" Target="http://www.sec.gov/Archives/edgar/data/716634/000071663407000004/ex4_2.htm" TargetMode="External"/><Relationship Id="rId275" Type="http://schemas.openxmlformats.org/officeDocument/2006/relationships/hyperlink" Target="http://www.sec.gov/Archives/edgar/data/716634/000071663407000004/ex4_3.htm" TargetMode="External"/><Relationship Id="rId276" Type="http://schemas.openxmlformats.org/officeDocument/2006/relationships/hyperlink" Target="http://www.sec.gov/Archives/edgar/data/716634/000071663407000004/ex10_4.htm" TargetMode="External"/><Relationship Id="rId277" Type="http://schemas.openxmlformats.org/officeDocument/2006/relationships/hyperlink" Target="http://www.sec.gov/Archives/edgar/data/716634/000071663409000036/exhibit4_4.htm" TargetMode="External"/><Relationship Id="rId278" Type="http://schemas.openxmlformats.org/officeDocument/2006/relationships/hyperlink" Target="http://www.sec.gov/Archives/edgar/data/716634/000071663418000006/rdi-20171231xex10_1.htm" TargetMode="External"/><Relationship Id="rId279" Type="http://schemas.openxmlformats.org/officeDocument/2006/relationships/hyperlink" Target="http://www.sec.gov/Archives/edgar/data/716634/000095015004000085/a91506orexv4w1.txt" TargetMode="External"/><Relationship Id="rId280" Type="http://schemas.openxmlformats.org/officeDocument/2006/relationships/hyperlink" Target="http://www.sec.gov/Archives/edgar/data/716634/000071663410000014/exhibit4_2.htm" TargetMode="External"/><Relationship Id="rId281" Type="http://schemas.openxmlformats.org/officeDocument/2006/relationships/hyperlink" Target="http://www.sec.gov/Archives/edgar/data/716634/000071663410000014/exhibit4_3.htm" TargetMode="External"/><Relationship Id="rId282" Type="http://schemas.openxmlformats.org/officeDocument/2006/relationships/hyperlink" Target="http://www.sec.gov/Archives/edgar/data/716634/000071663410000014/exhibit4_4.htm" TargetMode="External"/><Relationship Id="rId283" Type="http://schemas.openxmlformats.org/officeDocument/2006/relationships/hyperlink" Target="http://www.sec.gov/Archives/edgar/data/716634/000071663410000014/exhibit4_5.htm" TargetMode="External"/><Relationship Id="rId285" Type="http://schemas.openxmlformats.org/officeDocument/2006/relationships/hyperlink" Target="http://www.sec.gov/Archives/edgar/data/716634/000095015003000386/a88762exv10w40.txt" TargetMode="External"/><Relationship Id="rId286" Type="http://schemas.openxmlformats.org/officeDocument/2006/relationships/hyperlink" Target="http://www.sec.gov/Archives/edgar/data/716634/000095012905009355/a12618exv10w58.htm" TargetMode="External"/><Relationship Id="rId287" Type="http://schemas.openxmlformats.org/officeDocument/2006/relationships/hyperlink" Target="http://www.sec.gov/Archives/edgar/data/716634/000095012905009355/a12618exv10w56.htm" TargetMode="External"/><Relationship Id="rId288" Type="http://schemas.openxmlformats.org/officeDocument/2006/relationships/hyperlink" Target="http://www.sec.gov/Archives/edgar/data/716634/000071663411000002/exhibit10_21.htm" TargetMode="External"/><Relationship Id="rId290" Type="http://schemas.openxmlformats.org/officeDocument/2006/relationships/hyperlink" Target="http://www.sec.gov/Archives/edgar/data/716634/000095015003001354/a94399exv10w49.txt" TargetMode="External"/><Relationship Id="rId291" Type="http://schemas.openxmlformats.org/officeDocument/2006/relationships/hyperlink" Target="http://www.sec.gov/Archives/edgar/data/716634/000095015003000386/a88762exv10w47.txt" TargetMode="External"/><Relationship Id="rId292" Type="http://schemas.openxmlformats.org/officeDocument/2006/relationships/hyperlink" Target="http://www.sec.gov/Archives/edgar/data/716634/000071663407000004/ex10_2.htm" TargetMode="External"/><Relationship Id="rId293" Type="http://schemas.openxmlformats.org/officeDocument/2006/relationships/hyperlink" Target="http://www.sec.gov/Archives/edgar/data/716634/000071663416000067/rdi-20151231xex10_9.htm" TargetMode="External"/><Relationship Id="rId294" Type="http://schemas.openxmlformats.org/officeDocument/2006/relationships/hyperlink" Target="http://www.sec.gov/Archives/edgar/data/716634/000071663416000067/rdi-20151231xex10_10.htm" TargetMode="External"/><Relationship Id="rId295" Type="http://schemas.openxmlformats.org/officeDocument/2006/relationships/hyperlink" Target="http://www.sec.gov/Archives/edgar/data/716634/000071663413000017/rdi-20121231ex103112c99.htm" TargetMode="External"/><Relationship Id="rId296" Type="http://schemas.openxmlformats.org/officeDocument/2006/relationships/hyperlink" Target="http://www.sec.gov/Archives/edgar/data/716634/000071663413000017/rdi-20121231ex1032f121e.htm" TargetMode="External"/><Relationship Id="rId297" Type="http://schemas.openxmlformats.org/officeDocument/2006/relationships/hyperlink" Target="http://www.sec.gov/Archives/edgar/data/716634/000071663408000031/exhibit10_77.htm" TargetMode="External"/><Relationship Id="rId298" Type="http://schemas.openxmlformats.org/officeDocument/2006/relationships/hyperlink" Target="http://www.sec.gov/Archives/edgar/data/716634/000071663415000015/rdi-20150331ex10122347a.htm" TargetMode="External"/><Relationship Id="rId299" Type="http://schemas.openxmlformats.org/officeDocument/2006/relationships/hyperlink" Target="http://www.sec.gov/Archives/edgar/data/716634/000071663416000067/rdi-20151231xex10_19.htm" TargetMode="External"/><Relationship Id="rId300" Type="http://schemas.openxmlformats.org/officeDocument/2006/relationships/hyperlink" Target="http://www.sec.gov/Archives/edgar/data/716634/000071663416000067/rdi-20151231xex10_20.htm" TargetMode="External"/><Relationship Id="rId301" Type="http://schemas.openxmlformats.org/officeDocument/2006/relationships/hyperlink" Target="http://www.sec.gov/Archives/edgar/data/716634/000071663416000067/rdi-20151231xex10_21.htm" TargetMode="External"/><Relationship Id="rId302" Type="http://schemas.openxmlformats.org/officeDocument/2006/relationships/hyperlink" Target="http://www.sec.gov/Archives/edgar/data/716634/000071663416000067/rdi-20151231xex10_22.htm" TargetMode="External"/><Relationship Id="rId303" Type="http://schemas.openxmlformats.org/officeDocument/2006/relationships/hyperlink" Target="http://www.sec.gov/Archives/edgar/data/716634/000071663416000067/rdi-20151231xex10_23.htm" TargetMode="External"/><Relationship Id="rId304" Type="http://schemas.openxmlformats.org/officeDocument/2006/relationships/hyperlink" Target="http://www.sec.gov/Archives/edgar/data/716634/000071663416000067/rdi-20151231xex10_24.htm" TargetMode="External"/><Relationship Id="rId305" Type="http://schemas.openxmlformats.org/officeDocument/2006/relationships/hyperlink" Target="http://www.sec.gov/Archives/edgar/data/716634/000071663417000013/rdi-20161231xex10_25.htm" TargetMode="External"/><Relationship Id="rId306" Type="http://schemas.openxmlformats.org/officeDocument/2006/relationships/hyperlink" Target="http://www.sec.gov/Archives/edgar/data/716634/000071663417000007/rdi-20161231xex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2019-12-03T22:25:06Z</dcterms:created>
  <dcterms:modified xsi:type="dcterms:W3CDTF">2019-12-03T22:25:06Z</dcterms:modified>
</cp:coreProperties>
</file>