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19"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8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3" w:lineRule="exact"/>
        <w:rPr>
          <w:sz w:val="24"/>
          <w:szCs w:val="24"/>
          <w:color w:val="auto"/>
        </w:rPr>
      </w:pPr>
    </w:p>
    <w:p>
      <w:pPr>
        <w:ind w:left="8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7" w:lineRule="exact"/>
        <w:rPr>
          <w:sz w:val="24"/>
          <w:szCs w:val="24"/>
          <w:color w:val="auto"/>
        </w:rPr>
      </w:pPr>
    </w:p>
    <w:p>
      <w:pPr>
        <w:ind w:left="840"/>
        <w:spacing w:after="0"/>
        <w:rPr>
          <w:sz w:val="20"/>
          <w:szCs w:val="20"/>
          <w:color w:val="auto"/>
        </w:rPr>
      </w:pPr>
      <w:r>
        <w:rPr>
          <w:rFonts w:ascii="Arial" w:cs="Arial" w:eastAsia="Arial" w:hAnsi="Arial"/>
          <w:sz w:val="18"/>
          <w:szCs w:val="18"/>
          <w:color w:val="auto"/>
        </w:rPr>
        <w:t>Check the appropriate box:</w:t>
      </w:r>
    </w:p>
    <w:p>
      <w:pPr>
        <w:ind w:left="1680" w:hanging="200"/>
        <w:spacing w:after="0" w:line="211" w:lineRule="auto"/>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2120" w:right="2019" w:hanging="640"/>
        <w:spacing w:after="0" w:line="207" w:lineRule="auto"/>
        <w:tabs>
          <w:tab w:leader="none" w:pos="167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 w:lineRule="exact"/>
        <w:rPr>
          <w:sz w:val="24"/>
          <w:szCs w:val="24"/>
          <w:color w:val="auto"/>
        </w:rPr>
      </w:pPr>
    </w:p>
    <w:p>
      <w:pPr>
        <w:ind w:left="1480" w:right="5059"/>
        <w:spacing w:after="0" w:line="179" w:lineRule="exact"/>
        <w:tabs>
          <w:tab w:leader="none" w:pos="168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 xml:space="preserve">Definitive Proxy Statement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Additional Materials</w:t>
      </w:r>
    </w:p>
    <w:p>
      <w:pPr>
        <w:ind w:left="1480"/>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Sec. 240.14a-12</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169"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840"/>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1040" w:hanging="208"/>
        <w:spacing w:after="0"/>
        <w:tabs>
          <w:tab w:leader="none" w:pos="10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3" w:lineRule="exact"/>
        <w:rPr>
          <w:sz w:val="24"/>
          <w:szCs w:val="24"/>
          <w:color w:val="auto"/>
        </w:rPr>
      </w:pPr>
    </w:p>
    <w:p>
      <w:pPr>
        <w:ind w:left="1040" w:hanging="208"/>
        <w:spacing w:after="0"/>
        <w:tabs>
          <w:tab w:leader="none" w:pos="10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ind w:left="1740" w:hanging="260"/>
        <w:spacing w:after="0" w:line="203" w:lineRule="auto"/>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__________</w:t>
      </w:r>
    </w:p>
    <w:p>
      <w:pPr>
        <w:ind w:left="1740" w:hanging="260"/>
        <w:spacing w:after="0" w:line="203" w:lineRule="auto"/>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__________</w:t>
      </w:r>
    </w:p>
    <w:p>
      <w:pPr>
        <w:ind w:left="1740" w:hanging="260"/>
        <w:spacing w:after="0" w:line="232" w:lineRule="auto"/>
        <w:tabs>
          <w:tab w:leader="none" w:pos="174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w:t>
      </w:r>
    </w:p>
    <w:p>
      <w:pPr>
        <w:ind w:left="2120" w:right="1739"/>
        <w:spacing w:after="0" w:line="203" w:lineRule="auto"/>
        <w:rPr>
          <w:sz w:val="20"/>
          <w:szCs w:val="20"/>
          <w:color w:val="auto"/>
        </w:rPr>
      </w:pPr>
      <w:r>
        <w:rPr>
          <w:rFonts w:ascii="Arial" w:cs="Arial" w:eastAsia="Arial" w:hAnsi="Arial"/>
          <w:sz w:val="18"/>
          <w:szCs w:val="18"/>
          <w:color w:val="auto"/>
        </w:rPr>
        <w:t>Exchange Act Rule 0-11 (set forth the amount on which the filing fee is calculated and state how it was determined): __________</w:t>
      </w:r>
    </w:p>
    <w:p>
      <w:pPr>
        <w:ind w:left="1740" w:hanging="260"/>
        <w:spacing w:after="0" w:line="220" w:lineRule="auto"/>
        <w:tabs>
          <w:tab w:leader="none" w:pos="174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__________</w:t>
      </w:r>
    </w:p>
    <w:p>
      <w:pPr>
        <w:ind w:left="1740" w:hanging="260"/>
        <w:spacing w:after="0"/>
        <w:tabs>
          <w:tab w:leader="none" w:pos="17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 __________</w:t>
      </w:r>
    </w:p>
    <w:p>
      <w:pPr>
        <w:spacing w:after="0" w:line="168" w:lineRule="exact"/>
        <w:rPr>
          <w:rFonts w:ascii="Arial" w:cs="Arial" w:eastAsia="Arial" w:hAnsi="Arial"/>
          <w:sz w:val="18"/>
          <w:szCs w:val="18"/>
          <w:color w:val="auto"/>
        </w:rPr>
      </w:pPr>
    </w:p>
    <w:p>
      <w:pPr>
        <w:ind w:left="1040" w:hanging="208"/>
        <w:spacing w:after="0"/>
        <w:tabs>
          <w:tab w:leader="none" w:pos="104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840" w:right="2319" w:hanging="656"/>
        <w:spacing w:after="0" w:line="212" w:lineRule="auto"/>
        <w:tabs>
          <w:tab w:leader="none" w:pos="399"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740" w:hanging="260"/>
        <w:spacing w:after="0" w:line="219" w:lineRule="auto"/>
        <w:tabs>
          <w:tab w:leader="none" w:pos="1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Amount Previously Paid: __________</w:t>
      </w:r>
    </w:p>
    <w:p>
      <w:pPr>
        <w:ind w:left="1740" w:hanging="260"/>
        <w:spacing w:after="0" w:line="203" w:lineRule="auto"/>
        <w:tabs>
          <w:tab w:leader="none" w:pos="1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w:t>
      </w:r>
    </w:p>
    <w:p>
      <w:pPr>
        <w:ind w:left="1740" w:hanging="260"/>
        <w:spacing w:after="0" w:line="203" w:lineRule="auto"/>
        <w:tabs>
          <w:tab w:leader="none" w:pos="1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Filing Party: __________</w:t>
      </w:r>
    </w:p>
    <w:p>
      <w:pPr>
        <w:ind w:left="1740" w:hanging="260"/>
        <w:spacing w:after="0"/>
        <w:tabs>
          <w:tab w:leader="none" w:pos="1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Date Filed: __________</w:t>
      </w:r>
    </w:p>
    <w:p>
      <w:pPr>
        <w:spacing w:after="0" w:line="182" w:lineRule="exact"/>
        <w:rPr>
          <w:sz w:val="24"/>
          <w:szCs w:val="24"/>
          <w:color w:val="auto"/>
        </w:rPr>
      </w:pPr>
    </w:p>
    <w:p>
      <w:pPr>
        <w:ind w:left="180"/>
        <w:spacing w:after="0"/>
        <w:rPr>
          <w:sz w:val="20"/>
          <w:szCs w:val="20"/>
          <w:color w:val="auto"/>
        </w:rPr>
      </w:pPr>
      <w:r>
        <w:rPr>
          <w:rFonts w:ascii="Arial" w:cs="Arial" w:eastAsia="Arial" w:hAnsi="Arial"/>
          <w:sz w:val="13"/>
          <w:szCs w:val="13"/>
          <w:color w:val="auto"/>
        </w:rPr>
        <w:t>Active 691050160v2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104140</wp:posOffset>
            </wp:positionH>
            <wp:positionV relativeFrom="paragraph">
              <wp:posOffset>55245</wp:posOffset>
            </wp:positionV>
            <wp:extent cx="5528945"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663575</wp:posOffset>
            </wp:positionV>
            <wp:extent cx="1834515" cy="822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3451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w:t>
      </w:r>
    </w:p>
    <w:p>
      <w:pPr>
        <w:jc w:val="center"/>
        <w:ind w:right="19"/>
        <w:spacing w:after="0" w:line="203" w:lineRule="auto"/>
        <w:rPr>
          <w:sz w:val="20"/>
          <w:szCs w:val="20"/>
          <w:color w:val="auto"/>
        </w:rPr>
      </w:pPr>
      <w:r>
        <w:rPr>
          <w:rFonts w:ascii="Arial" w:cs="Arial" w:eastAsia="Arial" w:hAnsi="Arial"/>
          <w:sz w:val="18"/>
          <w:szCs w:val="18"/>
          <w:b w:val="1"/>
          <w:bCs w:val="1"/>
          <w:color w:val="auto"/>
        </w:rPr>
        <w:t>189 Second Avenue, Suite 2S</w:t>
      </w:r>
    </w:p>
    <w:p>
      <w:pPr>
        <w:jc w:val="center"/>
        <w:ind w:right="19"/>
        <w:spacing w:after="0"/>
        <w:rPr>
          <w:sz w:val="20"/>
          <w:szCs w:val="20"/>
          <w:color w:val="auto"/>
        </w:rPr>
      </w:pPr>
      <w:r>
        <w:rPr>
          <w:rFonts w:ascii="Arial" w:cs="Arial" w:eastAsia="Arial" w:hAnsi="Arial"/>
          <w:sz w:val="18"/>
          <w:szCs w:val="18"/>
          <w:b w:val="1"/>
          <w:bCs w:val="1"/>
          <w:color w:val="auto"/>
        </w:rPr>
        <w:t>New York, New York 10003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jc w:val="center"/>
        <w:ind w:right="19"/>
        <w:spacing w:after="0"/>
        <w:rPr>
          <w:sz w:val="20"/>
          <w:szCs w:val="20"/>
          <w:color w:val="auto"/>
        </w:rPr>
      </w:pPr>
      <w:r>
        <w:rPr>
          <w:rFonts w:ascii="Arial" w:cs="Arial" w:eastAsia="Arial" w:hAnsi="Arial"/>
          <w:sz w:val="18"/>
          <w:szCs w:val="18"/>
          <w:b w:val="1"/>
          <w:bCs w:val="1"/>
          <w:color w:val="auto"/>
        </w:rPr>
        <w:t>TO BE HELD by live interactive webcast ON thursday, DECEMBER 7, 2023</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OUR CLASS B STOCKHOLDERS:</w:t>
      </w:r>
    </w:p>
    <w:p>
      <w:pPr>
        <w:spacing w:after="0" w:line="158" w:lineRule="exact"/>
        <w:rPr>
          <w:sz w:val="20"/>
          <w:szCs w:val="20"/>
          <w:color w:val="auto"/>
        </w:rPr>
      </w:pPr>
    </w:p>
    <w:p>
      <w:pPr>
        <w:jc w:val="both"/>
        <w:ind w:left="180" w:right="199" w:firstLine="648"/>
        <w:spacing w:after="0" w:line="241" w:lineRule="auto"/>
        <w:rPr>
          <w:sz w:val="20"/>
          <w:szCs w:val="20"/>
          <w:color w:val="auto"/>
        </w:rPr>
      </w:pPr>
      <w:r>
        <w:rPr>
          <w:rFonts w:ascii="Arial" w:cs="Arial" w:eastAsia="Arial" w:hAnsi="Arial"/>
          <w:sz w:val="16"/>
          <w:szCs w:val="16"/>
          <w:color w:val="auto"/>
        </w:rPr>
        <w:t>I would like to invite you to participate in our 2023 Annual Meeting of Stockholders (our “Annual Meeting”) of Reading International, Inc., a Nevada corporation, to be held in a virtual format via live streaming webcast, on Thursday, December 7, 2023, commencing at 2:00 p.m., Eastern Time. We have held our last three annual meetings</w:t>
      </w:r>
    </w:p>
    <w:p>
      <w:pPr>
        <w:spacing w:after="0" w:line="2"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virtually, responding to the various concerns raised by the COVID pandemic. These virtual meetings have been well received, and have proven to be both more convenient and less costly than in-person meetings. Accordingly, we will continue to use this virtual format for our upcoming 2023 Annual Meeting. Consequently, there is no physical site for</w:t>
      </w:r>
    </w:p>
    <w:p>
      <w:pPr>
        <w:spacing w:after="0" w:line="2"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our meeting this year and you are invited to participate in the meeting over the Internet from your home, office or other remote location of your choosing.</w:t>
      </w:r>
    </w:p>
    <w:p>
      <w:pPr>
        <w:spacing w:after="0" w:line="134" w:lineRule="exact"/>
        <w:rPr>
          <w:sz w:val="20"/>
          <w:szCs w:val="20"/>
          <w:color w:val="auto"/>
        </w:rPr>
      </w:pPr>
    </w:p>
    <w:p>
      <w:pPr>
        <w:jc w:val="both"/>
        <w:ind w:left="180" w:right="199" w:firstLine="648"/>
        <w:spacing w:after="0" w:line="238" w:lineRule="auto"/>
        <w:rPr>
          <w:sz w:val="20"/>
          <w:szCs w:val="20"/>
          <w:color w:val="auto"/>
        </w:rPr>
      </w:pPr>
      <w:r>
        <w:rPr>
          <w:rFonts w:ascii="Arial" w:cs="Arial" w:eastAsia="Arial" w:hAnsi="Arial"/>
          <w:sz w:val="16"/>
          <w:szCs w:val="16"/>
          <w:color w:val="auto"/>
        </w:rPr>
        <w:t>Just as we have had a check-in process for our physical meetings to preserve the integrity of our meeting and our voting process and, consistent with last years’ meeting, we have established a registration process for this virtual meeting. The Company’s stock transfer agent, Computershare, Inc. (“Computershare”), is hosting our Annual Meeting and will pre-register all stockholders that held shares of Class B Voting Common Stock (“Class B Stock”) with</w:t>
      </w:r>
    </w:p>
    <w:p>
      <w:pPr>
        <w:spacing w:after="0" w:line="2" w:lineRule="exact"/>
        <w:rPr>
          <w:sz w:val="20"/>
          <w:szCs w:val="20"/>
          <w:color w:val="auto"/>
        </w:rPr>
      </w:pPr>
    </w:p>
    <w:p>
      <w:pPr>
        <w:jc w:val="both"/>
        <w:ind w:left="180" w:right="199"/>
        <w:spacing w:after="0" w:line="221" w:lineRule="auto"/>
        <w:rPr>
          <w:sz w:val="20"/>
          <w:szCs w:val="20"/>
          <w:color w:val="auto"/>
        </w:rPr>
      </w:pPr>
      <w:r>
        <w:rPr>
          <w:rFonts w:ascii="Arial" w:cs="Arial" w:eastAsia="Arial" w:hAnsi="Arial"/>
          <w:sz w:val="17"/>
          <w:szCs w:val="17"/>
          <w:color w:val="auto"/>
        </w:rPr>
        <w:t>Computershare on October 18, 2023. Any Class B stockholder that did not hold shares of Class B Stock at Computershare on October 18, 2023 will need to register with us in advance in order to participate in our Annual Meeting, by the registration deadline of 5:00 p.m., Eastern Time, on Monday, December 4, 2023 (“Registration</w:t>
      </w:r>
    </w:p>
    <w:p>
      <w:pPr>
        <w:jc w:val="both"/>
        <w:ind w:left="180" w:right="199"/>
        <w:spacing w:after="0" w:line="234" w:lineRule="auto"/>
        <w:rPr>
          <w:sz w:val="20"/>
          <w:szCs w:val="20"/>
          <w:color w:val="auto"/>
        </w:rPr>
      </w:pPr>
      <w:r>
        <w:rPr>
          <w:rFonts w:ascii="Arial" w:cs="Arial" w:eastAsia="Arial" w:hAnsi="Arial"/>
          <w:sz w:val="16"/>
          <w:szCs w:val="16"/>
          <w:color w:val="auto"/>
        </w:rPr>
        <w:t xml:space="preserve">Deadline”). See instructions under section </w:t>
      </w:r>
      <w:r>
        <w:rPr>
          <w:rFonts w:ascii="Arial" w:cs="Arial" w:eastAsia="Arial" w:hAnsi="Arial"/>
          <w:sz w:val="16"/>
          <w:szCs w:val="16"/>
          <w:i w:val="1"/>
          <w:iCs w:val="1"/>
          <w:color w:val="auto"/>
        </w:rPr>
        <w:t>– How Do I Register to Participate in the Virtual Annual Meeting</w:t>
      </w:r>
      <w:r>
        <w:rPr>
          <w:rFonts w:ascii="Arial" w:cs="Arial" w:eastAsia="Arial" w:hAnsi="Arial"/>
          <w:sz w:val="16"/>
          <w:szCs w:val="16"/>
          <w:color w:val="auto"/>
        </w:rPr>
        <w:t>. Even if you have participated in our virtual annual meetings before, we urge you not to wait until the last moment to register in case you encounter any difficulties with the registration process</w:t>
      </w:r>
      <w:r>
        <w:rPr>
          <w:rFonts w:ascii="Arial" w:cs="Arial" w:eastAsia="Arial" w:hAnsi="Arial"/>
          <w:sz w:val="16"/>
          <w:szCs w:val="16"/>
          <w:b w:val="1"/>
          <w:bCs w:val="1"/>
          <w:color w:val="auto"/>
        </w:rPr>
        <w:t>.</w:t>
      </w:r>
      <w:r>
        <w:rPr>
          <w:rFonts w:ascii="Arial" w:cs="Arial" w:eastAsia="Arial" w:hAnsi="Arial"/>
          <w:sz w:val="16"/>
          <w:szCs w:val="16"/>
          <w:color w:val="auto"/>
        </w:rPr>
        <w:t xml:space="preserve"> This process is explained in greater detail in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accompanying Proxy Statement.</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Upon completing your registration, you will receive further instructions via email, including a unique link that</w:t>
      </w:r>
    </w:p>
    <w:p>
      <w:pPr>
        <w:spacing w:after="0" w:line="21" w:lineRule="exact"/>
        <w:rPr>
          <w:sz w:val="20"/>
          <w:szCs w:val="20"/>
          <w:color w:val="auto"/>
        </w:rPr>
      </w:pPr>
    </w:p>
    <w:p>
      <w:pPr>
        <w:jc w:val="both"/>
        <w:ind w:left="180" w:right="199"/>
        <w:spacing w:after="0" w:line="234" w:lineRule="auto"/>
        <w:rPr>
          <w:sz w:val="20"/>
          <w:szCs w:val="20"/>
          <w:color w:val="auto"/>
        </w:rPr>
      </w:pPr>
      <w:r>
        <w:rPr>
          <w:rFonts w:ascii="Arial" w:cs="Arial" w:eastAsia="Arial" w:hAnsi="Arial"/>
          <w:sz w:val="16"/>
          <w:szCs w:val="16"/>
          <w:color w:val="auto"/>
        </w:rPr>
        <w:t>will allow you to access our meeting live on the Internet and permit you to vote and to communicate with our meeting using your control number and link found in your access email. Please note that, as in prior years, we are still soliciting your proxy and that, whether or not you choose to participate in our Annual Meeting, you may still vote by proxy in the</w:t>
      </w:r>
    </w:p>
    <w:p>
      <w:pPr>
        <w:spacing w:after="0" w:line="2" w:lineRule="exact"/>
        <w:rPr>
          <w:sz w:val="20"/>
          <w:szCs w:val="20"/>
          <w:color w:val="auto"/>
        </w:rPr>
      </w:pPr>
    </w:p>
    <w:p>
      <w:pPr>
        <w:jc w:val="both"/>
        <w:ind w:left="180" w:right="199"/>
        <w:spacing w:after="0" w:line="231" w:lineRule="auto"/>
        <w:rPr>
          <w:sz w:val="20"/>
          <w:szCs w:val="20"/>
          <w:color w:val="auto"/>
        </w:rPr>
      </w:pPr>
      <w:r>
        <w:rPr>
          <w:rFonts w:ascii="Arial" w:cs="Arial" w:eastAsia="Arial" w:hAnsi="Arial"/>
          <w:sz w:val="17"/>
          <w:szCs w:val="17"/>
          <w:color w:val="auto"/>
        </w:rPr>
        <w:t>same manner that you have in prior years. However, you can now also vote live on the Internet using their control number through the meeting website if you are the record holder of your shares of Class B Stock or, if you are the beneficial owner of such shares, have received a valid proxy from the record holder of such shares.</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purpose of our Annual Meeting is for our Class B stockholders to consider and vote upon the following</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matters:</w:t>
      </w:r>
    </w:p>
    <w:p>
      <w:pPr>
        <w:spacing w:after="0" w:line="142" w:lineRule="exact"/>
        <w:rPr>
          <w:sz w:val="20"/>
          <w:szCs w:val="20"/>
          <w:color w:val="auto"/>
        </w:rPr>
      </w:pPr>
    </w:p>
    <w:p>
      <w:pPr>
        <w:ind w:left="1480" w:right="199" w:hanging="648"/>
        <w:spacing w:after="0" w:line="23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five (5) Directors to serve until our Company’s 2024 Annual Meeting of Stockholders or until their successors are duly elected and qualified;</w:t>
      </w:r>
    </w:p>
    <w:p>
      <w:pPr>
        <w:spacing w:after="0" w:line="134" w:lineRule="exact"/>
        <w:rPr>
          <w:rFonts w:ascii="Arial" w:cs="Arial" w:eastAsia="Arial" w:hAnsi="Arial"/>
          <w:sz w:val="18"/>
          <w:szCs w:val="18"/>
          <w:color w:val="auto"/>
        </w:rPr>
      </w:pPr>
    </w:p>
    <w:p>
      <w:pPr>
        <w:ind w:left="1480" w:right="199" w:hanging="648"/>
        <w:spacing w:after="0" w:line="23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Company’s Independent Registered Public Accounting Firm for the fiscal year ended December 31, 2023;</w:t>
      </w:r>
    </w:p>
    <w:p>
      <w:pPr>
        <w:spacing w:after="0" w:line="134" w:lineRule="exact"/>
        <w:rPr>
          <w:rFonts w:ascii="Arial" w:cs="Arial" w:eastAsia="Arial" w:hAnsi="Arial"/>
          <w:sz w:val="18"/>
          <w:szCs w:val="18"/>
          <w:color w:val="auto"/>
        </w:rPr>
      </w:pPr>
    </w:p>
    <w:p>
      <w:pPr>
        <w:ind w:left="1480" w:right="199" w:hanging="648"/>
        <w:spacing w:after="0" w:line="23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 non-binding, advisory basis, the executive compensation of our named executive officers;</w:t>
      </w:r>
    </w:p>
    <w:p>
      <w:pPr>
        <w:spacing w:after="0" w:line="134" w:lineRule="exact"/>
        <w:rPr>
          <w:rFonts w:ascii="Arial" w:cs="Arial" w:eastAsia="Arial" w:hAnsi="Arial"/>
          <w:sz w:val="18"/>
          <w:szCs w:val="18"/>
          <w:color w:val="auto"/>
        </w:rPr>
      </w:pPr>
    </w:p>
    <w:p>
      <w:pPr>
        <w:ind w:left="1480" w:hanging="648"/>
        <w:spacing w:after="0"/>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by non-binding, advisory basis, the frequency of votes on executive compensation;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52894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both"/>
        <w:ind w:left="1480" w:hanging="648"/>
        <w:spacing w:after="0" w:line="229"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the Reading International, Inc. 2020 Stock Incentive Plan to increase the number of Share of Class A Stock reserved for issuance thereunder by an additional 971,807 Shares; and</w:t>
      </w:r>
    </w:p>
    <w:p>
      <w:pPr>
        <w:spacing w:after="0" w:line="123" w:lineRule="exact"/>
        <w:rPr>
          <w:rFonts w:ascii="Arial" w:cs="Arial" w:eastAsia="Arial" w:hAnsi="Arial"/>
          <w:sz w:val="18"/>
          <w:szCs w:val="18"/>
          <w:color w:val="auto"/>
        </w:rPr>
      </w:pPr>
    </w:p>
    <w:p>
      <w:pPr>
        <w:ind w:left="1480" w:hanging="648"/>
        <w:spacing w:after="0" w:line="235"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our Annual Meeting and any adjournment or postponement thereof.</w:t>
      </w:r>
    </w:p>
    <w:p>
      <w:pPr>
        <w:spacing w:after="0" w:line="135" w:lineRule="exact"/>
        <w:rPr>
          <w:sz w:val="20"/>
          <w:szCs w:val="20"/>
          <w:color w:val="auto"/>
        </w:rPr>
      </w:pPr>
    </w:p>
    <w:p>
      <w:pPr>
        <w:jc w:val="both"/>
        <w:ind w:left="180" w:firstLine="648"/>
        <w:spacing w:after="0" w:line="248" w:lineRule="auto"/>
        <w:rPr>
          <w:sz w:val="20"/>
          <w:szCs w:val="20"/>
          <w:color w:val="auto"/>
        </w:rPr>
      </w:pPr>
      <w:r>
        <w:rPr>
          <w:rFonts w:ascii="Arial" w:cs="Arial" w:eastAsia="Arial" w:hAnsi="Arial"/>
          <w:sz w:val="16"/>
          <w:szCs w:val="16"/>
          <w:color w:val="auto"/>
        </w:rPr>
        <w:t>While all of our stockholders are invited to attend, only holders of record of our Class B Stock at the close of business on Wednesday, October 18, 2023, are entitled to communicate, participate in and vote at our Annual Meeting</w:t>
      </w:r>
    </w:p>
    <w:p>
      <w:pPr>
        <w:ind w:left="180"/>
        <w:spacing w:after="0"/>
        <w:rPr>
          <w:sz w:val="20"/>
          <w:szCs w:val="20"/>
          <w:color w:val="auto"/>
        </w:rPr>
      </w:pPr>
      <w:r>
        <w:rPr>
          <w:rFonts w:ascii="Arial" w:cs="Arial" w:eastAsia="Arial" w:hAnsi="Arial"/>
          <w:sz w:val="18"/>
          <w:szCs w:val="18"/>
          <w:color w:val="auto"/>
        </w:rPr>
        <w:t>or any adjournment or postponement thereof.</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It is important that any Class B Stock you may own be represented and voted, regardless of the size of your</w:t>
      </w:r>
    </w:p>
    <w:p>
      <w:pPr>
        <w:spacing w:after="0" w:line="21" w:lineRule="exact"/>
        <w:rPr>
          <w:sz w:val="20"/>
          <w:szCs w:val="20"/>
          <w:color w:val="auto"/>
        </w:rPr>
      </w:pPr>
    </w:p>
    <w:p>
      <w:pPr>
        <w:jc w:val="both"/>
        <w:ind w:left="180"/>
        <w:spacing w:after="0" w:line="231" w:lineRule="auto"/>
        <w:rPr>
          <w:sz w:val="20"/>
          <w:szCs w:val="20"/>
          <w:color w:val="auto"/>
        </w:rPr>
      </w:pPr>
      <w:r>
        <w:rPr>
          <w:rFonts w:ascii="Arial" w:cs="Arial" w:eastAsia="Arial" w:hAnsi="Arial"/>
          <w:sz w:val="17"/>
          <w:szCs w:val="17"/>
          <w:color w:val="auto"/>
        </w:rPr>
        <w:t>holdings. Accordingly, whether or not you plan to participate in our Annual Meeting, we encourage you to take the time to register to participate in our Annual Meeting and to make use of the proxy voting options discussed in the Proxy Statement accompanying this Notice with respect to any Class B Stock you may own.</w:t>
      </w:r>
    </w:p>
    <w:p>
      <w:pPr>
        <w:spacing w:after="0" w:line="135" w:lineRule="exact"/>
        <w:rPr>
          <w:sz w:val="20"/>
          <w:szCs w:val="20"/>
          <w:color w:val="auto"/>
        </w:rPr>
      </w:pPr>
    </w:p>
    <w:p>
      <w:pPr>
        <w:jc w:val="both"/>
        <w:ind w:left="180" w:firstLine="648"/>
        <w:spacing w:after="0" w:line="248" w:lineRule="auto"/>
        <w:rPr>
          <w:sz w:val="20"/>
          <w:szCs w:val="20"/>
          <w:color w:val="auto"/>
        </w:rPr>
      </w:pPr>
      <w:r>
        <w:rPr>
          <w:rFonts w:ascii="Arial" w:cs="Arial" w:eastAsia="Arial" w:hAnsi="Arial"/>
          <w:sz w:val="16"/>
          <w:szCs w:val="16"/>
          <w:color w:val="auto"/>
        </w:rPr>
        <w:t>If you are the record holder of Class B Stock, the materials accompanying this Notice will include a proxy card. You are encouraged to vote such shares by following the Internet or telephone voting instructions provided on the</w:t>
      </w:r>
    </w:p>
    <w:p>
      <w:pPr>
        <w:jc w:val="both"/>
        <w:ind w:left="180"/>
        <w:spacing w:after="0" w:line="234" w:lineRule="auto"/>
        <w:rPr>
          <w:sz w:val="20"/>
          <w:szCs w:val="20"/>
          <w:color w:val="auto"/>
        </w:rPr>
      </w:pPr>
      <w:r>
        <w:rPr>
          <w:rFonts w:ascii="Arial" w:cs="Arial" w:eastAsia="Arial" w:hAnsi="Arial"/>
          <w:sz w:val="16"/>
          <w:szCs w:val="16"/>
          <w:color w:val="auto"/>
        </w:rPr>
        <w:t>enclosed proxy card or by completing and mailing the proxy card as promptly as possible, whether or not you intend to participate in our Annual Meeting. Your proxy is revocable at any time before it is voted at the Annual Meeting and will not affect your right to vote electronically at our Annual Meeting during the time the polls are open, if you register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log-in to participate in our Annual Meeting.</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If you are the beneficial owner of Class B Stock, but not the record holder of such Class B Stock, you should</w:t>
      </w:r>
    </w:p>
    <w:p>
      <w:pPr>
        <w:spacing w:after="0" w:line="21" w:lineRule="exact"/>
        <w:rPr>
          <w:sz w:val="20"/>
          <w:szCs w:val="20"/>
          <w:color w:val="auto"/>
        </w:rPr>
      </w:pPr>
    </w:p>
    <w:p>
      <w:pPr>
        <w:jc w:val="both"/>
        <w:ind w:left="180"/>
        <w:spacing w:after="0" w:line="221" w:lineRule="auto"/>
        <w:rPr>
          <w:sz w:val="20"/>
          <w:szCs w:val="20"/>
          <w:color w:val="auto"/>
        </w:rPr>
      </w:pPr>
      <w:r>
        <w:rPr>
          <w:rFonts w:ascii="Arial" w:cs="Arial" w:eastAsia="Arial" w:hAnsi="Arial"/>
          <w:sz w:val="17"/>
          <w:szCs w:val="17"/>
          <w:color w:val="auto"/>
        </w:rPr>
        <w:t>receive from the record holder of such Class B Stock a voting instruction form (a “VIF”). You may vote by following the instructions on that VIF without participating in our Annual Meeting. However, if you want to participate in and vote at our Annual Meeting, you will need to obtain a valid proxy from the record holder of such shares. The</w:t>
      </w:r>
    </w:p>
    <w:p>
      <w:pPr>
        <w:jc w:val="both"/>
        <w:ind w:left="180"/>
        <w:spacing w:after="0" w:line="221" w:lineRule="auto"/>
        <w:rPr>
          <w:sz w:val="20"/>
          <w:szCs w:val="20"/>
          <w:color w:val="auto"/>
        </w:rPr>
      </w:pPr>
      <w:r>
        <w:rPr>
          <w:rFonts w:ascii="Arial" w:cs="Arial" w:eastAsia="Arial" w:hAnsi="Arial"/>
          <w:sz w:val="17"/>
          <w:szCs w:val="17"/>
          <w:color w:val="auto"/>
        </w:rPr>
        <w:t>procedures involved are described in the accompanying Proxy Statement. If you obtain a valid proxy and register and log-in to participate in our Annual Meeting, then your vote through your VIF will not affect your right to vote electronically at our Annual Meeting during the time the polls are open. If you are a record holder or a beneficial</w:t>
      </w:r>
    </w:p>
    <w:p>
      <w:pPr>
        <w:jc w:val="both"/>
        <w:ind w:left="180"/>
        <w:spacing w:after="0" w:line="226" w:lineRule="auto"/>
        <w:rPr>
          <w:sz w:val="20"/>
          <w:szCs w:val="20"/>
          <w:color w:val="auto"/>
        </w:rPr>
      </w:pPr>
      <w:r>
        <w:rPr>
          <w:rFonts w:ascii="Arial" w:cs="Arial" w:eastAsia="Arial" w:hAnsi="Arial"/>
          <w:sz w:val="18"/>
          <w:szCs w:val="18"/>
          <w:color w:val="auto"/>
        </w:rPr>
        <w:t xml:space="preserve">owner or holder of record of Class A Stock only, see instructions under section </w:t>
      </w:r>
      <w:r>
        <w:rPr>
          <w:rFonts w:ascii="Arial" w:cs="Arial" w:eastAsia="Arial" w:hAnsi="Arial"/>
          <w:sz w:val="18"/>
          <w:szCs w:val="18"/>
          <w:i w:val="1"/>
          <w:iCs w:val="1"/>
          <w:color w:val="auto"/>
        </w:rPr>
        <w:t>– How Do I Attend the Virtual Annual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if I Only Hold Class A Non-Voting Stock</w:t>
      </w:r>
      <w:r>
        <w:rPr>
          <w:rFonts w:ascii="Arial" w:cs="Arial" w:eastAsia="Arial" w:hAnsi="Arial"/>
          <w:sz w:val="18"/>
          <w:szCs w:val="18"/>
          <w:color w:val="auto"/>
        </w:rPr>
        <w:t>..</w:t>
      </w:r>
    </w:p>
    <w:p>
      <w:pPr>
        <w:spacing w:after="0" w:line="134" w:lineRule="exact"/>
        <w:rPr>
          <w:sz w:val="20"/>
          <w:szCs w:val="20"/>
          <w:color w:val="auto"/>
        </w:rPr>
      </w:pPr>
    </w:p>
    <w:p>
      <w:pPr>
        <w:jc w:val="both"/>
        <w:ind w:left="180" w:firstLine="648"/>
        <w:spacing w:after="0" w:line="235" w:lineRule="auto"/>
        <w:rPr>
          <w:sz w:val="20"/>
          <w:szCs w:val="20"/>
          <w:color w:val="auto"/>
        </w:rPr>
      </w:pPr>
      <w:r>
        <w:rPr>
          <w:rFonts w:ascii="Arial" w:cs="Arial" w:eastAsia="Arial" w:hAnsi="Arial"/>
          <w:sz w:val="18"/>
          <w:szCs w:val="18"/>
          <w:color w:val="auto"/>
        </w:rPr>
        <w:t>Thank you for your continued and on-going support of our Company. Please register to participate in our Annual Meeting.</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109220</wp:posOffset>
            </wp:positionV>
            <wp:extent cx="103695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69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Margaret Cotter</w:t>
      </w:r>
    </w:p>
    <w:p>
      <w:pPr>
        <w:ind w:left="840"/>
        <w:spacing w:after="0"/>
        <w:rPr>
          <w:sz w:val="20"/>
          <w:szCs w:val="20"/>
          <w:color w:val="auto"/>
        </w:rPr>
      </w:pPr>
      <w:r>
        <w:rPr>
          <w:rFonts w:ascii="Arial" w:cs="Arial" w:eastAsia="Arial" w:hAnsi="Arial"/>
          <w:sz w:val="18"/>
          <w:szCs w:val="18"/>
          <w:i w:val="1"/>
          <w:iCs w:val="1"/>
          <w:color w:val="auto"/>
        </w:rPr>
        <w:t>Chair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firstLine="648"/>
        <w:spacing w:after="0" w:line="235" w:lineRule="auto"/>
        <w:rPr>
          <w:sz w:val="20"/>
          <w:szCs w:val="20"/>
          <w:color w:val="auto"/>
        </w:rPr>
      </w:pPr>
      <w:r>
        <w:rPr>
          <w:rFonts w:ascii="Arial" w:cs="Arial" w:eastAsia="Arial" w:hAnsi="Arial"/>
          <w:sz w:val="18"/>
          <w:szCs w:val="18"/>
          <w:color w:val="auto"/>
        </w:rPr>
        <w:t>This Proxy Statement, a form of proxy and the Annual Report are first being distributed or otherwise furnished to stockholders on or about October 27, 2023.</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Table of contents</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ABOUT THE ANNUAL MEETING AND VOTING</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CORPORATE GOVERNANCE</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Director Leadership Structure</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Director Independence and Board Oversight Structure</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Board’s Role in Risk Oversight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“Controlled Company” Status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Board Committees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Consideration and Selection of the Board’s Director Nominees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Code of Ethics</w:t>
      </w:r>
    </w:p>
    <w:p>
      <w:pPr>
        <w:spacing w:after="0" w:line="9" w:lineRule="exact"/>
        <w:rPr>
          <w:sz w:val="20"/>
          <w:szCs w:val="20"/>
          <w:color w:val="auto"/>
        </w:rPr>
      </w:pPr>
    </w:p>
    <w:p>
      <w:pPr>
        <w:ind w:left="180" w:right="3520"/>
        <w:spacing w:after="0" w:line="234" w:lineRule="auto"/>
        <w:rPr>
          <w:sz w:val="20"/>
          <w:szCs w:val="20"/>
          <w:color w:val="auto"/>
        </w:rPr>
      </w:pPr>
      <w:r>
        <w:rPr>
          <w:rFonts w:ascii="Arial" w:cs="Arial" w:eastAsia="Arial" w:hAnsi="Arial"/>
          <w:sz w:val="18"/>
          <w:szCs w:val="18"/>
          <w:u w:val="single" w:color="auto"/>
          <w:color w:val="auto"/>
        </w:rPr>
        <w:t>Review, Approval or Ratification of Transactions with Related Persons Director Diversity</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PROPOSAL 1: ELECTION OF DIRECTORS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Nominees for Election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Meeting Attendance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Compensation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1</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ectPr>
          <w:pgSz w:w="11900" w:h="16838" w:orient="portrait"/>
          <w:cols w:equalWidth="0" w:num="2">
            <w:col w:w="8820" w:space="420"/>
            <w:col w:w="180"/>
          </w:cols>
          <w:pgMar w:left="1440" w:top="868" w:right="1039" w:bottom="0" w:gutter="0" w:footer="0" w:header="0"/>
        </w:sectPr>
      </w:pPr>
    </w:p>
    <w:bookmarkStart w:id="3" w:name="page4"/>
    <w:bookmarkEnd w:id="3"/>
    <w:tbl>
      <w:tblPr>
        <w:tblLayout w:type="fixed"/>
        <w:tblInd w:w="180" w:type="dxa"/>
        <w:tblCellMar>
          <w:top w:w="0" w:type="dxa"/>
          <w:left w:w="0" w:type="dxa"/>
          <w:bottom w:w="0" w:type="dxa"/>
          <w:right w:w="0" w:type="dxa"/>
        </w:tblCellMar>
      </w:tblPr>
      <w:tr>
        <w:trPr>
          <w:trHeight w:val="227"/>
        </w:trPr>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Director Compensation Table</w:t>
            </w:r>
          </w:p>
        </w:tc>
        <w:tc>
          <w:tcPr>
            <w:tcW w:w="6720" w:type="dxa"/>
            <w:vAlign w:val="bottom"/>
            <w:gridSpan w:val="1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2022 and Future Director Compensation</w:t>
            </w:r>
          </w:p>
        </w:tc>
        <w:tc>
          <w:tcPr>
            <w:tcW w:w="5940" w:type="dxa"/>
            <w:vAlign w:val="bottom"/>
            <w:gridSpan w:val="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Vote Required</w:t>
            </w:r>
          </w:p>
        </w:tc>
        <w:tc>
          <w:tcPr>
            <w:tcW w:w="782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Recommendation of the Board</w:t>
            </w:r>
          </w:p>
        </w:tc>
        <w:tc>
          <w:tcPr>
            <w:tcW w:w="664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8"/>
        </w:trPr>
        <w:tc>
          <w:tcPr>
            <w:tcW w:w="8860" w:type="dxa"/>
            <w:vAlign w:val="bottom"/>
            <w:gridSpan w:val="16"/>
          </w:tcPr>
          <w:p>
            <w:pPr>
              <w:spacing w:after="0"/>
              <w:rPr>
                <w:sz w:val="20"/>
                <w:szCs w:val="20"/>
                <w:color w:val="auto"/>
              </w:rPr>
            </w:pPr>
            <w:r>
              <w:rPr>
                <w:rFonts w:ascii="Arial" w:cs="Arial" w:eastAsia="Arial" w:hAnsi="Arial"/>
                <w:sz w:val="18"/>
                <w:szCs w:val="18"/>
                <w:color w:val="auto"/>
                <w:w w:val="98"/>
              </w:rPr>
              <w:t>PROPOSAL 2: RATIFICATION OF APPOINTMENT OF INDEPENDENT REGISTERED PUBLIC ACCOUNTING</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8640" w:type="dxa"/>
            <w:vAlign w:val="bottom"/>
            <w:tcBorders>
              <w:top w:val="single" w:sz="8" w:color="auto"/>
            </w:tcBorders>
            <w:gridSpan w:val="15"/>
          </w:tcPr>
          <w:p>
            <w:pPr>
              <w:spacing w:after="0" w:line="182" w:lineRule="exact"/>
              <w:rPr>
                <w:sz w:val="20"/>
                <w:szCs w:val="20"/>
                <w:color w:val="auto"/>
              </w:rPr>
            </w:pPr>
            <w:r>
              <w:rPr>
                <w:rFonts w:ascii="Arial" w:cs="Arial" w:eastAsia="Arial" w:hAnsi="Arial"/>
                <w:sz w:val="18"/>
                <w:szCs w:val="18"/>
                <w:color w:val="auto"/>
              </w:rPr>
              <w:t>FIRM</w:t>
            </w:r>
          </w:p>
        </w:tc>
        <w:tc>
          <w:tcPr>
            <w:tcW w:w="2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Vote</w:t>
            </w:r>
          </w:p>
        </w:tc>
        <w:tc>
          <w:tcPr>
            <w:tcW w:w="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79"/>
              </w:rPr>
              <w:t>Required</w:t>
            </w:r>
          </w:p>
        </w:tc>
        <w:tc>
          <w:tcPr>
            <w:tcW w:w="7820" w:type="dxa"/>
            <w:vAlign w:val="bottom"/>
            <w:gridSpan w:val="14"/>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Recommendation of the Board</w:t>
            </w:r>
          </w:p>
        </w:tc>
        <w:tc>
          <w:tcPr>
            <w:tcW w:w="664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8860" w:type="dxa"/>
            <w:vAlign w:val="bottom"/>
            <w:gridSpan w:val="16"/>
          </w:tcPr>
          <w:p>
            <w:pPr>
              <w:spacing w:after="0"/>
              <w:rPr>
                <w:sz w:val="20"/>
                <w:szCs w:val="20"/>
                <w:color w:val="auto"/>
              </w:rPr>
            </w:pPr>
            <w:r>
              <w:rPr>
                <w:rFonts w:ascii="Arial" w:cs="Arial" w:eastAsia="Arial" w:hAnsi="Arial"/>
                <w:sz w:val="18"/>
                <w:szCs w:val="18"/>
                <w:color w:val="auto"/>
              </w:rPr>
              <w:t>PROPOSAL 3: ADVISORY VOTE ON EXECUTIVE OFFICER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Vote Required</w:t>
            </w:r>
          </w:p>
        </w:tc>
        <w:tc>
          <w:tcPr>
            <w:tcW w:w="5180" w:type="dxa"/>
            <w:vAlign w:val="bottom"/>
            <w:tcBorders>
              <w:top w:val="single" w:sz="8" w:color="auto"/>
            </w:tcBorders>
            <w:gridSpan w:val="9"/>
          </w:tcPr>
          <w:p>
            <w:pPr>
              <w:spacing w:after="0"/>
              <w:rPr>
                <w:sz w:val="17"/>
                <w:szCs w:val="17"/>
                <w:color w:val="auto"/>
              </w:rPr>
            </w:pPr>
          </w:p>
        </w:tc>
        <w:tc>
          <w:tcPr>
            <w:tcW w:w="264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Recommendation of the Board</w:t>
            </w:r>
          </w:p>
        </w:tc>
        <w:tc>
          <w:tcPr>
            <w:tcW w:w="664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8860" w:type="dxa"/>
            <w:vAlign w:val="bottom"/>
            <w:gridSpan w:val="16"/>
          </w:tcPr>
          <w:p>
            <w:pPr>
              <w:spacing w:after="0"/>
              <w:rPr>
                <w:sz w:val="20"/>
                <w:szCs w:val="20"/>
                <w:color w:val="auto"/>
              </w:rPr>
            </w:pPr>
            <w:r>
              <w:rPr>
                <w:rFonts w:ascii="Arial" w:cs="Arial" w:eastAsia="Arial" w:hAnsi="Arial"/>
                <w:sz w:val="18"/>
                <w:szCs w:val="18"/>
                <w:color w:val="auto"/>
              </w:rPr>
              <w:t>PROPOSAL 4: ADVISORY VOTE ON EXECUTIVE COMPENSATION VOTE FREQUENCY</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Vote Required</w:t>
            </w:r>
          </w:p>
        </w:tc>
        <w:tc>
          <w:tcPr>
            <w:tcW w:w="6000" w:type="dxa"/>
            <w:vAlign w:val="bottom"/>
            <w:tcBorders>
              <w:top w:val="single" w:sz="8" w:color="auto"/>
            </w:tcBorders>
            <w:gridSpan w:val="11"/>
          </w:tcPr>
          <w:p>
            <w:pPr>
              <w:spacing w:after="0"/>
              <w:rPr>
                <w:sz w:val="17"/>
                <w:szCs w:val="17"/>
                <w:color w:val="auto"/>
              </w:rPr>
            </w:pPr>
          </w:p>
        </w:tc>
        <w:tc>
          <w:tcPr>
            <w:tcW w:w="182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Recommendation of the Board</w:t>
            </w:r>
          </w:p>
        </w:tc>
        <w:tc>
          <w:tcPr>
            <w:tcW w:w="664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8"/>
        </w:trPr>
        <w:tc>
          <w:tcPr>
            <w:tcW w:w="8860" w:type="dxa"/>
            <w:vAlign w:val="bottom"/>
            <w:gridSpan w:val="16"/>
          </w:tcPr>
          <w:p>
            <w:pPr>
              <w:spacing w:after="0"/>
              <w:rPr>
                <w:sz w:val="20"/>
                <w:szCs w:val="20"/>
                <w:color w:val="auto"/>
              </w:rPr>
            </w:pPr>
            <w:r>
              <w:rPr>
                <w:rFonts w:ascii="Arial" w:cs="Arial" w:eastAsia="Arial" w:hAnsi="Arial"/>
                <w:sz w:val="18"/>
                <w:szCs w:val="18"/>
                <w:color w:val="auto"/>
              </w:rPr>
              <w:t>PROPOSAL 5: APPROVAL OF AN AMENDMENT TO THE READING INTERNATIONAL, INC. 2020 STOCK</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8380" w:type="dxa"/>
            <w:vAlign w:val="bottom"/>
            <w:tcBorders>
              <w:top w:val="single" w:sz="8" w:color="auto"/>
            </w:tcBorders>
            <w:gridSpan w:val="14"/>
          </w:tcPr>
          <w:p>
            <w:pPr>
              <w:spacing w:after="0" w:line="182" w:lineRule="exact"/>
              <w:rPr>
                <w:sz w:val="20"/>
                <w:szCs w:val="20"/>
                <w:color w:val="auto"/>
              </w:rPr>
            </w:pPr>
            <w:r>
              <w:rPr>
                <w:rFonts w:ascii="Arial" w:cs="Arial" w:eastAsia="Arial" w:hAnsi="Arial"/>
                <w:sz w:val="18"/>
                <w:szCs w:val="18"/>
                <w:color w:val="auto"/>
              </w:rPr>
              <w:t>INCENTIVE PLAN TO INCREASE THE NUMBER OF CLASS A SHARES RESERVE</w:t>
            </w:r>
          </w:p>
        </w:tc>
        <w:tc>
          <w:tcPr>
            <w:tcW w:w="480" w:type="dxa"/>
            <w:vAlign w:val="bottom"/>
            <w:gridSpan w:val="2"/>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88"/>
              </w:rPr>
              <w:t>Vote Required</w:t>
            </w:r>
          </w:p>
        </w:tc>
        <w:tc>
          <w:tcPr>
            <w:tcW w:w="5480" w:type="dxa"/>
            <w:vAlign w:val="bottom"/>
            <w:tcBorders>
              <w:top w:val="single" w:sz="8" w:color="auto"/>
            </w:tcBorders>
            <w:gridSpan w:val="10"/>
          </w:tcPr>
          <w:p>
            <w:pPr>
              <w:spacing w:after="0"/>
              <w:rPr>
                <w:sz w:val="15"/>
                <w:szCs w:val="15"/>
                <w:color w:val="auto"/>
              </w:rPr>
            </w:pPr>
          </w:p>
        </w:tc>
        <w:tc>
          <w:tcPr>
            <w:tcW w:w="2340" w:type="dxa"/>
            <w:vAlign w:val="bottom"/>
            <w:gridSpan w:val="4"/>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Recommendation of the Board</w:t>
            </w:r>
          </w:p>
        </w:tc>
        <w:tc>
          <w:tcPr>
            <w:tcW w:w="664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85"/>
        </w:trPr>
        <w:tc>
          <w:tcPr>
            <w:tcW w:w="30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6"/>
              </w:rPr>
              <w:t>REPORT OF THE AUDIT COMMITTEE</w:t>
            </w:r>
          </w:p>
        </w:tc>
        <w:tc>
          <w:tcPr>
            <w:tcW w:w="57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85"/>
        </w:trPr>
        <w:tc>
          <w:tcPr>
            <w:tcW w:w="8860" w:type="dxa"/>
            <w:vAlign w:val="bottom"/>
            <w:gridSpan w:val="16"/>
          </w:tcPr>
          <w:p>
            <w:pPr>
              <w:spacing w:after="0"/>
              <w:rPr>
                <w:sz w:val="20"/>
                <w:szCs w:val="20"/>
                <w:color w:val="auto"/>
              </w:rPr>
            </w:pPr>
            <w:r>
              <w:rPr>
                <w:rFonts w:ascii="Arial" w:cs="Arial" w:eastAsia="Arial" w:hAnsi="Arial"/>
                <w:sz w:val="18"/>
                <w:szCs w:val="18"/>
                <w:color w:val="auto"/>
              </w:rPr>
              <w:t>BENEFICIAL OWNERSHIP OF 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5"/>
        </w:trPr>
        <w:tc>
          <w:tcPr>
            <w:tcW w:w="34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DELIQUENT SECTION 16(A) REPORTS</w:t>
            </w:r>
          </w:p>
        </w:tc>
        <w:tc>
          <w:tcPr>
            <w:tcW w:w="538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19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4"/>
              </w:rPr>
              <w:t>EXECUTIVE OFFICERS</w:t>
            </w:r>
          </w:p>
        </w:tc>
        <w:tc>
          <w:tcPr>
            <w:tcW w:w="1220" w:type="dxa"/>
            <w:vAlign w:val="bottom"/>
            <w:tcBorders>
              <w:top w:val="single" w:sz="8" w:color="auto"/>
            </w:tcBorders>
            <w:gridSpan w:val="6"/>
          </w:tcPr>
          <w:p>
            <w:pPr>
              <w:spacing w:after="0"/>
              <w:rPr>
                <w:sz w:val="24"/>
                <w:szCs w:val="24"/>
                <w:color w:val="auto"/>
              </w:rPr>
            </w:pPr>
          </w:p>
        </w:tc>
        <w:tc>
          <w:tcPr>
            <w:tcW w:w="574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8860" w:type="dxa"/>
            <w:vAlign w:val="bottom"/>
            <w:gridSpan w:val="16"/>
          </w:tcPr>
          <w:p>
            <w:pPr>
              <w:spacing w:after="0"/>
              <w:rPr>
                <w:sz w:val="20"/>
                <w:szCs w:val="20"/>
                <w:color w:val="auto"/>
              </w:rPr>
            </w:pPr>
            <w:r>
              <w:rPr>
                <w:rFonts w:ascii="Arial" w:cs="Arial" w:eastAsia="Arial" w:hAnsi="Arial"/>
                <w:sz w:val="18"/>
                <w:szCs w:val="18"/>
                <w:color w:val="auto"/>
              </w:rPr>
              <w:t>EXECUTIVE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8"/>
        </w:trPr>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80" w:type="dxa"/>
            <w:vAlign w:val="bottom"/>
            <w:gridSpan w:val="6"/>
          </w:tcPr>
          <w:p>
            <w:pPr>
              <w:ind w:left="1160"/>
              <w:spacing w:after="0"/>
              <w:rPr>
                <w:sz w:val="20"/>
                <w:szCs w:val="20"/>
                <w:color w:val="auto"/>
              </w:rPr>
            </w:pPr>
            <w:r>
              <w:rPr>
                <w:rFonts w:ascii="Arial" w:cs="Arial" w:eastAsia="Arial" w:hAnsi="Arial"/>
                <w:sz w:val="13"/>
                <w:szCs w:val="13"/>
                <w:color w:val="auto"/>
              </w:rPr>
              <w:t>i</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7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-37465</wp:posOffset>
            </wp:positionV>
            <wp:extent cx="3365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500"/>
          </w:cols>
          <w:pgMar w:left="1440" w:top="75" w:right="95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07"/>
        </w:trPr>
        <w:tc>
          <w:tcPr>
            <w:tcW w:w="22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9"/>
              </w:rPr>
              <w:t>Summary Compensation Table</w:t>
            </w:r>
          </w:p>
        </w:tc>
        <w:tc>
          <w:tcPr>
            <w:tcW w:w="5040" w:type="dxa"/>
            <w:vAlign w:val="bottom"/>
            <w:gridSpan w:val="12"/>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2020 Stock Incentive Plan</w:t>
            </w:r>
          </w:p>
        </w:tc>
        <w:tc>
          <w:tcPr>
            <w:tcW w:w="5380" w:type="dxa"/>
            <w:vAlign w:val="bottom"/>
            <w:gridSpan w:val="1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1"/>
              </w:rPr>
              <w:t>Outstanding Equity Awards</w:t>
            </w:r>
          </w:p>
        </w:tc>
        <w:tc>
          <w:tcPr>
            <w:tcW w:w="5280" w:type="dxa"/>
            <w:vAlign w:val="bottom"/>
            <w:gridSpan w:val="1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Equity Compensation Plan Information</w:t>
            </w:r>
          </w:p>
        </w:tc>
        <w:tc>
          <w:tcPr>
            <w:tcW w:w="4440" w:type="dxa"/>
            <w:vAlign w:val="bottom"/>
            <w:gridSpan w:val="9"/>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1"/>
              </w:rPr>
              <w:t>Potential Payments Upon Termination of Employment or Change in Control</w:t>
            </w:r>
          </w:p>
        </w:tc>
        <w:tc>
          <w:tcPr>
            <w:tcW w:w="178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7280" w:type="dxa"/>
            <w:vAlign w:val="bottom"/>
            <w:gridSpan w:val="23"/>
          </w:tcPr>
          <w:p>
            <w:pPr>
              <w:spacing w:after="0" w:line="196" w:lineRule="exact"/>
              <w:rPr>
                <w:sz w:val="20"/>
                <w:szCs w:val="20"/>
                <w:color w:val="auto"/>
              </w:rPr>
            </w:pPr>
            <w:r>
              <w:rPr>
                <w:rFonts w:ascii="Arial" w:cs="Arial" w:eastAsia="Arial" w:hAnsi="Arial"/>
                <w:sz w:val="18"/>
                <w:szCs w:val="18"/>
                <w:color w:val="auto"/>
              </w:rPr>
              <w:t>Employment Agreements</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385"/>
        </w:trPr>
        <w:tc>
          <w:tcPr>
            <w:tcW w:w="548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95"/>
              </w:rPr>
              <w:t>CERTAIN RELATIONSHIPS AND RELATED PARTY TRANSACTIONS</w:t>
            </w:r>
          </w:p>
        </w:tc>
        <w:tc>
          <w:tcPr>
            <w:tcW w:w="1800" w:type="dxa"/>
            <w:vAlign w:val="bottom"/>
            <w:gridSpan w:val="2"/>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280" w:type="dxa"/>
            <w:vAlign w:val="bottom"/>
            <w:gridSpan w:val="23"/>
          </w:tcPr>
          <w:p>
            <w:pPr>
              <w:spacing w:after="0"/>
              <w:rPr>
                <w:sz w:val="20"/>
                <w:szCs w:val="20"/>
                <w:color w:val="auto"/>
              </w:rPr>
            </w:pPr>
            <w:r>
              <w:rPr>
                <w:rFonts w:ascii="Arial" w:cs="Arial" w:eastAsia="Arial" w:hAnsi="Arial"/>
                <w:sz w:val="18"/>
                <w:szCs w:val="18"/>
                <w:color w:val="auto"/>
              </w:rPr>
              <w:t>Sutton Hill Capital</w:t>
            </w:r>
          </w:p>
        </w:tc>
        <w:tc>
          <w:tcPr>
            <w:tcW w:w="19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0"/>
              </w:rPr>
              <w:t>Live Theater Play Investment</w:t>
            </w:r>
          </w:p>
        </w:tc>
        <w:tc>
          <w:tcPr>
            <w:tcW w:w="5140" w:type="dxa"/>
            <w:vAlign w:val="bottom"/>
            <w:gridSpan w:val="13"/>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Shadow View Land and Farming, LLC</w:t>
            </w:r>
          </w:p>
        </w:tc>
        <w:tc>
          <w:tcPr>
            <w:tcW w:w="4460" w:type="dxa"/>
            <w:vAlign w:val="bottom"/>
            <w:gridSpan w:val="10"/>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Review, Approval or Ratification of Transactions with Related Persons</w:t>
            </w:r>
          </w:p>
        </w:tc>
        <w:tc>
          <w:tcPr>
            <w:tcW w:w="2160" w:type="dxa"/>
            <w:vAlign w:val="bottom"/>
            <w:gridSpan w:val="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0"/>
              </w:rPr>
              <w:t>Summary of Principal Accounting Fees for Professional Services Rendered</w:t>
            </w:r>
          </w:p>
        </w:tc>
        <w:tc>
          <w:tcPr>
            <w:tcW w:w="184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7280" w:type="dxa"/>
            <w:vAlign w:val="bottom"/>
            <w:gridSpan w:val="23"/>
          </w:tcPr>
          <w:p>
            <w:pPr>
              <w:spacing w:after="0" w:line="196" w:lineRule="exact"/>
              <w:rPr>
                <w:sz w:val="20"/>
                <w:szCs w:val="20"/>
                <w:color w:val="auto"/>
              </w:rPr>
            </w:pPr>
            <w:r>
              <w:rPr>
                <w:rFonts w:ascii="Arial" w:cs="Arial" w:eastAsia="Arial" w:hAnsi="Arial"/>
                <w:sz w:val="18"/>
                <w:szCs w:val="18"/>
                <w:color w:val="auto"/>
              </w:rPr>
              <w:t>Audit Fees</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9"/>
              </w:rPr>
              <w:t>Audit-Related Fees</w:t>
            </w:r>
          </w:p>
        </w:tc>
        <w:tc>
          <w:tcPr>
            <w:tcW w:w="5880" w:type="dxa"/>
            <w:vAlign w:val="bottom"/>
            <w:gridSpan w:val="18"/>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gridSpan w:val="23"/>
          </w:tcPr>
          <w:p>
            <w:pPr>
              <w:spacing w:after="0" w:line="196" w:lineRule="exact"/>
              <w:rPr>
                <w:sz w:val="20"/>
                <w:szCs w:val="20"/>
                <w:color w:val="auto"/>
              </w:rPr>
            </w:pPr>
            <w:r>
              <w:rPr>
                <w:rFonts w:ascii="Arial" w:cs="Arial" w:eastAsia="Arial" w:hAnsi="Arial"/>
                <w:sz w:val="18"/>
                <w:szCs w:val="18"/>
                <w:color w:val="auto"/>
              </w:rPr>
              <w:t>Tax Fees</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7280" w:type="dxa"/>
            <w:vAlign w:val="bottom"/>
            <w:gridSpan w:val="23"/>
          </w:tcPr>
          <w:p>
            <w:pPr>
              <w:spacing w:after="0" w:line="196" w:lineRule="exact"/>
              <w:rPr>
                <w:sz w:val="20"/>
                <w:szCs w:val="20"/>
                <w:color w:val="auto"/>
              </w:rPr>
            </w:pPr>
            <w:r>
              <w:rPr>
                <w:rFonts w:ascii="Arial" w:cs="Arial" w:eastAsia="Arial" w:hAnsi="Arial"/>
                <w:sz w:val="18"/>
                <w:szCs w:val="18"/>
                <w:color w:val="auto"/>
              </w:rPr>
              <w:t>All Other Fees</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96"/>
        </w:trPr>
        <w:tc>
          <w:tcPr>
            <w:tcW w:w="7280" w:type="dxa"/>
            <w:vAlign w:val="bottom"/>
            <w:gridSpan w:val="23"/>
          </w:tcPr>
          <w:p>
            <w:pPr>
              <w:spacing w:after="0" w:line="196" w:lineRule="exact"/>
              <w:rPr>
                <w:sz w:val="20"/>
                <w:szCs w:val="20"/>
                <w:color w:val="auto"/>
              </w:rPr>
            </w:pPr>
            <w:r>
              <w:rPr>
                <w:rFonts w:ascii="Arial" w:cs="Arial" w:eastAsia="Arial" w:hAnsi="Arial"/>
                <w:sz w:val="18"/>
                <w:szCs w:val="18"/>
                <w:color w:val="auto"/>
              </w:rPr>
              <w:t>Pre-Approval Policies and Procedures</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80" w:type="dxa"/>
            <w:vAlign w:val="bottom"/>
            <w:gridSpan w:val="6"/>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385"/>
        </w:trPr>
        <w:tc>
          <w:tcPr>
            <w:tcW w:w="302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6"/>
              </w:rPr>
              <w:t>STOCKHOLDER COMMUNICATIONS</w:t>
            </w:r>
          </w:p>
        </w:tc>
        <w:tc>
          <w:tcPr>
            <w:tcW w:w="4260" w:type="dxa"/>
            <w:vAlign w:val="bottom"/>
            <w:gridSpan w:val="8"/>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280" w:type="dxa"/>
            <w:vAlign w:val="bottom"/>
            <w:gridSpan w:val="23"/>
          </w:tcPr>
          <w:p>
            <w:pPr>
              <w:spacing w:after="0"/>
              <w:rPr>
                <w:sz w:val="20"/>
                <w:szCs w:val="20"/>
                <w:color w:val="auto"/>
              </w:rPr>
            </w:pPr>
            <w:r>
              <w:rPr>
                <w:rFonts w:ascii="Arial" w:cs="Arial" w:eastAsia="Arial" w:hAnsi="Arial"/>
                <w:sz w:val="18"/>
                <w:szCs w:val="18"/>
                <w:color w:val="auto"/>
              </w:rPr>
              <w:t>Annual Report</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96"/>
        </w:trPr>
        <w:tc>
          <w:tcPr>
            <w:tcW w:w="7280" w:type="dxa"/>
            <w:vAlign w:val="bottom"/>
            <w:gridSpan w:val="23"/>
          </w:tcPr>
          <w:p>
            <w:pPr>
              <w:spacing w:after="0" w:line="196" w:lineRule="exact"/>
              <w:rPr>
                <w:sz w:val="20"/>
                <w:szCs w:val="20"/>
                <w:color w:val="auto"/>
              </w:rPr>
            </w:pPr>
            <w:r>
              <w:rPr>
                <w:rFonts w:ascii="Arial" w:cs="Arial" w:eastAsia="Arial" w:hAnsi="Arial"/>
                <w:sz w:val="18"/>
                <w:szCs w:val="18"/>
                <w:color w:val="auto"/>
              </w:rPr>
              <w:t>Stockholder Communications with Directors</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760" w:type="dxa"/>
            <w:vAlign w:val="bottom"/>
            <w:gridSpan w:val="10"/>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96"/>
        </w:trPr>
        <w:tc>
          <w:tcPr>
            <w:tcW w:w="7280" w:type="dxa"/>
            <w:vAlign w:val="bottom"/>
            <w:gridSpan w:val="23"/>
          </w:tcPr>
          <w:p>
            <w:pPr>
              <w:spacing w:after="0" w:line="196" w:lineRule="exact"/>
              <w:rPr>
                <w:sz w:val="20"/>
                <w:szCs w:val="20"/>
                <w:color w:val="auto"/>
              </w:rPr>
            </w:pPr>
            <w:r>
              <w:rPr>
                <w:rFonts w:ascii="Arial" w:cs="Arial" w:eastAsia="Arial" w:hAnsi="Arial"/>
                <w:sz w:val="18"/>
                <w:szCs w:val="18"/>
                <w:color w:val="auto"/>
              </w:rPr>
              <w:t>Stockholder Proposals and Director Nominations</w:t>
            </w: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54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rPr>
              <w:t>OTHER MATTERS</w:t>
            </w:r>
          </w:p>
        </w:tc>
        <w:tc>
          <w:tcPr>
            <w:tcW w:w="374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940" w:type="dxa"/>
            <w:vAlign w:val="bottom"/>
            <w:gridSpan w:val="1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385"/>
        </w:trPr>
        <w:tc>
          <w:tcPr>
            <w:tcW w:w="7280" w:type="dxa"/>
            <w:vAlign w:val="bottom"/>
            <w:gridSpan w:val="23"/>
          </w:tcPr>
          <w:p>
            <w:pPr>
              <w:spacing w:after="0"/>
              <w:rPr>
                <w:sz w:val="20"/>
                <w:szCs w:val="20"/>
                <w:color w:val="auto"/>
              </w:rPr>
            </w:pPr>
            <w:r>
              <w:rPr>
                <w:rFonts w:ascii="Arial" w:cs="Arial" w:eastAsia="Arial" w:hAnsi="Arial"/>
                <w:sz w:val="18"/>
                <w:szCs w:val="18"/>
                <w:color w:val="auto"/>
              </w:rPr>
              <w:t>DELIVERY OF PROXY MATERIALS TO HOUSEHOLDS</w:t>
            </w: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40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APPENDIX A</w:t>
            </w:r>
          </w:p>
        </w:tc>
        <w:tc>
          <w:tcPr>
            <w:tcW w:w="2880" w:type="dxa"/>
            <w:vAlign w:val="bottom"/>
            <w:gridSpan w:val="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422275</wp:posOffset>
            </wp:positionV>
            <wp:extent cx="594042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420"/>
          </w:cols>
          <w:pgMar w:left="1440" w:top="311" w:right="10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320040</wp:posOffset>
            </wp:positionV>
            <wp:extent cx="183451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34515" cy="822960"/>
                    </a:xfrm>
                    <a:prstGeom prst="rect">
                      <a:avLst/>
                    </a:prstGeom>
                    <a:noFill/>
                  </pic:spPr>
                </pic:pic>
              </a:graphicData>
            </a:graphic>
          </wp:anchor>
        </w:drawing>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READING INTERNATIONAL, INC.</w:t>
      </w:r>
    </w:p>
    <w:p>
      <w:pPr>
        <w:jc w:val="center"/>
        <w:ind w:right="99"/>
        <w:spacing w:after="0"/>
        <w:rPr>
          <w:sz w:val="20"/>
          <w:szCs w:val="20"/>
          <w:color w:val="auto"/>
        </w:rPr>
      </w:pPr>
      <w:r>
        <w:rPr>
          <w:rFonts w:ascii="Arial" w:cs="Arial" w:eastAsia="Arial" w:hAnsi="Arial"/>
          <w:sz w:val="18"/>
          <w:szCs w:val="18"/>
          <w:b w:val="1"/>
          <w:bCs w:val="1"/>
          <w:color w:val="auto"/>
        </w:rPr>
        <w:t>189 Second Avenue, Suite 2S, New York, New York 10003</w:t>
      </w:r>
    </w:p>
    <w:p>
      <w:pPr>
        <w:spacing w:after="0" w:line="13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PROXY STATEMENT</w:t>
      </w:r>
    </w:p>
    <w:p>
      <w:pPr>
        <w:spacing w:after="0" w:line="144"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VIRTUAL ANNUAL MEETING OF STOCKHOLDERS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 P.M., EASTERN TIME: THURSDAY, DECEMBER 7, 2023</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Deadline to Participate in Our Virtual Annual Meeting</w:t>
      </w:r>
    </w:p>
    <w:p>
      <w:pPr>
        <w:jc w:val="center"/>
        <w:ind w:right="99"/>
        <w:spacing w:after="0"/>
        <w:rPr>
          <w:sz w:val="20"/>
          <w:szCs w:val="20"/>
          <w:color w:val="auto"/>
        </w:rPr>
      </w:pPr>
      <w:r>
        <w:rPr>
          <w:rFonts w:ascii="Arial" w:cs="Arial" w:eastAsia="Arial" w:hAnsi="Arial"/>
          <w:sz w:val="18"/>
          <w:szCs w:val="18"/>
          <w:b w:val="1"/>
          <w:bCs w:val="1"/>
          <w:color w:val="auto"/>
        </w:rPr>
        <w:t>5:00 p.m., Eastern Time: Monday, December 4,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INTRODUCTION</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This proxy statement (the “Proxy Statement”) is furnished in connection with the solicitation by the Board of</w:t>
      </w:r>
    </w:p>
    <w:p>
      <w:pPr>
        <w:spacing w:after="0" w:line="21"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Directors of Reading International, Inc. (the “Company,” “Reading,” “we,” “us,” or “our”) of proxies for use at our 2023 Annual Meeting to be held in a virtual format via the Internet on Thursday, December 7, 2023, commencing at 2:00 p.m., Eastern Time, or at any adjournment or postponement thereof.</w:t>
      </w:r>
    </w:p>
    <w:p>
      <w:pPr>
        <w:spacing w:after="0" w:line="135" w:lineRule="exact"/>
        <w:rPr>
          <w:sz w:val="20"/>
          <w:szCs w:val="20"/>
          <w:color w:val="auto"/>
        </w:rPr>
      </w:pPr>
    </w:p>
    <w:p>
      <w:pPr>
        <w:jc w:val="both"/>
        <w:ind w:left="180" w:right="279" w:firstLine="648"/>
        <w:spacing w:after="0" w:line="289" w:lineRule="auto"/>
        <w:rPr>
          <w:sz w:val="20"/>
          <w:szCs w:val="20"/>
          <w:color w:val="auto"/>
        </w:rPr>
      </w:pPr>
      <w:r>
        <w:rPr>
          <w:rFonts w:ascii="Arial" w:cs="Arial" w:eastAsia="Arial" w:hAnsi="Arial"/>
          <w:sz w:val="16"/>
          <w:szCs w:val="16"/>
          <w:color w:val="auto"/>
        </w:rPr>
        <w:t>As of October 18, 2023, the record date for our Annual Meeting (the “Record Date”), there were 1,680,590 shares of our Class B Voting Common Stock (“Class B Stock”) outstanding, held by 187 stockholders of record.</w:t>
      </w:r>
    </w:p>
    <w:p>
      <w:pPr>
        <w:spacing w:after="0" w:line="97" w:lineRule="exact"/>
        <w:rPr>
          <w:sz w:val="20"/>
          <w:szCs w:val="20"/>
          <w:color w:val="auto"/>
        </w:rPr>
      </w:pPr>
    </w:p>
    <w:p>
      <w:pPr>
        <w:jc w:val="both"/>
        <w:ind w:left="180" w:right="279" w:firstLine="648"/>
        <w:spacing w:after="0" w:line="235" w:lineRule="auto"/>
        <w:rPr>
          <w:sz w:val="20"/>
          <w:szCs w:val="20"/>
          <w:color w:val="auto"/>
        </w:rPr>
      </w:pPr>
      <w:r>
        <w:rPr>
          <w:rFonts w:ascii="Arial" w:cs="Arial" w:eastAsia="Arial" w:hAnsi="Arial"/>
          <w:sz w:val="18"/>
          <w:szCs w:val="18"/>
          <w:color w:val="auto"/>
        </w:rPr>
        <w:t>When proxies are properly executed and received, the shares represented thereby will be voted at our Annual Meeting in accordance with the directions noted thereon.</w:t>
      </w:r>
    </w:p>
    <w:p>
      <w:pPr>
        <w:spacing w:after="0" w:line="135" w:lineRule="exact"/>
        <w:rPr>
          <w:sz w:val="20"/>
          <w:szCs w:val="20"/>
          <w:color w:val="auto"/>
        </w:rPr>
      </w:pPr>
    </w:p>
    <w:p>
      <w:pPr>
        <w:ind w:left="180" w:right="1139" w:firstLine="648"/>
        <w:spacing w:after="0" w:line="289" w:lineRule="auto"/>
        <w:rPr>
          <w:sz w:val="20"/>
          <w:szCs w:val="20"/>
          <w:color w:val="auto"/>
        </w:rPr>
      </w:pPr>
      <w:r>
        <w:rPr>
          <w:rFonts w:ascii="Arial" w:cs="Arial" w:eastAsia="Arial" w:hAnsi="Arial"/>
          <w:sz w:val="16"/>
          <w:szCs w:val="16"/>
          <w:color w:val="auto"/>
        </w:rPr>
        <w:t>Our Proxy Statement and Annual Report are both available free of charge at https://investor.readingrdi.com/financial-information/annual-reports and at www.envisionreports.com/RDI.</w:t>
      </w:r>
    </w:p>
    <w:p>
      <w:pPr>
        <w:spacing w:after="0" w:line="9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Annual Meeting will be hosted on www.meetnow.global/MCTJ4NC (“Annual Meeting Website”).</w:t>
      </w:r>
    </w:p>
    <w:p>
      <w:pPr>
        <w:spacing w:after="0" w:line="297" w:lineRule="exact"/>
        <w:rPr>
          <w:sz w:val="20"/>
          <w:szCs w:val="20"/>
          <w:color w:val="auto"/>
        </w:rPr>
      </w:pPr>
    </w:p>
    <w:p>
      <w:pPr>
        <w:ind w:left="180" w:right="2299" w:firstLine="2743"/>
        <w:spacing w:after="0" w:line="418" w:lineRule="auto"/>
        <w:rPr>
          <w:sz w:val="20"/>
          <w:szCs w:val="20"/>
          <w:color w:val="auto"/>
        </w:rPr>
      </w:pPr>
      <w:r>
        <w:rPr>
          <w:rFonts w:ascii="Arial" w:cs="Arial" w:eastAsia="Arial" w:hAnsi="Arial"/>
          <w:sz w:val="18"/>
          <w:szCs w:val="18"/>
          <w:b w:val="1"/>
          <w:bCs w:val="1"/>
          <w:color w:val="auto"/>
        </w:rPr>
        <w:t>ABOUT our virtual ANNUAL MEETING AND VOTING How do I register to Participate in the Virtual Annual Meeting?</w:t>
      </w:r>
    </w:p>
    <w:p>
      <w:pPr>
        <w:spacing w:after="0" w:line="1" w:lineRule="exact"/>
        <w:rPr>
          <w:sz w:val="20"/>
          <w:szCs w:val="20"/>
          <w:color w:val="auto"/>
        </w:rPr>
      </w:pPr>
    </w:p>
    <w:p>
      <w:pPr>
        <w:jc w:val="both"/>
        <w:ind w:left="180" w:right="279" w:firstLine="648"/>
        <w:spacing w:after="0" w:line="227" w:lineRule="auto"/>
        <w:rPr>
          <w:sz w:val="20"/>
          <w:szCs w:val="20"/>
          <w:color w:val="auto"/>
        </w:rPr>
      </w:pPr>
      <w:r>
        <w:rPr>
          <w:rFonts w:ascii="Arial" w:cs="Arial" w:eastAsia="Arial" w:hAnsi="Arial"/>
          <w:sz w:val="17"/>
          <w:szCs w:val="17"/>
          <w:color w:val="auto"/>
        </w:rPr>
        <w:t>Our Annual Meeting will be a completely virtual meeting of stockholders, which will be conducted exclusively by webcast on our Annual Meeting Website. You are entitled to participate in and vote at our Annual Meeting if you were a registered Class B stockholder (i.e., you hold your shares through our transfer agent,</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Computershare, Inc.) as of the close of business on the Record Date, October 18, 2023, or if you are the beneficial owner of shares of Class B Stock and your shares are held in the name of an intermediary, such as a bank, broker, trust, agent or other nominee (a “Nominee”), you have received a valid proxy from that Nominee to vote such shares</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at our Annual Meeting. Only the holders of Class B Stock or of proxies to vote Class B Stock, may vote at, make nominations at, or bring matters before our Annual Meeting.</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If you were a registered stockholder of Class B Stock on the Record Date, you do not need to register to participate in our Annual Meeting as you will be automatically pre-registered by Computershare, Inc. Please visit our Annual Meeting Website and follow the instructions on the accompanying proxy card if you are a holder of Class B</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w:t>
      </w:r>
    </w:p>
    <w:p>
      <w:pPr>
        <w:spacing w:after="0" w:line="34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ind w:left="840"/>
        <w:spacing w:after="0"/>
        <w:rPr>
          <w:sz w:val="20"/>
          <w:szCs w:val="20"/>
          <w:color w:val="auto"/>
        </w:rPr>
      </w:pPr>
      <w:r>
        <w:rPr>
          <w:rFonts w:ascii="Arial" w:cs="Arial" w:eastAsia="Arial" w:hAnsi="Arial"/>
          <w:sz w:val="17"/>
          <w:szCs w:val="17"/>
          <w:color w:val="auto"/>
        </w:rPr>
        <w:t>If you are a beneficial owner of Class B Stock, and your shares are held in the name of a Nominee, you</w:t>
      </w:r>
    </w:p>
    <w:p>
      <w:pPr>
        <w:spacing w:after="0" w:line="10" w:lineRule="exact"/>
        <w:rPr>
          <w:sz w:val="20"/>
          <w:szCs w:val="20"/>
          <w:color w:val="auto"/>
        </w:rPr>
      </w:pPr>
    </w:p>
    <w:p>
      <w:pPr>
        <w:ind w:left="180" w:right="279"/>
        <w:spacing w:after="0" w:line="226" w:lineRule="auto"/>
        <w:rPr>
          <w:sz w:val="20"/>
          <w:szCs w:val="20"/>
          <w:color w:val="auto"/>
        </w:rPr>
      </w:pPr>
      <w:r>
        <w:rPr>
          <w:rFonts w:ascii="Arial" w:cs="Arial" w:eastAsia="Arial" w:hAnsi="Arial"/>
          <w:sz w:val="18"/>
          <w:szCs w:val="18"/>
          <w:color w:val="auto"/>
        </w:rPr>
        <w:t>should receive from your Nominee a Voting Instruction Form (also known as a “VIF”). Please follow the instructions on your VIF.</w:t>
      </w:r>
    </w:p>
    <w:p>
      <w:pPr>
        <w:spacing w:after="0" w:line="134" w:lineRule="exact"/>
        <w:rPr>
          <w:sz w:val="20"/>
          <w:szCs w:val="20"/>
          <w:color w:val="auto"/>
        </w:rPr>
      </w:pPr>
    </w:p>
    <w:p>
      <w:pPr>
        <w:jc w:val="right"/>
        <w:ind w:left="180" w:right="279"/>
        <w:spacing w:after="0" w:line="227" w:lineRule="auto"/>
        <w:rPr>
          <w:sz w:val="20"/>
          <w:szCs w:val="20"/>
          <w:color w:val="auto"/>
        </w:rPr>
      </w:pPr>
      <w:r>
        <w:rPr>
          <w:rFonts w:ascii="Arial" w:cs="Arial" w:eastAsia="Arial" w:hAnsi="Arial"/>
          <w:sz w:val="17"/>
          <w:szCs w:val="17"/>
          <w:color w:val="auto"/>
        </w:rPr>
        <w:t>If you are a beneficial owner of Class B Stock and your shares are held in the name of a Nominee, you must register in advance to participate in our Annual Meeting. To register you must submit proof of your proxy power (a valid proxy),  reflecting  your  stock  holdings  along  with  your  name  and  email  address  to  Computershare</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directly. Requests for registration must be labeled as a “Legal Proxy” and must be received no later than 5:00 p.m., Eastern Time, on Monday, December 4, 2023. Filling in and returning the VIF will not by itself register you to attend our Annual Meeting. Even if you fill in and return the VIF, you will still need to separately register. Beneficial</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owners of Class B Stock holding valid proxies will have the same rights to participate in, nominate directors, and bring matters before and vote at our Annual Meeting as stockholders of record, but only to the extent that such valid proxy specifically grants such rights. For convenience, when we make reference to “stockholders” in these materials,</w:t>
      </w:r>
    </w:p>
    <w:p>
      <w:pPr>
        <w:spacing w:after="0" w:line="2" w:lineRule="exact"/>
        <w:rPr>
          <w:sz w:val="20"/>
          <w:szCs w:val="20"/>
          <w:color w:val="auto"/>
        </w:rPr>
      </w:pPr>
    </w:p>
    <w:p>
      <w:pPr>
        <w:jc w:val="both"/>
        <w:ind w:left="180" w:right="279"/>
        <w:spacing w:after="0" w:line="248" w:lineRule="auto"/>
        <w:rPr>
          <w:sz w:val="20"/>
          <w:szCs w:val="20"/>
          <w:color w:val="auto"/>
        </w:rPr>
      </w:pPr>
      <w:r>
        <w:rPr>
          <w:rFonts w:ascii="Arial" w:cs="Arial" w:eastAsia="Arial" w:hAnsi="Arial"/>
          <w:sz w:val="16"/>
          <w:szCs w:val="16"/>
          <w:color w:val="auto"/>
        </w:rPr>
        <w:t>we mean both Class B stockholders of record as of the Record Date, and holders of valid proxies (to the extent rights to participate in, nominate directors, and bring matters before and vote at our Annual Meeting have been granted to such holder by such valid proxy). Your Nominee should have available for your use a form of valid proxy.</w:t>
      </w:r>
    </w:p>
    <w:p>
      <w:pPr>
        <w:spacing w:after="0" w:line="170" w:lineRule="exact"/>
        <w:rPr>
          <w:sz w:val="20"/>
          <w:szCs w:val="20"/>
          <w:color w:val="auto"/>
        </w:rPr>
      </w:pPr>
    </w:p>
    <w:p>
      <w:pPr>
        <w:jc w:val="both"/>
        <w:ind w:left="180" w:right="279" w:firstLine="648"/>
        <w:spacing w:after="0" w:line="224" w:lineRule="auto"/>
        <w:rPr>
          <w:sz w:val="20"/>
          <w:szCs w:val="20"/>
          <w:color w:val="auto"/>
        </w:rPr>
      </w:pPr>
      <w:r>
        <w:rPr>
          <w:rFonts w:ascii="Arial" w:cs="Arial" w:eastAsia="Arial" w:hAnsi="Arial"/>
          <w:sz w:val="18"/>
          <w:szCs w:val="18"/>
          <w:color w:val="auto"/>
        </w:rPr>
        <w:t>You will receive an email confirmation of your registration after Computershare receives your proxy registration materials. Please visit our Annual Meeting Website and follow the instructions on the proxy card or your VIF to access our Annual Meeting on the Internet.</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Requests for registration should be directed to us at the following:</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E-mail:</w:t>
      </w:r>
    </w:p>
    <w:p>
      <w:pPr>
        <w:spacing w:after="0" w:line="185" w:lineRule="exact"/>
        <w:rPr>
          <w:sz w:val="20"/>
          <w:szCs w:val="20"/>
          <w:color w:val="auto"/>
        </w:rPr>
      </w:pPr>
    </w:p>
    <w:p>
      <w:pPr>
        <w:ind w:left="840" w:right="2499"/>
        <w:spacing w:after="0" w:line="246" w:lineRule="auto"/>
        <w:rPr>
          <w:sz w:val="20"/>
          <w:szCs w:val="20"/>
          <w:color w:val="auto"/>
        </w:rPr>
      </w:pPr>
      <w:r>
        <w:rPr>
          <w:rFonts w:ascii="Arial" w:cs="Arial" w:eastAsia="Arial" w:hAnsi="Arial"/>
          <w:sz w:val="18"/>
          <w:szCs w:val="18"/>
          <w:color w:val="auto"/>
        </w:rPr>
        <w:t>Forward the email from your broker, or attach an image of your valid proxy, to legalproxy@computershare.com.</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mail:</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Computershare, Inc.</w:t>
      </w:r>
    </w:p>
    <w:p>
      <w:pPr>
        <w:ind w:left="840"/>
        <w:spacing w:after="0" w:line="203" w:lineRule="auto"/>
        <w:rPr>
          <w:sz w:val="20"/>
          <w:szCs w:val="20"/>
          <w:color w:val="auto"/>
        </w:rPr>
      </w:pPr>
      <w:r>
        <w:rPr>
          <w:rFonts w:ascii="Arial" w:cs="Arial" w:eastAsia="Arial" w:hAnsi="Arial"/>
          <w:sz w:val="18"/>
          <w:szCs w:val="18"/>
          <w:color w:val="auto"/>
        </w:rPr>
        <w:t>Reading International, Inc. Legal Proxy</w:t>
      </w:r>
    </w:p>
    <w:p>
      <w:pPr>
        <w:ind w:left="840"/>
        <w:spacing w:after="0" w:line="203" w:lineRule="auto"/>
        <w:rPr>
          <w:sz w:val="20"/>
          <w:szCs w:val="20"/>
          <w:color w:val="auto"/>
        </w:rPr>
      </w:pPr>
      <w:r>
        <w:rPr>
          <w:rFonts w:ascii="Arial" w:cs="Arial" w:eastAsia="Arial" w:hAnsi="Arial"/>
          <w:sz w:val="18"/>
          <w:szCs w:val="18"/>
          <w:color w:val="auto"/>
        </w:rPr>
        <w:t>P.O. Box 43001</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Providence, RI 02940-3001</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Do I Attend the Virtual Annual Meeting if I Only Hold Class A Non-Voting Stock?</w:t>
      </w:r>
    </w:p>
    <w:p>
      <w:pPr>
        <w:spacing w:after="0" w:line="162" w:lineRule="exact"/>
        <w:rPr>
          <w:sz w:val="20"/>
          <w:szCs w:val="20"/>
          <w:color w:val="auto"/>
        </w:rPr>
      </w:pPr>
    </w:p>
    <w:p>
      <w:pPr>
        <w:jc w:val="both"/>
        <w:ind w:left="180" w:right="279" w:firstLine="648"/>
        <w:spacing w:after="0" w:line="232" w:lineRule="auto"/>
        <w:rPr>
          <w:sz w:val="20"/>
          <w:szCs w:val="20"/>
          <w:color w:val="auto"/>
        </w:rPr>
      </w:pPr>
      <w:r>
        <w:rPr>
          <w:rFonts w:ascii="Arial" w:cs="Arial" w:eastAsia="Arial" w:hAnsi="Arial"/>
          <w:sz w:val="17"/>
          <w:szCs w:val="17"/>
          <w:color w:val="auto"/>
        </w:rPr>
        <w:t>Any stockholder that only holds Class A Stock will receive a courtesy notice regarding our 2023 Annual Meeting which will include instructions on how to attend. Holders of Class A Non-Voting Common Stock (“Class A Stock”) will only be permitted to attend the Annual Meeting in “listen only” mode and will have no right to communicate, participate in or vote at our 2023 Annual Meeting or any adjournment of postponement thereof.</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if I have trouble accessing the Annual Meeting virtually?</w:t>
      </w:r>
    </w:p>
    <w:p>
      <w:pPr>
        <w:spacing w:after="0" w:line="162"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The virtual meeting platform is fully supported across browsers (MS Edge, Firefox, Chrome and Safari) and devices (desktops, laptops, tablets and cell phones) running the most up-to-date version of applicable software and</w:t>
      </w:r>
    </w:p>
    <w:p>
      <w:pPr>
        <w:ind w:left="180"/>
        <w:spacing w:after="0"/>
        <w:rPr>
          <w:sz w:val="20"/>
          <w:szCs w:val="20"/>
          <w:color w:val="auto"/>
        </w:rPr>
      </w:pPr>
      <w:r>
        <w:rPr>
          <w:rFonts w:ascii="Arial" w:cs="Arial" w:eastAsia="Arial" w:hAnsi="Arial"/>
          <w:sz w:val="18"/>
          <w:szCs w:val="18"/>
          <w:color w:val="auto"/>
        </w:rPr>
        <w:t>plugins. Note: Internet Explorer is not a supported browser.</w:t>
      </w:r>
    </w:p>
    <w:p>
      <w:pPr>
        <w:spacing w:after="0" w:line="128" w:lineRule="exact"/>
        <w:rPr>
          <w:sz w:val="20"/>
          <w:szCs w:val="20"/>
          <w:color w:val="auto"/>
        </w:rPr>
      </w:pPr>
    </w:p>
    <w:p>
      <w:pPr>
        <w:ind w:left="220" w:right="279" w:firstLine="603"/>
        <w:spacing w:after="0" w:line="246" w:lineRule="auto"/>
        <w:rPr>
          <w:sz w:val="20"/>
          <w:szCs w:val="20"/>
          <w:color w:val="auto"/>
        </w:rPr>
      </w:pPr>
      <w:r>
        <w:rPr>
          <w:rFonts w:ascii="Arial" w:cs="Arial" w:eastAsia="Arial" w:hAnsi="Arial"/>
          <w:sz w:val="18"/>
          <w:szCs w:val="18"/>
          <w:color w:val="auto"/>
        </w:rPr>
        <w:t>Participants should ensure that they have a strong WiFi connection wherever they intend to participate in the Annual Meeting.</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 encourage you to access the meeting prior to the start time to allow time to resolve any technical issues</w:t>
      </w:r>
    </w:p>
    <w:p>
      <w:pPr>
        <w:spacing w:after="0" w:line="21"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that you might experience with logging in or participating in our Annual Meeting arise. Live technical support will be available if you have any problems accessing our Annual Meeting Website. For further assistance should you need it you may call Local 1-888-724-2416 or International 1-781-575-2748.</w:t>
      </w:r>
    </w:p>
    <w:p>
      <w:pPr>
        <w:spacing w:after="0" w:line="17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 w:name="page8"/>
    <w:bookmarkEnd w:id="7"/>
    <w:p>
      <w:pPr>
        <w:ind w:left="180"/>
        <w:spacing w:after="0"/>
        <w:rPr>
          <w:sz w:val="20"/>
          <w:szCs w:val="20"/>
          <w:color w:val="auto"/>
        </w:rPr>
      </w:pPr>
      <w:r>
        <w:rPr>
          <w:rFonts w:ascii="Arial" w:cs="Arial" w:eastAsia="Arial" w:hAnsi="Arial"/>
          <w:sz w:val="18"/>
          <w:szCs w:val="18"/>
          <w:b w:val="1"/>
          <w:bCs w:val="1"/>
          <w:color w:val="auto"/>
        </w:rPr>
        <w:t>What items of business will be voted on at our Annual Meeting?</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There are five items of business scheduled to be considered for a vote at our Annual Meeting:</w:t>
      </w:r>
    </w:p>
    <w:p>
      <w:pPr>
        <w:spacing w:after="0" w:line="158" w:lineRule="exact"/>
        <w:rPr>
          <w:sz w:val="20"/>
          <w:szCs w:val="20"/>
          <w:color w:val="auto"/>
        </w:rPr>
      </w:pPr>
    </w:p>
    <w:p>
      <w:pPr>
        <w:ind w:left="1480" w:hanging="324"/>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1: Election of five (5) Directors to our Board (the “Election of Directors”);</w:t>
      </w:r>
    </w:p>
    <w:p>
      <w:pPr>
        <w:spacing w:after="0" w:line="157" w:lineRule="exact"/>
        <w:rPr>
          <w:rFonts w:ascii="Arial" w:cs="Arial" w:eastAsia="Arial" w:hAnsi="Arial"/>
          <w:sz w:val="18"/>
          <w:szCs w:val="18"/>
          <w:color w:val="auto"/>
        </w:rPr>
      </w:pPr>
    </w:p>
    <w:p>
      <w:pPr>
        <w:jc w:val="both"/>
        <w:ind w:left="1480" w:right="279" w:hanging="324"/>
        <w:spacing w:after="0" w:line="224"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2: Ratification of the appointment of Grant Thornton LLP as the Company’s registered independent public accounting firm for the year ended December 31, 2023 (the “Independent Auditor Ratification Proposal”);</w:t>
      </w:r>
    </w:p>
    <w:p>
      <w:pPr>
        <w:spacing w:after="0" w:line="135" w:lineRule="exact"/>
        <w:rPr>
          <w:rFonts w:ascii="Arial" w:cs="Arial" w:eastAsia="Arial" w:hAnsi="Arial"/>
          <w:sz w:val="18"/>
          <w:szCs w:val="18"/>
          <w:color w:val="auto"/>
        </w:rPr>
      </w:pPr>
    </w:p>
    <w:p>
      <w:pPr>
        <w:ind w:left="1480" w:right="279" w:hanging="324"/>
        <w:spacing w:after="0" w:line="258" w:lineRule="auto"/>
        <w:tabs>
          <w:tab w:leader="none" w:pos="1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PROPOSAL 3: Approval, on a non-binding, advisory basis, of the executive compensation of our named executive officers (the “Advisory Vote on Executive Officer Compensation Proposal”);</w:t>
      </w:r>
    </w:p>
    <w:p>
      <w:pPr>
        <w:spacing w:after="0" w:line="119" w:lineRule="exact"/>
        <w:rPr>
          <w:rFonts w:ascii="Arial" w:cs="Arial" w:eastAsia="Arial" w:hAnsi="Arial"/>
          <w:sz w:val="17"/>
          <w:szCs w:val="17"/>
          <w:color w:val="auto"/>
        </w:rPr>
      </w:pPr>
    </w:p>
    <w:p>
      <w:pPr>
        <w:jc w:val="both"/>
        <w:ind w:left="1480" w:right="279" w:hanging="324"/>
        <w:spacing w:after="0" w:line="224"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4: Approval, on a non-binding, advisory basis, of the frequency of votes on executive compensation every one, two or three years (the “Advisory Vote on Executive Compensation Vote Frequency Proposal”);</w:t>
      </w:r>
    </w:p>
    <w:p>
      <w:pPr>
        <w:spacing w:after="0" w:line="135" w:lineRule="exact"/>
        <w:rPr>
          <w:rFonts w:ascii="Arial" w:cs="Arial" w:eastAsia="Arial" w:hAnsi="Arial"/>
          <w:sz w:val="18"/>
          <w:szCs w:val="18"/>
          <w:color w:val="auto"/>
        </w:rPr>
      </w:pPr>
    </w:p>
    <w:p>
      <w:pPr>
        <w:jc w:val="both"/>
        <w:ind w:left="1480" w:right="279" w:hanging="324"/>
        <w:spacing w:after="0" w:line="223"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5: Approval of an amendment to the Reading International, Inc. 2020 Stock Incentive Plan to increase the number of Share of Class A Stock reserved for issuance thereunder by 971,807 Shares of Class A Stock (the “Increase to Share Reserve under the 2020 Stock Incentive Plan Proposal”).</w:t>
      </w:r>
    </w:p>
    <w:p>
      <w:pPr>
        <w:spacing w:after="0" w:line="135" w:lineRule="exact"/>
        <w:rPr>
          <w:sz w:val="20"/>
          <w:szCs w:val="20"/>
          <w:color w:val="auto"/>
        </w:rPr>
      </w:pPr>
    </w:p>
    <w:p>
      <w:pPr>
        <w:ind w:left="180" w:right="279" w:firstLine="648"/>
        <w:spacing w:after="0" w:line="235" w:lineRule="auto"/>
        <w:rPr>
          <w:sz w:val="20"/>
          <w:szCs w:val="20"/>
          <w:color w:val="auto"/>
        </w:rPr>
      </w:pPr>
      <w:r>
        <w:rPr>
          <w:rFonts w:ascii="Arial" w:cs="Arial" w:eastAsia="Arial" w:hAnsi="Arial"/>
          <w:sz w:val="18"/>
          <w:szCs w:val="18"/>
          <w:color w:val="auto"/>
        </w:rPr>
        <w:t>We will also consider any other business that may properly come before our Annual Meeting or any adjournments or postponements thereof.</w:t>
      </w:r>
    </w:p>
    <w:p>
      <w:pPr>
        <w:spacing w:after="0" w:line="131" w:lineRule="exact"/>
        <w:rPr>
          <w:sz w:val="20"/>
          <w:szCs w:val="20"/>
          <w:color w:val="auto"/>
        </w:rPr>
      </w:pPr>
    </w:p>
    <w:p>
      <w:pPr>
        <w:jc w:val="right"/>
        <w:ind w:right="5379"/>
        <w:spacing w:after="0"/>
        <w:rPr>
          <w:sz w:val="20"/>
          <w:szCs w:val="20"/>
          <w:color w:val="auto"/>
        </w:rPr>
      </w:pPr>
      <w:r>
        <w:rPr>
          <w:rFonts w:ascii="Arial" w:cs="Arial" w:eastAsia="Arial" w:hAnsi="Arial"/>
          <w:sz w:val="16"/>
          <w:szCs w:val="16"/>
          <w:b w:val="1"/>
          <w:bCs w:val="1"/>
          <w:color w:val="auto"/>
        </w:rPr>
        <w:t>How does our Board recommend that I vote?</w:t>
      </w:r>
    </w:p>
    <w:p>
      <w:pPr>
        <w:spacing w:after="0" w:line="171" w:lineRule="exact"/>
        <w:rPr>
          <w:sz w:val="20"/>
          <w:szCs w:val="20"/>
          <w:color w:val="auto"/>
        </w:rPr>
      </w:pPr>
    </w:p>
    <w:p>
      <w:pPr>
        <w:jc w:val="right"/>
        <w:ind w:right="5419"/>
        <w:spacing w:after="0"/>
        <w:rPr>
          <w:sz w:val="20"/>
          <w:szCs w:val="20"/>
          <w:color w:val="auto"/>
        </w:rPr>
      </w:pPr>
      <w:r>
        <w:rPr>
          <w:rFonts w:ascii="Arial" w:cs="Arial" w:eastAsia="Arial" w:hAnsi="Arial"/>
          <w:sz w:val="18"/>
          <w:szCs w:val="18"/>
          <w:color w:val="auto"/>
        </w:rPr>
        <w:t>Our Board recommends that you vote:</w:t>
      </w:r>
    </w:p>
    <w:p>
      <w:pPr>
        <w:spacing w:after="0" w:line="158" w:lineRule="exact"/>
        <w:rPr>
          <w:sz w:val="20"/>
          <w:szCs w:val="20"/>
          <w:color w:val="auto"/>
        </w:rPr>
      </w:pPr>
    </w:p>
    <w:p>
      <w:pPr>
        <w:ind w:left="1480" w:hanging="324"/>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PROPOSAL 1: “FOR” the election of each of our nominees to our Board;</w:t>
      </w:r>
    </w:p>
    <w:p>
      <w:pPr>
        <w:spacing w:after="0" w:line="157" w:lineRule="exact"/>
        <w:rPr>
          <w:rFonts w:ascii="Arial" w:cs="Arial" w:eastAsia="Arial" w:hAnsi="Arial"/>
          <w:sz w:val="18"/>
          <w:szCs w:val="18"/>
          <w:color w:val="auto"/>
        </w:rPr>
      </w:pPr>
    </w:p>
    <w:p>
      <w:pPr>
        <w:ind w:left="1480" w:hanging="324"/>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PROPOSAL 2: “FOR” the Independent Auditor Ratification Proposal;</w:t>
      </w:r>
    </w:p>
    <w:p>
      <w:pPr>
        <w:spacing w:after="0" w:line="157" w:lineRule="exact"/>
        <w:rPr>
          <w:rFonts w:ascii="Arial" w:cs="Arial" w:eastAsia="Arial" w:hAnsi="Arial"/>
          <w:sz w:val="18"/>
          <w:szCs w:val="18"/>
          <w:color w:val="auto"/>
        </w:rPr>
      </w:pPr>
    </w:p>
    <w:p>
      <w:pPr>
        <w:ind w:left="1480" w:hanging="324"/>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PROPOSAL 3: “FOR” the Advisory Vote on Executive Officer Compensation Proposal;</w:t>
      </w:r>
    </w:p>
    <w:p>
      <w:pPr>
        <w:spacing w:after="0" w:line="130" w:lineRule="exact"/>
        <w:rPr>
          <w:rFonts w:ascii="Arial" w:cs="Arial" w:eastAsia="Arial" w:hAnsi="Arial"/>
          <w:sz w:val="18"/>
          <w:szCs w:val="18"/>
          <w:color w:val="auto"/>
        </w:rPr>
      </w:pPr>
    </w:p>
    <w:p>
      <w:pPr>
        <w:ind w:left="1480" w:right="279" w:hanging="324"/>
        <w:spacing w:after="0" w:line="246"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PROPOSAL 4: “FOR” one year on the Advisory Vote on Executive Compensation Vote Frequency Proposal; and</w:t>
      </w:r>
    </w:p>
    <w:p>
      <w:pPr>
        <w:spacing w:after="0" w:line="102" w:lineRule="exact"/>
        <w:rPr>
          <w:rFonts w:ascii="Arial" w:cs="Arial" w:eastAsia="Arial" w:hAnsi="Arial"/>
          <w:sz w:val="18"/>
          <w:szCs w:val="18"/>
          <w:color w:val="auto"/>
        </w:rPr>
      </w:pPr>
    </w:p>
    <w:p>
      <w:pPr>
        <w:ind w:left="1480" w:right="279" w:hanging="324"/>
        <w:spacing w:after="0" w:line="246"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PROPOSAL 5: “FOR” the Increase to Share Reserve under the 2020 Stock Incentive Plan Proposal.</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happens if additional matters are presented at our Annual Meeting?</w:t>
      </w:r>
    </w:p>
    <w:p>
      <w:pPr>
        <w:spacing w:after="0" w:line="162"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Other than the items of business described in this Proxy Statement, we are not aware of any other business to be acted upon at our Annual Meeting. If you grant a proxy, the persons named as proxies will have the discretion to vote your shares on any additional matters properly presented for a vote at our Annual Meeting, unless you indicate to</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contrary on such proxy.</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will the meeting be conducted and how do I participate?</w:t>
      </w:r>
    </w:p>
    <w:p>
      <w:pPr>
        <w:spacing w:after="0" w:line="162" w:lineRule="exact"/>
        <w:rPr>
          <w:sz w:val="20"/>
          <w:szCs w:val="20"/>
          <w:color w:val="auto"/>
        </w:rPr>
      </w:pPr>
    </w:p>
    <w:p>
      <w:pPr>
        <w:jc w:val="both"/>
        <w:ind w:left="180" w:right="279" w:firstLine="648"/>
        <w:spacing w:after="0" w:line="233" w:lineRule="auto"/>
        <w:rPr>
          <w:sz w:val="20"/>
          <w:szCs w:val="20"/>
          <w:color w:val="auto"/>
        </w:rPr>
      </w:pPr>
      <w:r>
        <w:rPr>
          <w:rFonts w:ascii="Arial" w:cs="Arial" w:eastAsia="Arial" w:hAnsi="Arial"/>
          <w:sz w:val="17"/>
          <w:szCs w:val="17"/>
          <w:color w:val="auto"/>
        </w:rPr>
        <w:t>As a corporation organized under the laws of the State of Nevada, our Company is subject to the Nevada corporation laws codified in Chapter 78 of the Nevada Revised Statutes (the “Nevada Corporation Law”). The</w:t>
      </w:r>
    </w:p>
    <w:p>
      <w:pPr>
        <w:spacing w:after="0" w:line="1" w:lineRule="exact"/>
        <w:rPr>
          <w:sz w:val="20"/>
          <w:szCs w:val="20"/>
          <w:color w:val="auto"/>
        </w:rPr>
      </w:pPr>
    </w:p>
    <w:p>
      <w:pPr>
        <w:jc w:val="both"/>
        <w:ind w:left="180" w:right="279"/>
        <w:spacing w:after="0" w:line="221" w:lineRule="auto"/>
        <w:rPr>
          <w:sz w:val="20"/>
          <w:szCs w:val="20"/>
          <w:color w:val="auto"/>
        </w:rPr>
      </w:pPr>
      <w:r>
        <w:rPr>
          <w:rFonts w:ascii="Arial" w:cs="Arial" w:eastAsia="Arial" w:hAnsi="Arial"/>
          <w:sz w:val="17"/>
          <w:szCs w:val="17"/>
          <w:color w:val="auto"/>
        </w:rPr>
        <w:t>Nevada Corporation Law provides for the conduct of virtual meetings, and our Class B stockholders’ remote participation at such a meeting via the procedures described in these materials is considered to be “participation” at that meeting for purposes of establishing a quorum, for voting and for all other purposes. The</w:t>
      </w:r>
    </w:p>
    <w:p>
      <w:pPr>
        <w:jc w:val="both"/>
        <w:ind w:left="180" w:right="279"/>
        <w:spacing w:after="0" w:line="234" w:lineRule="auto"/>
        <w:rPr>
          <w:sz w:val="20"/>
          <w:szCs w:val="20"/>
          <w:color w:val="auto"/>
        </w:rPr>
      </w:pPr>
      <w:r>
        <w:rPr>
          <w:rFonts w:ascii="Arial" w:cs="Arial" w:eastAsia="Arial" w:hAnsi="Arial"/>
          <w:sz w:val="16"/>
          <w:szCs w:val="16"/>
          <w:color w:val="auto"/>
        </w:rPr>
        <w:t>Nevada Corporation Law also requires that we verify the identity of each person participating through such means, and provide our Class B stockholders a reasonable opportunity to participate in the meeting, to vote on matters submitted to the stockholders, including an opportunity to communicate, and to read or hear the proceedings of the</w:t>
      </w:r>
    </w:p>
    <w:p>
      <w:pPr>
        <w:spacing w:after="0" w:line="2" w:lineRule="exact"/>
        <w:rPr>
          <w:sz w:val="20"/>
          <w:szCs w:val="20"/>
          <w:color w:val="auto"/>
        </w:rPr>
      </w:pPr>
    </w:p>
    <w:p>
      <w:pPr>
        <w:jc w:val="both"/>
        <w:ind w:left="180" w:right="279"/>
        <w:spacing w:after="0" w:line="268" w:lineRule="auto"/>
        <w:rPr>
          <w:sz w:val="20"/>
          <w:szCs w:val="20"/>
          <w:color w:val="auto"/>
        </w:rPr>
      </w:pPr>
      <w:r>
        <w:rPr>
          <w:rFonts w:ascii="Arial" w:cs="Arial" w:eastAsia="Arial" w:hAnsi="Arial"/>
          <w:sz w:val="16"/>
          <w:szCs w:val="16"/>
          <w:color w:val="auto"/>
        </w:rPr>
        <w:t>meeting in a substantially concurrent manner with such proceedings. In order to satisfy these requirements, we have adopted certain registration requirements and communication provisions as further described in these materials.</w:t>
      </w:r>
    </w:p>
    <w:p>
      <w:pPr>
        <w:spacing w:after="0" w:line="14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 w:name="page9"/>
    <w:bookmarkEnd w:id="8"/>
    <w:p>
      <w:pPr>
        <w:ind w:left="840"/>
        <w:spacing w:after="0"/>
        <w:rPr>
          <w:sz w:val="20"/>
          <w:szCs w:val="20"/>
          <w:color w:val="auto"/>
        </w:rPr>
      </w:pPr>
      <w:r>
        <w:rPr>
          <w:rFonts w:ascii="Arial" w:cs="Arial" w:eastAsia="Arial" w:hAnsi="Arial"/>
          <w:sz w:val="17"/>
          <w:szCs w:val="17"/>
          <w:color w:val="auto"/>
        </w:rPr>
        <w:t>As an initial step, in order to participate in our Annual Meeting, you will need to register in advance of the</w:t>
      </w:r>
    </w:p>
    <w:p>
      <w:pPr>
        <w:spacing w:after="0" w:line="10"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 xml:space="preserve">meeting if you did not hold shares of Class B Stock of record at October 18, 2023, and were therefore not automatically pre-registered by Computershare. If you own Class B shares held in the name of a Nominee, please make sure to follow the instructions in the section above – </w:t>
      </w:r>
      <w:r>
        <w:rPr>
          <w:rFonts w:ascii="Arial" w:cs="Arial" w:eastAsia="Arial" w:hAnsi="Arial"/>
          <w:sz w:val="16"/>
          <w:szCs w:val="16"/>
          <w:i w:val="1"/>
          <w:iCs w:val="1"/>
          <w:color w:val="auto"/>
        </w:rPr>
        <w:t>How do I Register to Participate in the Virtual Annual</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i w:val="1"/>
          <w:iCs w:val="1"/>
          <w:color w:val="auto"/>
        </w:rPr>
        <w:t xml:space="preserve">Meeting </w:t>
      </w:r>
      <w:r>
        <w:rPr>
          <w:rFonts w:ascii="Arial" w:cs="Arial" w:eastAsia="Arial" w:hAnsi="Arial"/>
          <w:sz w:val="16"/>
          <w:szCs w:val="16"/>
          <w:color w:val="auto"/>
        </w:rPr>
        <w:t>- in order to register for our Annual Meeting. We have adopted this registration procedure in order to assure</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integrity of our Annual Meeting and the voting that takes place at that meeting and to comply with the Nevada Corporation Law. All registered Class B stockholders will be able to participate in our Annual Meeting webcast, ask</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question and, make nominations and vote online.</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 accordance with our Bylaws, Margaret Cotter, as the Chair of the Board, will be the Presiding Officer of</w:t>
      </w:r>
    </w:p>
    <w:p>
      <w:pPr>
        <w:spacing w:after="0" w:line="2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our Annual Meeting. S. Craig Tompkins has been designated by the Board to serve as Secretary for our Annual Meeting.</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Ms. Margaret Cotter, Ms. Ellen Cotter, our President and Chief Executive Officer, and other members of management may address attendees following our Annual Meeting. Stockholders desiring to pose questions to our management are encouraged to send their questions to us, care of the Secretary of our Annual Meeting, in advance of</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our Annual Meeting, so as to assist our management in preparing appropriate responses and to facilitate compliance with applicable securities laws. Questions may be submitted to us in advance via email at 2023AnnualMeeting@ReadingRDI.com or during the course of our Annual Meeting using the log-in and meeting text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procedure.</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Presiding Officer has broad authority to conduct our Annual Meeting in an orderly and timely</w:t>
      </w:r>
    </w:p>
    <w:p>
      <w:pPr>
        <w:jc w:val="both"/>
        <w:ind w:left="180" w:right="279"/>
        <w:spacing w:after="0" w:line="234" w:lineRule="auto"/>
        <w:rPr>
          <w:sz w:val="20"/>
          <w:szCs w:val="20"/>
          <w:color w:val="auto"/>
        </w:rPr>
      </w:pPr>
      <w:r>
        <w:rPr>
          <w:rFonts w:ascii="Arial" w:cs="Arial" w:eastAsia="Arial" w:hAnsi="Arial"/>
          <w:sz w:val="16"/>
          <w:szCs w:val="16"/>
          <w:color w:val="auto"/>
        </w:rPr>
        <w:t>manner. This authority includes establishing rules for stockholders who wish to address the meeting or bring matters before the Annual Meeting, which rules will be posted to our Annual Meeting Website. These rules reflect the fact that there will be no physical meeting, and that stockholder communications during the meeting will need to be made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by text rather than orally. The Presiding Officer may exercise broad discretion in responding to such texts and in communicating such texts with other participants at the meeting. In light of the need to conclude our Annual Meeting within a reasonable period of time, there can be no assurance that every Stockholder who wishes to communicate with</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us during the meeting will be able to do so or that every question will be answered. The Presiding Officer has authority, in her discretion, to recess or adjourn our Annual Meeting at any time. Only Class B stockholders are entitled to participate in our Annual Meeting. Any questions or disputes as to who may or may not participate in our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Annual Meeting will be determined by the Presiding Officer.</w:t>
      </w:r>
    </w:p>
    <w:p>
      <w:pPr>
        <w:spacing w:after="0" w:line="128" w:lineRule="exact"/>
        <w:rPr>
          <w:sz w:val="20"/>
          <w:szCs w:val="20"/>
          <w:color w:val="auto"/>
        </w:rPr>
      </w:pPr>
    </w:p>
    <w:p>
      <w:pPr>
        <w:jc w:val="both"/>
        <w:ind w:left="180" w:right="279" w:firstLine="648"/>
        <w:spacing w:after="0" w:line="233" w:lineRule="auto"/>
        <w:rPr>
          <w:sz w:val="20"/>
          <w:szCs w:val="20"/>
          <w:color w:val="auto"/>
        </w:rPr>
      </w:pPr>
      <w:r>
        <w:rPr>
          <w:rFonts w:ascii="Arial" w:cs="Arial" w:eastAsia="Arial" w:hAnsi="Arial"/>
          <w:sz w:val="17"/>
          <w:szCs w:val="17"/>
          <w:color w:val="auto"/>
        </w:rPr>
        <w:t>Only such business as shall have been properly brought before our Annual Meeting shall be conducted. Pursuant to our governing documents and applicable Nevada law, in order to be properly brought before</w:t>
      </w:r>
    </w:p>
    <w:p>
      <w:pPr>
        <w:spacing w:after="0" w:line="1" w:lineRule="exact"/>
        <w:rPr>
          <w:sz w:val="20"/>
          <w:szCs w:val="20"/>
          <w:color w:val="auto"/>
        </w:rPr>
      </w:pPr>
    </w:p>
    <w:p>
      <w:pPr>
        <w:jc w:val="both"/>
        <w:ind w:left="220" w:right="279" w:hanging="44"/>
        <w:spacing w:after="0" w:line="226" w:lineRule="auto"/>
        <w:rPr>
          <w:sz w:val="20"/>
          <w:szCs w:val="20"/>
          <w:color w:val="auto"/>
        </w:rPr>
      </w:pPr>
      <w:r>
        <w:rPr>
          <w:rFonts w:ascii="Arial" w:cs="Arial" w:eastAsia="Arial" w:hAnsi="Arial"/>
          <w:sz w:val="18"/>
          <w:szCs w:val="18"/>
          <w:color w:val="auto"/>
        </w:rPr>
        <w:t>the Annual Meeting, such business must be brought, (i) by or at the direction of the Chair, or our Board, or (ii) by a Class B stockholder.</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Whether or not you have previous experience registering to participate in our virtual annual meetings, we encourage you to register as soon as possible, so as to allow time to take corrective action prior to the Registration Deadline in the event any issues should arise as to your registration. Also, if you are the beneficial owner, but not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record holder of shares of Class B Stock, you will need to obtain a valid proxy from the record holder of such Class B Stock in order to vote such shares electronically at our Annual Meeting, to nominate candidates to run for director and/or to bring non-agenda matters before the meeting. Beneficial owners of shares of Class B Stock will be</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permitted to participate in the meeting but, as noted above, in order to vote any such shares, they will need to obtain from the record holder a valid proxy to vote such shares.</w:t>
      </w:r>
    </w:p>
    <w:p>
      <w:pPr>
        <w:spacing w:after="0" w:line="134" w:lineRule="exact"/>
        <w:rPr>
          <w:sz w:val="20"/>
          <w:szCs w:val="20"/>
          <w:color w:val="auto"/>
        </w:rPr>
      </w:pPr>
    </w:p>
    <w:p>
      <w:pPr>
        <w:jc w:val="both"/>
        <w:ind w:left="180" w:right="279" w:firstLine="648"/>
        <w:spacing w:after="0" w:line="227" w:lineRule="auto"/>
        <w:rPr>
          <w:sz w:val="20"/>
          <w:szCs w:val="20"/>
          <w:color w:val="auto"/>
        </w:rPr>
      </w:pPr>
      <w:r>
        <w:rPr>
          <w:rFonts w:ascii="Arial" w:cs="Arial" w:eastAsia="Arial" w:hAnsi="Arial"/>
          <w:sz w:val="17"/>
          <w:szCs w:val="17"/>
          <w:color w:val="auto"/>
        </w:rPr>
        <w:t>If you register to participate in our Annual Meeting, you will be provided with a control number and a unique link that will allow you to log-in to our Annual Meeting and to receive streaming audio and video of the meeting. Upon completing your registration, you will receive further instructions via email. Please be sure to follow</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the instructions that will be delivered to your email approximately one (1) hour prior to the start of our Annual Meeting. Stockholders will be able to log into the meeting approximately 15 minutes prior to the start of the meeting. This log-in process will likely not be instantaneous, so please allow a reasonable amount of time to log-in prior to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scheduled 2:00 p.m. Eastern Time commencement time for our Annual Meeting.</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Once logged-in, if you are a holder of record of Class B Stock or the holder of a valid proxy to vote shares of</w:t>
      </w:r>
    </w:p>
    <w:p>
      <w:pPr>
        <w:spacing w:after="0" w:line="21" w:lineRule="exact"/>
        <w:rPr>
          <w:sz w:val="20"/>
          <w:szCs w:val="20"/>
          <w:color w:val="auto"/>
        </w:rPr>
      </w:pPr>
    </w:p>
    <w:p>
      <w:pPr>
        <w:jc w:val="both"/>
        <w:ind w:left="180" w:right="279"/>
        <w:spacing w:after="0" w:line="221" w:lineRule="auto"/>
        <w:rPr>
          <w:sz w:val="20"/>
          <w:szCs w:val="20"/>
          <w:color w:val="auto"/>
        </w:rPr>
      </w:pPr>
      <w:r>
        <w:rPr>
          <w:rFonts w:ascii="Arial" w:cs="Arial" w:eastAsia="Arial" w:hAnsi="Arial"/>
          <w:sz w:val="17"/>
          <w:szCs w:val="17"/>
          <w:color w:val="auto"/>
        </w:rPr>
        <w:t>Class B Stock, you will be able to text questions or other communication to the Secretary of the Meeting (the “Meeting Text Function”). Any Class B Stockholder wishing to nominate a candidate for election to our Board, in addition to the candidates nominated by our Board, to comment on a matter before the meeting, or to bring a new</w:t>
      </w:r>
    </w:p>
    <w:p>
      <w:pPr>
        <w:jc w:val="both"/>
        <w:ind w:left="180" w:right="279"/>
        <w:spacing w:after="0" w:line="239" w:lineRule="auto"/>
        <w:rPr>
          <w:sz w:val="20"/>
          <w:szCs w:val="20"/>
          <w:color w:val="auto"/>
        </w:rPr>
      </w:pPr>
      <w:r>
        <w:rPr>
          <w:rFonts w:ascii="Arial" w:cs="Arial" w:eastAsia="Arial" w:hAnsi="Arial"/>
          <w:sz w:val="17"/>
          <w:szCs w:val="17"/>
          <w:color w:val="auto"/>
        </w:rPr>
        <w:t>matter before the meeting may do so using this Meeting Text Function. Note, the nomination of an individual to stand for election as a director will require (i) a second (which may also be provided by using the Meeting Text</w:t>
      </w:r>
    </w:p>
    <w:p>
      <w:pPr>
        <w:spacing w:after="0" w:line="16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 w:name="page10"/>
    <w:bookmarkEnd w:id="9"/>
    <w:p>
      <w:pPr>
        <w:ind w:left="180"/>
        <w:spacing w:after="0"/>
        <w:tabs>
          <w:tab w:leader="none" w:pos="960" w:val="left"/>
        </w:tabs>
        <w:rPr>
          <w:sz w:val="20"/>
          <w:szCs w:val="20"/>
          <w:color w:val="auto"/>
        </w:rPr>
      </w:pPr>
      <w:r>
        <w:rPr>
          <w:rFonts w:ascii="Arial" w:cs="Arial" w:eastAsia="Arial" w:hAnsi="Arial"/>
          <w:sz w:val="18"/>
          <w:szCs w:val="18"/>
          <w:color w:val="auto"/>
        </w:rPr>
        <w:t>Function</w:t>
      </w:r>
      <w:r>
        <w:rPr>
          <w:sz w:val="20"/>
          <w:szCs w:val="20"/>
          <w:color w:val="auto"/>
        </w:rPr>
        <w:tab/>
      </w:r>
      <w:r>
        <w:rPr>
          <w:rFonts w:ascii="Arial" w:cs="Arial" w:eastAsia="Arial" w:hAnsi="Arial"/>
          <w:sz w:val="17"/>
          <w:szCs w:val="17"/>
          <w:color w:val="auto"/>
        </w:rPr>
        <w:t>by any other Class B Stock Stockholder registered to participate in the meeting) and, (ii) prior to the</w:t>
      </w:r>
    </w:p>
    <w:p>
      <w:pPr>
        <w:jc w:val="both"/>
        <w:ind w:left="180" w:right="279"/>
        <w:spacing w:after="0" w:line="226" w:lineRule="auto"/>
        <w:rPr>
          <w:sz w:val="20"/>
          <w:szCs w:val="20"/>
          <w:color w:val="auto"/>
        </w:rPr>
      </w:pPr>
      <w:r>
        <w:rPr>
          <w:rFonts w:ascii="Arial" w:cs="Arial" w:eastAsia="Arial" w:hAnsi="Arial"/>
          <w:sz w:val="18"/>
          <w:szCs w:val="18"/>
          <w:color w:val="auto"/>
        </w:rPr>
        <w:t>stockholder vote, receipt by the Secretary of the Meeting of the signed consent of such nominee to stand for election and an undertaking by such nominee to serve as a director if so elected.</w:t>
      </w:r>
    </w:p>
    <w:p>
      <w:pPr>
        <w:spacing w:after="0" w:line="134" w:lineRule="exact"/>
        <w:rPr>
          <w:sz w:val="20"/>
          <w:szCs w:val="20"/>
          <w:color w:val="auto"/>
        </w:rPr>
      </w:pPr>
    </w:p>
    <w:p>
      <w:pPr>
        <w:jc w:val="both"/>
        <w:ind w:left="180" w:right="279" w:firstLine="648"/>
        <w:spacing w:after="0" w:line="235" w:lineRule="auto"/>
        <w:rPr>
          <w:sz w:val="20"/>
          <w:szCs w:val="20"/>
          <w:color w:val="auto"/>
        </w:rPr>
      </w:pPr>
      <w:r>
        <w:rPr>
          <w:rFonts w:ascii="Arial" w:cs="Arial" w:eastAsia="Arial" w:hAnsi="Arial"/>
          <w:sz w:val="18"/>
          <w:szCs w:val="18"/>
          <w:color w:val="auto"/>
        </w:rPr>
        <w:t>As customary with our physical annual meetings, no recording of the meeting will be permitted. By registering for and participating in our Annual Meeting you are agreeing not to make any such recording.</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Am I eligible to vote?</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You may vote your shares of Class B Stock at our Annual Meeting if you were a holder of record of Class B</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Stock on the Record Date. If, on the Record Date, your shares were held not in your name, but rather in an account at a Nominee, then you are the “beneficial owner” of such shares and you have the right to direct your Nominee regarding how to vote the shares in your account. As a beneficial owner of shares of Class B Stock, you are invited to</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participate in our Annual Meeting. However, if you are not a stockholder of record of such shares, you may not participate in, vote your shares, nominate candidates to run for director and/or bring non-agenda matters before our Annual Meeting, unless you obtain a valid proxy from your Nominee.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should I do if I receive more than one copy of the proxy materials?</w:t>
      </w:r>
    </w:p>
    <w:p>
      <w:pPr>
        <w:spacing w:after="0" w:line="162"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You may receive more than one copy of the proxy materials and/or multiple proxy cards (or VIFs). For example, if you hold your shares of Class B Stock in more than one brokerage account, you may receive a separate set of proxy materials or a separate VIF for each brokerage account in which you hold shares. If you are a stockholder of</w:t>
      </w:r>
    </w:p>
    <w:p>
      <w:pPr>
        <w:spacing w:after="0" w:line="2" w:lineRule="exact"/>
        <w:rPr>
          <w:sz w:val="20"/>
          <w:szCs w:val="20"/>
          <w:color w:val="auto"/>
        </w:rPr>
      </w:pPr>
    </w:p>
    <w:p>
      <w:pPr>
        <w:jc w:val="both"/>
        <w:ind w:left="180" w:right="279"/>
        <w:spacing w:after="0" w:line="239" w:lineRule="auto"/>
        <w:rPr>
          <w:sz w:val="20"/>
          <w:szCs w:val="20"/>
          <w:color w:val="auto"/>
        </w:rPr>
      </w:pPr>
      <w:r>
        <w:rPr>
          <w:rFonts w:ascii="Arial" w:cs="Arial" w:eastAsia="Arial" w:hAnsi="Arial"/>
          <w:sz w:val="17"/>
          <w:szCs w:val="17"/>
          <w:color w:val="auto"/>
        </w:rPr>
        <w:t>record and your shares of Class B Stock are registered in more than one name, you may receive a separate copy of the proxy materials or a separate proxy card under each name under which your shares are so registered.</w:t>
      </w:r>
    </w:p>
    <w:p>
      <w:pPr>
        <w:spacing w:after="0" w:line="135"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To vote all of your shares of Class B Stock by proxy card, you must either (i) complete, date, sign and return each proxy card (and/or VIF) that you receive or (ii) vote over the Internet or by telephone the shares represented by each proxy card (and/or VIF) that you receive. Alternatively, if you are a record owner or hold a valid proxy to vote</w:t>
      </w:r>
    </w:p>
    <w:p>
      <w:pPr>
        <w:spacing w:after="0" w:line="2" w:lineRule="exact"/>
        <w:rPr>
          <w:sz w:val="20"/>
          <w:szCs w:val="20"/>
          <w:color w:val="auto"/>
        </w:rPr>
      </w:pPr>
    </w:p>
    <w:p>
      <w:pPr>
        <w:ind w:left="180" w:right="1199"/>
        <w:spacing w:after="0" w:line="486" w:lineRule="auto"/>
        <w:rPr>
          <w:sz w:val="20"/>
          <w:szCs w:val="20"/>
          <w:color w:val="auto"/>
        </w:rPr>
      </w:pPr>
      <w:r>
        <w:rPr>
          <w:rFonts w:ascii="Arial" w:cs="Arial" w:eastAsia="Arial" w:hAnsi="Arial"/>
          <w:sz w:val="15"/>
          <w:szCs w:val="15"/>
          <w:color w:val="auto"/>
        </w:rPr>
        <w:t xml:space="preserve">such shares, you can vote your shares yourself, in whole or in part, electronically at our Annual Meeting. </w:t>
      </w:r>
      <w:r>
        <w:rPr>
          <w:rFonts w:ascii="Arial" w:cs="Arial" w:eastAsia="Arial" w:hAnsi="Arial"/>
          <w:sz w:val="15"/>
          <w:szCs w:val="15"/>
          <w:b w:val="1"/>
          <w:bCs w:val="1"/>
          <w:color w:val="auto"/>
        </w:rPr>
        <w:t>What is the difference between holding shares as a stockholder of record and as a beneficial owner?</w:t>
      </w:r>
    </w:p>
    <w:p>
      <w:pPr>
        <w:spacing w:after="0" w:line="1" w:lineRule="exact"/>
        <w:rPr>
          <w:sz w:val="20"/>
          <w:szCs w:val="20"/>
          <w:color w:val="auto"/>
        </w:rPr>
      </w:pPr>
    </w:p>
    <w:p>
      <w:pPr>
        <w:jc w:val="both"/>
        <w:ind w:left="180" w:right="279" w:firstLine="648"/>
        <w:spacing w:after="0" w:line="224" w:lineRule="auto"/>
        <w:rPr>
          <w:sz w:val="20"/>
          <w:szCs w:val="20"/>
          <w:color w:val="auto"/>
        </w:rPr>
      </w:pPr>
      <w:r>
        <w:rPr>
          <w:rFonts w:ascii="Arial" w:cs="Arial" w:eastAsia="Arial" w:hAnsi="Arial"/>
          <w:sz w:val="18"/>
          <w:szCs w:val="18"/>
          <w:color w:val="auto"/>
        </w:rPr>
        <w:t>Many stockholders hold their shares through a broker, bank, trustee, agent or other nominee rather than directly in their own name. As summarized below, there are some differences in how stockholders of record and beneficial owners are treated.</w:t>
      </w:r>
    </w:p>
    <w:p>
      <w:pPr>
        <w:spacing w:after="0" w:line="132" w:lineRule="exact"/>
        <w:rPr>
          <w:sz w:val="20"/>
          <w:szCs w:val="20"/>
          <w:color w:val="auto"/>
        </w:rPr>
      </w:pPr>
    </w:p>
    <w:p>
      <w:pPr>
        <w:jc w:val="both"/>
        <w:ind w:left="180" w:right="279" w:firstLine="648"/>
        <w:spacing w:after="0" w:line="250" w:lineRule="auto"/>
        <w:rPr>
          <w:sz w:val="20"/>
          <w:szCs w:val="20"/>
          <w:color w:val="auto"/>
        </w:rPr>
      </w:pPr>
      <w:r>
        <w:rPr>
          <w:rFonts w:ascii="Arial" w:cs="Arial" w:eastAsia="Arial" w:hAnsi="Arial"/>
          <w:sz w:val="16"/>
          <w:szCs w:val="16"/>
          <w:b w:val="1"/>
          <w:bCs w:val="1"/>
          <w:color w:val="auto"/>
        </w:rPr>
        <w:t>Stockholders of Record</w:t>
      </w:r>
      <w:r>
        <w:rPr>
          <w:rFonts w:ascii="Arial" w:cs="Arial" w:eastAsia="Arial" w:hAnsi="Arial"/>
          <w:sz w:val="16"/>
          <w:szCs w:val="16"/>
          <w:color w:val="auto"/>
        </w:rPr>
        <w:t>. If your shares are registered directly in your name with our transfer agent, you are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the stockholder of record with respect to those shares and these proxy materials are being sent directly to</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you. As the stockholder of record of Class B Stock, you have the right to vote electronically at the meeting. If you choose to do so, you can vote electronically by participating in our Annual Meeting and using the voting function (the “Meeting Voting Function”) of the unique link provided to you after you log-in to our Annual Meeting Website. Even</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if you plan to participate in our Annual Meeting, we recommend that you vote your shares in advance as described below so that your vote will be counted, if you decide later not to participate in our Annual Meeting. As a stockholder of record of Class B Stock, you are also entitled to nominate additional candidates for election to our Board and to</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bring before the meeting other matters proper for consideration by stockholders at our Annual Meeting.</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Beneficial Owner</w:t>
      </w:r>
      <w:r>
        <w:rPr>
          <w:rFonts w:ascii="Arial" w:cs="Arial" w:eastAsia="Arial" w:hAnsi="Arial"/>
          <w:sz w:val="17"/>
          <w:szCs w:val="17"/>
          <w:color w:val="auto"/>
        </w:rPr>
        <w:t>. If you hold your shares through a Nominee rather than directly in your own name, you</w:t>
      </w:r>
    </w:p>
    <w:p>
      <w:pPr>
        <w:spacing w:after="0" w:line="14"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are considered the beneficial owner of such shares, and the proxy materials are being forwarded to you by your Nominee, who is the stockholder of record with respect to those shares. If you are the beneficial owner of shares of Class B Stock, while you are eligible to participate in our Annual Meeting, you must first obtain a valid proxy from</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your Nominee, giving you the right to vote the shares at the meeting. Such proxy will also permit you to otherwise participate in our Annual Meeting. You will need to contact your Nominee to obtain a valid proxy in order to vote such shares using the Meeting Voting Function. Unless provided with proxy authority, beneficial owners of Class B</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Stock are not entitled to nominate additional candidates for election to our Board or to bring before the meeting any other matters for consideration by stockholders at our Annual Meeting.</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10" w:name="page11"/>
    <w:bookmarkEnd w:id="10"/>
    <w:p>
      <w:pPr>
        <w:ind w:left="180"/>
        <w:spacing w:after="0"/>
        <w:rPr>
          <w:sz w:val="20"/>
          <w:szCs w:val="20"/>
          <w:color w:val="auto"/>
        </w:rPr>
      </w:pPr>
      <w:r>
        <w:rPr>
          <w:rFonts w:ascii="Arial" w:cs="Arial" w:eastAsia="Arial" w:hAnsi="Arial"/>
          <w:sz w:val="18"/>
          <w:szCs w:val="18"/>
          <w:b w:val="1"/>
          <w:bCs w:val="1"/>
          <w:color w:val="auto"/>
        </w:rPr>
        <w:t>How do I vote?</w:t>
      </w:r>
    </w:p>
    <w:p>
      <w:pPr>
        <w:spacing w:after="0" w:line="162"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Proxies are solicited to give holders of record of our Class B Stock the opportunity to vote their shares, whether or not they participate in our Annual Meeting. If you are a holder of record of shares of our Class B Stock as of the Record Date, you have the right to vote such shares at our Annual Meeting. Beneficial owners, who are not the</w:t>
      </w:r>
    </w:p>
    <w:p>
      <w:pPr>
        <w:spacing w:after="0" w:line="2" w:lineRule="exact"/>
        <w:rPr>
          <w:sz w:val="20"/>
          <w:szCs w:val="20"/>
          <w:color w:val="auto"/>
        </w:rPr>
      </w:pPr>
    </w:p>
    <w:p>
      <w:pPr>
        <w:jc w:val="both"/>
        <w:ind w:left="180" w:right="279"/>
        <w:spacing w:after="0" w:line="221" w:lineRule="auto"/>
        <w:rPr>
          <w:sz w:val="20"/>
          <w:szCs w:val="20"/>
          <w:color w:val="auto"/>
        </w:rPr>
      </w:pPr>
      <w:r>
        <w:rPr>
          <w:rFonts w:ascii="Arial" w:cs="Arial" w:eastAsia="Arial" w:hAnsi="Arial"/>
          <w:sz w:val="17"/>
          <w:szCs w:val="17"/>
          <w:color w:val="auto"/>
        </w:rPr>
        <w:t>record owners of Class B Stock, will need to obtain a valid proxy from the record holder of such shares. Even if you plan to participate in our Annual Meeting, we recommend that you vote your shares in advance as described below so that your vote will be counted if you decide later not to or for any reason cannot participate in our Annual</w:t>
      </w:r>
    </w:p>
    <w:p>
      <w:pPr>
        <w:ind w:left="180"/>
        <w:spacing w:after="0"/>
        <w:rPr>
          <w:sz w:val="20"/>
          <w:szCs w:val="20"/>
          <w:color w:val="auto"/>
        </w:rPr>
      </w:pPr>
      <w:r>
        <w:rPr>
          <w:rFonts w:ascii="Arial" w:cs="Arial" w:eastAsia="Arial" w:hAnsi="Arial"/>
          <w:sz w:val="18"/>
          <w:szCs w:val="18"/>
          <w:color w:val="auto"/>
        </w:rPr>
        <w:t>Meeting. You can vote by using any of the following methods:</w:t>
      </w:r>
    </w:p>
    <w:p>
      <w:pPr>
        <w:spacing w:after="0" w:line="128" w:lineRule="exact"/>
        <w:rPr>
          <w:sz w:val="20"/>
          <w:szCs w:val="20"/>
          <w:color w:val="auto"/>
        </w:rPr>
      </w:pPr>
    </w:p>
    <w:p>
      <w:pPr>
        <w:jc w:val="both"/>
        <w:ind w:left="1480" w:right="279" w:hanging="324"/>
        <w:spacing w:after="0" w:line="223"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Internet — Holders of record of our Class B Stock may submit proxies over the Internet by following the instructions on the proxy card. Beneficial owners of our Class B Stock who hold a valid proxy may vote by Internet by following the instructions on the VIF sent to them by their Nominee.</w:t>
      </w:r>
    </w:p>
    <w:p>
      <w:pPr>
        <w:spacing w:after="0" w:line="135" w:lineRule="exact"/>
        <w:rPr>
          <w:rFonts w:ascii="Arial" w:cs="Arial" w:eastAsia="Arial" w:hAnsi="Arial"/>
          <w:sz w:val="18"/>
          <w:szCs w:val="18"/>
          <w:color w:val="auto"/>
        </w:rPr>
      </w:pPr>
    </w:p>
    <w:p>
      <w:pPr>
        <w:jc w:val="both"/>
        <w:ind w:left="1480" w:right="279" w:hanging="324"/>
        <w:spacing w:after="0" w:line="229" w:lineRule="auto"/>
        <w:tabs>
          <w:tab w:leader="none" w:pos="1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Telephone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Beneficial owners of our Class B Stock living in the United States or Canada and who have received a VIF by mail from their Nominee and who hold a valid proxy may vote by phone by calling the number specified on the VIF. Beneficial owners should check the VIF for telephone voting availability.</w:t>
      </w:r>
    </w:p>
    <w:p>
      <w:pPr>
        <w:spacing w:after="0" w:line="138" w:lineRule="exact"/>
        <w:rPr>
          <w:rFonts w:ascii="Arial" w:cs="Arial" w:eastAsia="Arial" w:hAnsi="Arial"/>
          <w:sz w:val="17"/>
          <w:szCs w:val="17"/>
          <w:color w:val="auto"/>
        </w:rPr>
      </w:pPr>
    </w:p>
    <w:p>
      <w:pPr>
        <w:jc w:val="both"/>
        <w:ind w:left="1480" w:right="279" w:hanging="324"/>
        <w:spacing w:after="0" w:line="219"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Mail — Holders of record of our Class B Stock who have received a paper copy of a proxy card may submit proxies by completing, signing, and dating their proxy card and mailing it in the accompanying pre-addressed envelope. Beneficial owners of our Class B Stock who have received a VIF from their Nominee may return the VIF by mail as set forth on the VIF. Proxies submitted by mail must be received by the Inspector of Elections before the polls are closed for the Annual Meeting.</w:t>
      </w:r>
    </w:p>
    <w:p>
      <w:pPr>
        <w:spacing w:after="0" w:line="122" w:lineRule="exact"/>
        <w:rPr>
          <w:rFonts w:ascii="Arial" w:cs="Arial" w:eastAsia="Arial" w:hAnsi="Arial"/>
          <w:sz w:val="18"/>
          <w:szCs w:val="18"/>
          <w:color w:val="auto"/>
        </w:rPr>
      </w:pPr>
    </w:p>
    <w:p>
      <w:pPr>
        <w:jc w:val="both"/>
        <w:ind w:left="1480" w:right="279" w:hanging="324"/>
        <w:spacing w:after="0" w:line="243" w:lineRule="auto"/>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participating and using the Meeting Voting Function — Holders of record of our Class B Stock (and beneficial owners of our Class B Stock who have obtained a valid proxy) who register and participate in our Annual Meeting may vote electronically by using our Meeting Voting Function. Voting electronically at our Annual Meeting by registered holders or proxy holders will supersede any prior proxies or voting instructions. Class B stockholders are encouraged to vote their proxies by Internet, telephone or by completing, signing, dating and returning a proxy card or VIF as outlined above, but not by more than one method. If you vote by more than one method, or vote multiple times using the same method, only the last-dated vote that is timely received by the Inspector of Elections will be counted, and any other vote will be disregarded.</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What if my shares are held of record by an entity such as a corporation, limited liability company, general</w:t>
      </w:r>
    </w:p>
    <w:p>
      <w:pPr>
        <w:spacing w:after="0" w:line="14" w:lineRule="exact"/>
        <w:rPr>
          <w:sz w:val="20"/>
          <w:szCs w:val="20"/>
          <w:color w:val="auto"/>
        </w:rPr>
      </w:pPr>
    </w:p>
    <w:p>
      <w:pPr>
        <w:ind w:left="180" w:right="279"/>
        <w:spacing w:after="0" w:line="226" w:lineRule="auto"/>
        <w:rPr>
          <w:sz w:val="20"/>
          <w:szCs w:val="20"/>
          <w:color w:val="auto"/>
        </w:rPr>
      </w:pPr>
      <w:r>
        <w:rPr>
          <w:rFonts w:ascii="Arial" w:cs="Arial" w:eastAsia="Arial" w:hAnsi="Arial"/>
          <w:sz w:val="18"/>
          <w:szCs w:val="18"/>
          <w:b w:val="1"/>
          <w:bCs w:val="1"/>
          <w:color w:val="auto"/>
        </w:rPr>
        <w:t>partnership, limited partnership or trust (an “Entity”), or in the name of more than one person, or I am voting in a representative or fiduciary capacity?</w:t>
      </w:r>
    </w:p>
    <w:p>
      <w:pPr>
        <w:spacing w:after="0" w:line="134" w:lineRule="exact"/>
        <w:rPr>
          <w:sz w:val="20"/>
          <w:szCs w:val="20"/>
          <w:color w:val="auto"/>
        </w:rPr>
      </w:pPr>
    </w:p>
    <w:p>
      <w:pPr>
        <w:jc w:val="both"/>
        <w:ind w:left="100" w:right="279" w:firstLine="729"/>
        <w:spacing w:after="0" w:line="224" w:lineRule="auto"/>
        <w:rPr>
          <w:sz w:val="20"/>
          <w:szCs w:val="20"/>
          <w:color w:val="auto"/>
        </w:rPr>
      </w:pPr>
      <w:r>
        <w:rPr>
          <w:rFonts w:ascii="Arial" w:cs="Arial" w:eastAsia="Arial" w:hAnsi="Arial"/>
          <w:sz w:val="18"/>
          <w:szCs w:val="18"/>
          <w:i w:val="1"/>
          <w:iCs w:val="1"/>
          <w:color w:val="auto"/>
        </w:rPr>
        <w:t>Shares held of record by an Entity</w:t>
      </w:r>
      <w:r>
        <w:rPr>
          <w:rFonts w:ascii="Arial" w:cs="Arial" w:eastAsia="Arial" w:hAnsi="Arial"/>
          <w:sz w:val="18"/>
          <w:szCs w:val="18"/>
          <w:color w:val="auto"/>
        </w:rPr>
        <w:t>. In order to vote shares on behalf of an Entity, you may need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(such as a sealed or certified resolution) of your authority to vote such shares, unless you are listed as a record holder of such shares.</w:t>
      </w:r>
    </w:p>
    <w:p>
      <w:pPr>
        <w:spacing w:after="0" w:line="136"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i w:val="1"/>
          <w:iCs w:val="1"/>
          <w:color w:val="auto"/>
        </w:rPr>
        <w:t>Shares held of record by a trust</w:t>
      </w:r>
      <w:r>
        <w:rPr>
          <w:rFonts w:ascii="Arial" w:cs="Arial" w:eastAsia="Arial" w:hAnsi="Arial"/>
          <w:sz w:val="16"/>
          <w:szCs w:val="16"/>
          <w:color w:val="auto"/>
        </w:rPr>
        <w:t>. The trustee of a trust is entitled to vote the shares held by the trust, either by</w:t>
      </w:r>
      <w:r>
        <w:rPr>
          <w:rFonts w:ascii="Arial" w:cs="Arial" w:eastAsia="Arial" w:hAnsi="Arial"/>
          <w:sz w:val="16"/>
          <w:szCs w:val="16"/>
          <w:i w:val="1"/>
          <w:iCs w:val="1"/>
          <w:color w:val="auto"/>
        </w:rPr>
        <w:t xml:space="preserve"> </w:t>
      </w:r>
      <w:r>
        <w:rPr>
          <w:rFonts w:ascii="Arial" w:cs="Arial" w:eastAsia="Arial" w:hAnsi="Arial"/>
          <w:sz w:val="16"/>
          <w:szCs w:val="16"/>
          <w:color w:val="auto"/>
        </w:rPr>
        <w:t>proxy or by participating and voting electronically at our Annual Meeting. If you are voting as a trustee, and are not</w:t>
      </w:r>
    </w:p>
    <w:p>
      <w:pPr>
        <w:jc w:val="both"/>
        <w:ind w:left="180" w:right="279"/>
        <w:spacing w:after="0" w:line="234" w:lineRule="auto"/>
        <w:rPr>
          <w:sz w:val="20"/>
          <w:szCs w:val="20"/>
          <w:color w:val="auto"/>
        </w:rPr>
      </w:pPr>
      <w:r>
        <w:rPr>
          <w:rFonts w:ascii="Arial" w:cs="Arial" w:eastAsia="Arial" w:hAnsi="Arial"/>
          <w:sz w:val="16"/>
          <w:szCs w:val="16"/>
          <w:color w:val="auto"/>
        </w:rPr>
        <w:t>identified as a record owner of the shares, then you may need to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i w:val="1"/>
          <w:iCs w:val="1"/>
          <w:color w:val="auto"/>
        </w:rPr>
        <w:t>Shares held of record in the name of more than one person</w:t>
      </w:r>
      <w:r>
        <w:rPr>
          <w:rFonts w:ascii="Arial" w:cs="Arial" w:eastAsia="Arial" w:hAnsi="Arial"/>
          <w:sz w:val="16"/>
          <w:szCs w:val="16"/>
          <w:color w:val="auto"/>
        </w:rPr>
        <w:t>. If only one individual votes, that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vote applies to all of the shares held of record. If more than one person votes, the votes of the majority of the voting</w:t>
      </w:r>
    </w:p>
    <w:p>
      <w:pPr>
        <w:jc w:val="both"/>
        <w:ind w:left="180" w:right="279"/>
        <w:spacing w:after="0" w:line="226" w:lineRule="auto"/>
        <w:rPr>
          <w:sz w:val="20"/>
          <w:szCs w:val="20"/>
          <w:color w:val="auto"/>
        </w:rPr>
      </w:pPr>
      <w:r>
        <w:rPr>
          <w:rFonts w:ascii="Arial" w:cs="Arial" w:eastAsia="Arial" w:hAnsi="Arial"/>
          <w:sz w:val="18"/>
          <w:szCs w:val="18"/>
          <w:color w:val="auto"/>
        </w:rPr>
        <w:t>individuals apply to all of such shares. If more than one individual votes and the votes are split evenly on any particular proposal, each individual may vote such shares proportionally.</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11" w:name="page12"/>
    <w:bookmarkEnd w:id="11"/>
    <w:p>
      <w:pPr>
        <w:ind w:left="180" w:right="279" w:firstLine="648"/>
        <w:spacing w:after="0" w:line="246" w:lineRule="auto"/>
        <w:rPr>
          <w:sz w:val="20"/>
          <w:szCs w:val="20"/>
          <w:color w:val="auto"/>
        </w:rPr>
      </w:pPr>
      <w:r>
        <w:rPr>
          <w:rFonts w:ascii="Arial" w:cs="Arial" w:eastAsia="Arial" w:hAnsi="Arial"/>
          <w:sz w:val="18"/>
          <w:szCs w:val="18"/>
          <w:i w:val="1"/>
          <w:iCs w:val="1"/>
          <w:color w:val="auto"/>
        </w:rPr>
        <w:t xml:space="preserve">Shares held by a representative or fiduciary. </w:t>
      </w:r>
      <w:r>
        <w:rPr>
          <w:rFonts w:ascii="Arial" w:cs="Arial" w:eastAsia="Arial" w:hAnsi="Arial"/>
          <w:sz w:val="18"/>
          <w:szCs w:val="18"/>
          <w:color w:val="auto"/>
        </w:rPr>
        <w:t>A representative or fiduciary may only vote shares if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granted a valid proxy by the record holder of such shares.</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will my shares be voted if I do not give specific voting instructions?</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you are a Class B Stockholder and you:</w:t>
      </w:r>
    </w:p>
    <w:p>
      <w:pPr>
        <w:spacing w:after="0" w:line="77" w:lineRule="exact"/>
        <w:rPr>
          <w:sz w:val="20"/>
          <w:szCs w:val="20"/>
          <w:color w:val="auto"/>
        </w:rPr>
      </w:pPr>
    </w:p>
    <w:p>
      <w:pPr>
        <w:jc w:val="both"/>
        <w:ind w:left="1480" w:right="279" w:hanging="324"/>
        <w:spacing w:after="0" w:line="229"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or, if applicable, by using the Meeting Voting Function, that you wish to vote as recommended by our Board of Directors, then your shares will be so voted; or</w:t>
      </w:r>
    </w:p>
    <w:p>
      <w:pPr>
        <w:spacing w:after="0" w:line="55" w:lineRule="exact"/>
        <w:rPr>
          <w:rFonts w:ascii="Arial" w:cs="Arial" w:eastAsia="Arial" w:hAnsi="Arial"/>
          <w:sz w:val="18"/>
          <w:szCs w:val="18"/>
          <w:color w:val="auto"/>
        </w:rPr>
      </w:pPr>
    </w:p>
    <w:p>
      <w:pPr>
        <w:jc w:val="both"/>
        <w:ind w:left="1480" w:right="279" w:hanging="324"/>
        <w:spacing w:after="0" w:line="229"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 and send in your proxy card and do not indicate how you want to vote, then the proxyholders will vote your shares in the manner recommended by our Board of Directors as follows:</w:t>
      </w:r>
    </w:p>
    <w:p>
      <w:pPr>
        <w:spacing w:after="0" w:line="56" w:lineRule="exact"/>
        <w:rPr>
          <w:sz w:val="20"/>
          <w:szCs w:val="20"/>
          <w:color w:val="auto"/>
        </w:rPr>
      </w:pPr>
    </w:p>
    <w:p>
      <w:pPr>
        <w:ind w:left="2120" w:right="279" w:hanging="316"/>
        <w:spacing w:after="0" w:line="226" w:lineRule="auto"/>
        <w:tabs>
          <w:tab w:leader="none" w:pos="21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FOR each of the five (5) nominees for director named below under “Proposal 1: Election of Directors;”</w:t>
      </w:r>
    </w:p>
    <w:p>
      <w:pPr>
        <w:spacing w:after="0" w:line="67" w:lineRule="exact"/>
        <w:rPr>
          <w:rFonts w:ascii="Courier New" w:cs="Courier New" w:eastAsia="Courier New" w:hAnsi="Courier New"/>
          <w:sz w:val="18"/>
          <w:szCs w:val="18"/>
          <w:color w:val="auto"/>
        </w:rPr>
      </w:pPr>
    </w:p>
    <w:p>
      <w:pPr>
        <w:ind w:left="2120" w:hanging="316"/>
        <w:spacing w:after="0"/>
        <w:tabs>
          <w:tab w:leader="none" w:pos="21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FOR Proposal 2, the Independent Auditor Ratification Proposal;</w:t>
      </w:r>
    </w:p>
    <w:p>
      <w:pPr>
        <w:spacing w:after="0" w:line="60" w:lineRule="exact"/>
        <w:rPr>
          <w:rFonts w:ascii="Courier New" w:cs="Courier New" w:eastAsia="Courier New" w:hAnsi="Courier New"/>
          <w:sz w:val="18"/>
          <w:szCs w:val="18"/>
          <w:color w:val="auto"/>
        </w:rPr>
      </w:pPr>
    </w:p>
    <w:p>
      <w:pPr>
        <w:ind w:left="2120" w:hanging="316"/>
        <w:spacing w:after="0"/>
        <w:tabs>
          <w:tab w:leader="none" w:pos="21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FOR Proposal 3, the Advisory Vote on Executive Officer Compensation Proposal;</w:t>
      </w:r>
    </w:p>
    <w:p>
      <w:pPr>
        <w:spacing w:after="0" w:line="60" w:lineRule="exact"/>
        <w:rPr>
          <w:rFonts w:ascii="Courier New" w:cs="Courier New" w:eastAsia="Courier New" w:hAnsi="Courier New"/>
          <w:sz w:val="18"/>
          <w:szCs w:val="18"/>
          <w:color w:val="auto"/>
        </w:rPr>
      </w:pPr>
    </w:p>
    <w:p>
      <w:pPr>
        <w:ind w:left="2120" w:right="279" w:hanging="316"/>
        <w:spacing w:after="0" w:line="226" w:lineRule="auto"/>
        <w:tabs>
          <w:tab w:leader="none" w:pos="21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FOR the option of every one year on Proposal 4, the Advisory Vote on Executive Compensation Vote Frequency Proposal;</w:t>
      </w:r>
    </w:p>
    <w:p>
      <w:pPr>
        <w:spacing w:after="0" w:line="67" w:lineRule="exact"/>
        <w:rPr>
          <w:rFonts w:ascii="Courier New" w:cs="Courier New" w:eastAsia="Courier New" w:hAnsi="Courier New"/>
          <w:sz w:val="18"/>
          <w:szCs w:val="18"/>
          <w:color w:val="auto"/>
        </w:rPr>
      </w:pPr>
    </w:p>
    <w:p>
      <w:pPr>
        <w:ind w:left="2120" w:right="279" w:hanging="316"/>
        <w:spacing w:after="0" w:line="226" w:lineRule="auto"/>
        <w:tabs>
          <w:tab w:leader="none" w:pos="21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FOR Proposal 5, the Increase to Share Reserve to the 2020 Stock Incentive Plan Proposal; and</w:t>
      </w:r>
    </w:p>
    <w:p>
      <w:pPr>
        <w:spacing w:after="0" w:line="67" w:lineRule="exact"/>
        <w:rPr>
          <w:rFonts w:ascii="Courier New" w:cs="Courier New" w:eastAsia="Courier New" w:hAnsi="Courier New"/>
          <w:sz w:val="18"/>
          <w:szCs w:val="18"/>
          <w:color w:val="auto"/>
        </w:rPr>
      </w:pPr>
    </w:p>
    <w:p>
      <w:pPr>
        <w:ind w:left="2120" w:right="279" w:hanging="316"/>
        <w:spacing w:after="0" w:line="226" w:lineRule="auto"/>
        <w:tabs>
          <w:tab w:leader="none" w:pos="21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in the discretion of such proxyholders on such other business as may properly come before our Annual Meeting and any adjournment or postponement thereof.</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9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If your shares are held by a broker on your behalf (that is, in so called “street name”), and you do not instruct the broker as to how to vote these shares on any “non-routine” proposals included in this Proxy Statement, your broker cannot exercise discretion to vote for or against those proposals. This would be a “broker non-vote,” and these shares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will not be counted as having been voted on the applicable proposal. Applicable rules permit brokers to vote shares held in street name only on routine matters. Only Proposal 2, the Independent Auditor Ratification Proposal is a “routine proposal.” All other matters contained in this Proxy Statement for submission to a vote of the stockholders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are considered “non-routine.” Accordingly, if your shares of Class B Stock are held in street name and if you do not give your broker instructions as to how to vote, your broker will only be able to exercise its discretion in the case of Proposal 2, and will not be permitted to vote on Proposal 1, Proposal 3, Proposal 4 or Proposal 5, or any other matter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come before the Annual Meeting.</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are “withhold authority” and “abstain” votes counted?</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Proxies that are voted to “withhold authority” or “abstain” are included only to determine whether a</w:t>
      </w:r>
    </w:p>
    <w:p>
      <w:pPr>
        <w:spacing w:after="0" w:line="1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quorum is present. If “withhold authority” or “abstain” is selected with respect to the election of directors, then such votes will have no impact on the election of directors, as the five (5) nominees receiving the</w:t>
      </w:r>
    </w:p>
    <w:p>
      <w:pPr>
        <w:ind w:left="180"/>
        <w:spacing w:after="0" w:line="224" w:lineRule="auto"/>
        <w:rPr>
          <w:sz w:val="20"/>
          <w:szCs w:val="20"/>
          <w:color w:val="auto"/>
        </w:rPr>
      </w:pPr>
      <w:r>
        <w:rPr>
          <w:rFonts w:ascii="Arial" w:cs="Arial" w:eastAsia="Arial" w:hAnsi="Arial"/>
          <w:sz w:val="19"/>
          <w:szCs w:val="19"/>
          <w:color w:val="auto"/>
        </w:rPr>
        <w:t>highest number of affirmative votes will be elected.  If “withhold authority” or “abstain” is selected on a</w:t>
      </w:r>
    </w:p>
    <w:p>
      <w:pPr>
        <w:jc w:val="both"/>
        <w:ind w:left="180" w:right="279"/>
        <w:spacing w:after="0" w:line="242" w:lineRule="auto"/>
        <w:rPr>
          <w:sz w:val="20"/>
          <w:szCs w:val="20"/>
          <w:color w:val="auto"/>
        </w:rPr>
      </w:pPr>
      <w:r>
        <w:rPr>
          <w:rFonts w:ascii="Arial" w:cs="Arial" w:eastAsia="Arial" w:hAnsi="Arial"/>
          <w:sz w:val="18"/>
          <w:szCs w:val="18"/>
          <w:color w:val="auto"/>
        </w:rPr>
        <w:t>matter to be voted on for which approval by a majority of the votes cast at the meeting is required (specifically, Proposal 2 (the Independent Auditor Ratification Proposal); Proposal 3 (the Advisory Vote on</w:t>
      </w:r>
    </w:p>
    <w:p>
      <w:pPr>
        <w:spacing w:after="0" w:line="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Executive Officer Compensation Proposal); Proposal 4 (the Advisory Vote on Executive Compensation Vote Frequency Proposal); and Proposal 5 (the Increase of Share Reserve under the 2020 Stock Incentive</w:t>
      </w:r>
    </w:p>
    <w:p>
      <w:pPr>
        <w:spacing w:after="0" w:line="2" w:lineRule="exact"/>
        <w:rPr>
          <w:sz w:val="20"/>
          <w:szCs w:val="20"/>
          <w:color w:val="auto"/>
        </w:rPr>
      </w:pPr>
    </w:p>
    <w:p>
      <w:pPr>
        <w:jc w:val="both"/>
        <w:ind w:left="180" w:right="279"/>
        <w:spacing w:after="0" w:line="227" w:lineRule="auto"/>
        <w:rPr>
          <w:sz w:val="20"/>
          <w:szCs w:val="20"/>
          <w:color w:val="auto"/>
        </w:rPr>
      </w:pPr>
      <w:r>
        <w:rPr>
          <w:rFonts w:ascii="Arial" w:cs="Arial" w:eastAsia="Arial" w:hAnsi="Arial"/>
          <w:sz w:val="20"/>
          <w:szCs w:val="20"/>
          <w:color w:val="auto"/>
        </w:rPr>
        <w:t>Plan Proposal), then such a selection would similarly not have an effect on the vote, since “withhold authority” and “abstain” votes do not count as votes cast on that matter.</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can I change my vote after I submit a proxy?</w:t>
      </w:r>
    </w:p>
    <w:p>
      <w:pPr>
        <w:spacing w:after="0" w:line="148" w:lineRule="exact"/>
        <w:rPr>
          <w:sz w:val="20"/>
          <w:szCs w:val="20"/>
          <w:color w:val="auto"/>
        </w:rPr>
      </w:pPr>
    </w:p>
    <w:p>
      <w:pPr>
        <w:jc w:val="both"/>
        <w:ind w:left="180" w:right="279" w:firstLine="648"/>
        <w:spacing w:after="0" w:line="246" w:lineRule="auto"/>
        <w:rPr>
          <w:sz w:val="20"/>
          <w:szCs w:val="20"/>
          <w:color w:val="auto"/>
        </w:rPr>
      </w:pPr>
      <w:r>
        <w:rPr>
          <w:rFonts w:ascii="Arial" w:cs="Arial" w:eastAsia="Arial" w:hAnsi="Arial"/>
          <w:sz w:val="18"/>
          <w:szCs w:val="18"/>
          <w:color w:val="auto"/>
        </w:rPr>
        <w:t>If you are a Class B Stockholder, there are three ways you can change your vote or revoke your proxy after it has been submitted:</w:t>
      </w:r>
    </w:p>
    <w:p>
      <w:pPr>
        <w:spacing w:after="0" w:line="116" w:lineRule="exact"/>
        <w:rPr>
          <w:sz w:val="20"/>
          <w:szCs w:val="20"/>
          <w:color w:val="auto"/>
        </w:rPr>
      </w:pPr>
    </w:p>
    <w:p>
      <w:pPr>
        <w:jc w:val="both"/>
        <w:ind w:left="1480" w:right="279" w:hanging="324"/>
        <w:spacing w:after="0" w:line="236" w:lineRule="auto"/>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First, you may send a written notice to Reading International, Inc., postage or other delivery charges pre-paid, 189 Second Avenue, Suite 2S, New York, New York 10003, c/o Secretary of the Annual Meeting, stating that you revoke your proxy. To be effective, the Inspector of Elections must receive your written notice prior to the closing of the polls at the Annual Meeting.</w:t>
      </w:r>
    </w:p>
    <w:p>
      <w:pPr>
        <w:spacing w:after="0" w:line="35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 w:name="page13"/>
    <w:bookmarkEnd w:id="12"/>
    <w:p>
      <w:pPr>
        <w:ind w:left="1480" w:right="279" w:hanging="324"/>
        <w:spacing w:after="0" w:line="258" w:lineRule="auto"/>
        <w:tabs>
          <w:tab w:leader="none" w:pos="1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Second, you may complete and submit a new proxy in one of the manners described above under the caption, “How do I vote?” Any earlier proxies will be revoked automatically.</w:t>
      </w:r>
    </w:p>
    <w:p>
      <w:pPr>
        <w:spacing w:after="0" w:line="119" w:lineRule="exact"/>
        <w:rPr>
          <w:rFonts w:ascii="Arial" w:cs="Arial" w:eastAsia="Arial" w:hAnsi="Arial"/>
          <w:sz w:val="17"/>
          <w:szCs w:val="17"/>
          <w:color w:val="auto"/>
        </w:rPr>
      </w:pPr>
    </w:p>
    <w:p>
      <w:pPr>
        <w:ind w:left="1480" w:right="279" w:hanging="324"/>
        <w:spacing w:after="0" w:line="235"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 you may register for and participate in our Annual Meeting, and vote using the Meeting Voting Function.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How will we solicit proxies and who will pay the costs?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Our Board is soliciting proxies for our Annual Meeting from our Class B stockholders. We will pay the costs</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employees may solicit proxies on our behalf, without additional compensation, personally or by telephone. We do not intend to hire a proxy solicitor to assist in the solicitation of proxies.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names of stockholders of record entitled to vote at our Annual Meeting will be available to persons</w:t>
      </w:r>
    </w:p>
    <w:p>
      <w:pPr>
        <w:spacing w:after="0" w:line="10"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registered to participate in our Annual Meeting at our Annual Meeting and for ten days prior to our Annual Meeting, at our New York office, 189 Second Avenue, Suite 2S, New York, New York 10003 between the hours of 9.00 a.m. and 5.00 p.m., Eastern Standard Time, for any purpose germane to the Annual Meeting. To arrange to view this list</w:t>
      </w:r>
    </w:p>
    <w:p>
      <w:pPr>
        <w:spacing w:after="0" w:line="2" w:lineRule="exact"/>
        <w:rPr>
          <w:sz w:val="20"/>
          <w:szCs w:val="20"/>
          <w:color w:val="auto"/>
        </w:rPr>
      </w:pPr>
    </w:p>
    <w:p>
      <w:pPr>
        <w:ind w:left="180" w:right="1339"/>
        <w:spacing w:after="0" w:line="405" w:lineRule="auto"/>
        <w:rPr>
          <w:sz w:val="20"/>
          <w:szCs w:val="20"/>
          <w:color w:val="auto"/>
        </w:rPr>
      </w:pPr>
      <w:r>
        <w:rPr>
          <w:rFonts w:ascii="Arial" w:cs="Arial" w:eastAsia="Arial" w:hAnsi="Arial"/>
          <w:sz w:val="18"/>
          <w:szCs w:val="18"/>
          <w:color w:val="auto"/>
        </w:rPr>
        <w:t xml:space="preserve">during the times specified above, please contact the Secretary of the Annual Meeting at (213) 235-2240. </w:t>
      </w:r>
      <w:r>
        <w:rPr>
          <w:rFonts w:ascii="Arial" w:cs="Arial" w:eastAsia="Arial" w:hAnsi="Arial"/>
          <w:sz w:val="18"/>
          <w:szCs w:val="18"/>
          <w:b w:val="1"/>
          <w:bCs w:val="1"/>
          <w:color w:val="auto"/>
        </w:rPr>
        <w:t>What constitutes a quorum?</w:t>
      </w:r>
    </w:p>
    <w:p>
      <w:pPr>
        <w:spacing w:after="0" w:line="1" w:lineRule="exact"/>
        <w:rPr>
          <w:sz w:val="20"/>
          <w:szCs w:val="20"/>
          <w:color w:val="auto"/>
        </w:rPr>
      </w:pPr>
    </w:p>
    <w:p>
      <w:pPr>
        <w:ind w:left="180" w:right="279" w:firstLine="648"/>
        <w:spacing w:after="0" w:line="248" w:lineRule="auto"/>
        <w:rPr>
          <w:sz w:val="20"/>
          <w:szCs w:val="20"/>
          <w:color w:val="auto"/>
        </w:rPr>
      </w:pPr>
      <w:r>
        <w:rPr>
          <w:rFonts w:ascii="Arial" w:cs="Arial" w:eastAsia="Arial" w:hAnsi="Arial"/>
          <w:sz w:val="16"/>
          <w:szCs w:val="16"/>
          <w:color w:val="auto"/>
        </w:rPr>
        <w:t>The presence by valid proxy or by virtual participation as provided in this Proxy Statement of the holders of record of a majority of our outstanding shares of Class B Stock will constitute a quorum at our Annual Meeting. Each</w:t>
      </w:r>
    </w:p>
    <w:p>
      <w:pPr>
        <w:ind w:left="180" w:right="339"/>
        <w:spacing w:after="0" w:line="405" w:lineRule="auto"/>
        <w:rPr>
          <w:sz w:val="20"/>
          <w:szCs w:val="20"/>
          <w:color w:val="auto"/>
        </w:rPr>
      </w:pPr>
      <w:r>
        <w:rPr>
          <w:rFonts w:ascii="Arial" w:cs="Arial" w:eastAsia="Arial" w:hAnsi="Arial"/>
          <w:sz w:val="18"/>
          <w:szCs w:val="18"/>
          <w:color w:val="auto"/>
        </w:rPr>
        <w:t xml:space="preserve">share of our Class B Stock entitles the holder of record to one vote on all matters to come before our Annual Meeting. </w:t>
      </w:r>
      <w:r>
        <w:rPr>
          <w:rFonts w:ascii="Arial" w:cs="Arial" w:eastAsia="Arial" w:hAnsi="Arial"/>
          <w:sz w:val="18"/>
          <w:szCs w:val="18"/>
          <w:b w:val="1"/>
          <w:bCs w:val="1"/>
          <w:color w:val="auto"/>
        </w:rPr>
        <w:t>How are votes counted and who will certify the results?</w:t>
      </w:r>
    </w:p>
    <w:p>
      <w:pPr>
        <w:spacing w:after="0" w:line="1" w:lineRule="exact"/>
        <w:rPr>
          <w:sz w:val="20"/>
          <w:szCs w:val="20"/>
          <w:color w:val="auto"/>
        </w:rPr>
      </w:pPr>
    </w:p>
    <w:p>
      <w:pPr>
        <w:ind w:left="180" w:right="279" w:firstLine="648"/>
        <w:spacing w:after="0" w:line="248" w:lineRule="auto"/>
        <w:rPr>
          <w:sz w:val="20"/>
          <w:szCs w:val="20"/>
          <w:color w:val="auto"/>
        </w:rPr>
      </w:pPr>
      <w:r>
        <w:rPr>
          <w:rFonts w:ascii="Arial" w:cs="Arial" w:eastAsia="Arial" w:hAnsi="Arial"/>
          <w:sz w:val="16"/>
          <w:szCs w:val="16"/>
          <w:color w:val="auto"/>
        </w:rPr>
        <w:t>Computershare, Inc. will act as the independent Inspector of Elections and will determine whether a quorum is present, count the votes, evaluate the validity of proxies and electronic votes, and certify the results. The final</w:t>
      </w:r>
    </w:p>
    <w:p>
      <w:pPr>
        <w:ind w:left="180" w:right="279"/>
        <w:spacing w:after="0" w:line="226" w:lineRule="auto"/>
        <w:rPr>
          <w:sz w:val="20"/>
          <w:szCs w:val="20"/>
          <w:color w:val="auto"/>
        </w:rPr>
      </w:pPr>
      <w:r>
        <w:rPr>
          <w:rFonts w:ascii="Arial" w:cs="Arial" w:eastAsia="Arial" w:hAnsi="Arial"/>
          <w:sz w:val="18"/>
          <w:szCs w:val="18"/>
          <w:color w:val="auto"/>
        </w:rPr>
        <w:t>voting results will be reported by us on a Current Report on Form 8-K to be filed with the SEC within four business days following our Annual Meeting.</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What is the vote required for a proposal to pass?</w:t>
      </w:r>
    </w:p>
    <w:p>
      <w:pPr>
        <w:sectPr>
          <w:pgSz w:w="11900" w:h="16838" w:orient="portrait"/>
          <w:cols w:equalWidth="0" w:num="1">
            <w:col w:w="9019"/>
          </w:cols>
          <w:pgMar w:left="1440" w:top="476" w:right="1440" w:bottom="1440" w:gutter="0" w:footer="0" w:header="0"/>
        </w:sectPr>
      </w:pPr>
    </w:p>
    <w:p>
      <w:pPr>
        <w:spacing w:after="0" w:line="14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Proposal 1 (the Election of Directors):</w:t>
      </w:r>
    </w:p>
    <w:p>
      <w:pPr>
        <w:ind w:left="180"/>
        <w:spacing w:after="0" w:line="219" w:lineRule="auto"/>
        <w:rPr>
          <w:sz w:val="20"/>
          <w:szCs w:val="20"/>
          <w:color w:val="auto"/>
        </w:rPr>
      </w:pPr>
      <w:r>
        <w:rPr>
          <w:rFonts w:ascii="Arial" w:cs="Arial" w:eastAsia="Arial" w:hAnsi="Arial"/>
          <w:sz w:val="18"/>
          <w:szCs w:val="18"/>
          <w:color w:val="auto"/>
        </w:rPr>
        <w:t>Meeting who receive the highest number of</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79" w:firstLine="111"/>
        <w:spacing w:after="0" w:line="220" w:lineRule="auto"/>
        <w:rPr>
          <w:sz w:val="20"/>
          <w:szCs w:val="20"/>
          <w:color w:val="auto"/>
        </w:rPr>
      </w:pPr>
      <w:r>
        <w:rPr>
          <w:rFonts w:ascii="Arial" w:cs="Arial" w:eastAsia="Arial" w:hAnsi="Arial"/>
          <w:sz w:val="18"/>
          <w:szCs w:val="18"/>
          <w:color w:val="auto"/>
        </w:rPr>
        <w:t>The five (5) nominees for election as Directors at our Annual “FOR” votes for the available Board seats will be elected as</w:t>
      </w:r>
    </w:p>
    <w:p>
      <w:pPr>
        <w:spacing w:after="0" w:line="1" w:lineRule="exact"/>
        <w:rPr>
          <w:sz w:val="20"/>
          <w:szCs w:val="20"/>
          <w:color w:val="auto"/>
        </w:rPr>
      </w:pPr>
    </w:p>
    <w:p>
      <w:pPr>
        <w:sectPr>
          <w:pgSz w:w="11900" w:h="16838" w:orient="portrait"/>
          <w:cols w:equalWidth="0" w:num="2">
            <w:col w:w="3760" w:space="40"/>
            <w:col w:w="5219"/>
          </w:cols>
          <w:pgMar w:left="1440" w:top="476" w:right="1440" w:bottom="1440" w:gutter="0" w:footer="0" w:header="0"/>
          <w:type w:val="continuous"/>
        </w:sectPr>
      </w:pPr>
    </w:p>
    <w:p>
      <w:pPr>
        <w:jc w:val="both"/>
        <w:ind w:left="180" w:right="279"/>
        <w:spacing w:after="0" w:line="234" w:lineRule="auto"/>
        <w:rPr>
          <w:sz w:val="20"/>
          <w:szCs w:val="20"/>
          <w:color w:val="auto"/>
        </w:rPr>
      </w:pPr>
      <w:r>
        <w:rPr>
          <w:rFonts w:ascii="Arial" w:cs="Arial" w:eastAsia="Arial" w:hAnsi="Arial"/>
          <w:sz w:val="16"/>
          <w:szCs w:val="16"/>
          <w:color w:val="auto"/>
        </w:rPr>
        <w:t>Directors. This is 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broker or nominee to vote “FOR” for each of the candidates for whom you would like to vote. If you give no instructions to your broker or nominee, then your shares will not be voted and will not be counted in determining the election. Likewise, if you instruct your broker or nominee to “WITHHOLD,” then your vote will not be counted in</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determining the election. We are advised by the holders of approximately 72% of the Class B Stock that they currently intend to vote “FOR” the election of each of the candidates nominated by our Board. Accordingly, it is anticipated that each of these individuals will be elected.</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Proposal 2 (the Independent Auditor Ratification Proposal): This proposal requires the “FOR” vote of a majority of the votes cast in order to pass. We are advised by the holders of approximately 72% of the Class B Stock</w:t>
      </w:r>
    </w:p>
    <w:p>
      <w:pPr>
        <w:jc w:val="both"/>
        <w:ind w:left="180" w:right="279"/>
        <w:spacing w:after="0" w:line="226" w:lineRule="auto"/>
        <w:rPr>
          <w:sz w:val="20"/>
          <w:szCs w:val="20"/>
          <w:color w:val="auto"/>
        </w:rPr>
      </w:pPr>
      <w:r>
        <w:rPr>
          <w:rFonts w:ascii="Arial" w:cs="Arial" w:eastAsia="Arial" w:hAnsi="Arial"/>
          <w:sz w:val="18"/>
          <w:szCs w:val="18"/>
          <w:color w:val="auto"/>
        </w:rPr>
        <w:t>that they currently intend to vote “FOR” this proposal. Accordingly, it is anticipated that the Independent Auditor Ratification Proposal will pass.</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13" w:name="page14"/>
    <w:bookmarkEnd w:id="13"/>
    <w:p>
      <w:pPr>
        <w:jc w:val="both"/>
        <w:ind w:left="180" w:right="279" w:firstLine="648"/>
        <w:spacing w:after="0" w:line="241" w:lineRule="auto"/>
        <w:rPr>
          <w:sz w:val="20"/>
          <w:szCs w:val="20"/>
          <w:color w:val="auto"/>
        </w:rPr>
      </w:pPr>
      <w:r>
        <w:rPr>
          <w:rFonts w:ascii="Arial" w:cs="Arial" w:eastAsia="Arial" w:hAnsi="Arial"/>
          <w:sz w:val="17"/>
          <w:szCs w:val="17"/>
          <w:color w:val="auto"/>
        </w:rPr>
        <w:t>Proposal 3 (the Advisory Vote on Executive Officer Compensation Proposal): This proposal requires the “FOR” vote of a majority of the votes cast in order to pass. Because your vote is advisory, it will not be binding on</w:t>
      </w:r>
    </w:p>
    <w:p>
      <w:pPr>
        <w:spacing w:after="0" w:line="1" w:lineRule="exact"/>
        <w:rPr>
          <w:sz w:val="20"/>
          <w:szCs w:val="20"/>
          <w:color w:val="auto"/>
        </w:rPr>
      </w:pPr>
    </w:p>
    <w:p>
      <w:pPr>
        <w:jc w:val="both"/>
        <w:ind w:left="180" w:right="279"/>
        <w:spacing w:after="0" w:line="223" w:lineRule="auto"/>
        <w:rPr>
          <w:sz w:val="20"/>
          <w:szCs w:val="20"/>
          <w:color w:val="auto"/>
        </w:rPr>
      </w:pPr>
      <w:r>
        <w:rPr>
          <w:rFonts w:ascii="Arial" w:cs="Arial" w:eastAsia="Arial" w:hAnsi="Arial"/>
          <w:sz w:val="17"/>
          <w:szCs w:val="17"/>
          <w:color w:val="auto"/>
        </w:rPr>
        <w:t>us, our Board or our Compensation and Stock Options Committee (the “Compensation Committee”). However, the Board and our Compensation Committee, as applicable, will review the voting results and take them into</w:t>
      </w:r>
    </w:p>
    <w:p>
      <w:pPr>
        <w:spacing w:after="0" w:line="1" w:lineRule="exact"/>
        <w:rPr>
          <w:sz w:val="20"/>
          <w:szCs w:val="20"/>
          <w:color w:val="auto"/>
        </w:rPr>
      </w:pPr>
    </w:p>
    <w:p>
      <w:pPr>
        <w:jc w:val="both"/>
        <w:ind w:left="180" w:right="279"/>
        <w:spacing w:after="0" w:line="248" w:lineRule="auto"/>
        <w:rPr>
          <w:sz w:val="20"/>
          <w:szCs w:val="20"/>
          <w:color w:val="auto"/>
        </w:rPr>
      </w:pPr>
      <w:r>
        <w:rPr>
          <w:rFonts w:ascii="Arial" w:cs="Arial" w:eastAsia="Arial" w:hAnsi="Arial"/>
          <w:sz w:val="16"/>
          <w:szCs w:val="16"/>
          <w:color w:val="auto"/>
        </w:rPr>
        <w:t>consideration when making future decisions and recommendations regarding executive compensation. We are advised by the holders of approximately 72% of the Class B Stock that they currently intend to vote “FOR” this proposal. Accordingly, it is anticipated that the Advisory Vote on Executive Officer Compensation Proposal will pass.</w:t>
      </w:r>
    </w:p>
    <w:p>
      <w:pPr>
        <w:spacing w:after="0" w:line="129"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Proposal 4 (the Advisory Vote on Executive Compensation Vote Frequency Proposal): For this proposal, we will consider that the stockholders have recommended whichever option (one, two or three years) that receives the</w:t>
      </w:r>
    </w:p>
    <w:p>
      <w:pPr>
        <w:ind w:left="180"/>
        <w:spacing w:after="0" w:line="232" w:lineRule="auto"/>
        <w:tabs>
          <w:tab w:leader="none" w:pos="2740" w:val="left"/>
        </w:tabs>
        <w:rPr>
          <w:sz w:val="20"/>
          <w:szCs w:val="20"/>
          <w:color w:val="auto"/>
        </w:rPr>
      </w:pPr>
      <w:r>
        <w:rPr>
          <w:rFonts w:ascii="Arial" w:cs="Arial" w:eastAsia="Arial" w:hAnsi="Arial"/>
          <w:sz w:val="18"/>
          <w:szCs w:val="18"/>
          <w:color w:val="auto"/>
        </w:rPr>
        <w:t>greatest number of votes cast.</w:t>
      </w:r>
      <w:r>
        <w:rPr>
          <w:sz w:val="20"/>
          <w:szCs w:val="20"/>
          <w:color w:val="auto"/>
        </w:rPr>
        <w:tab/>
      </w:r>
      <w:r>
        <w:rPr>
          <w:rFonts w:ascii="Arial" w:cs="Arial" w:eastAsia="Arial" w:hAnsi="Arial"/>
          <w:sz w:val="17"/>
          <w:szCs w:val="17"/>
          <w:color w:val="auto"/>
        </w:rPr>
        <w:t>Because your vote is advisory, it will not be binding on us, our Board or our</w:t>
      </w:r>
    </w:p>
    <w:p>
      <w:pPr>
        <w:jc w:val="both"/>
        <w:ind w:left="180" w:right="279"/>
        <w:spacing w:after="0" w:line="237" w:lineRule="auto"/>
        <w:rPr>
          <w:sz w:val="20"/>
          <w:szCs w:val="20"/>
          <w:color w:val="auto"/>
        </w:rPr>
      </w:pPr>
      <w:r>
        <w:rPr>
          <w:rFonts w:ascii="Arial" w:cs="Arial" w:eastAsia="Arial" w:hAnsi="Arial"/>
          <w:sz w:val="16"/>
          <w:szCs w:val="16"/>
          <w:color w:val="auto"/>
        </w:rPr>
        <w:t>Compensation and Stock Options Committee (the “Compensation Committee”). However, the Board and our Compensation Committee, as applicable, will review the voting results and take them into consideration when making</w:t>
      </w:r>
    </w:p>
    <w:p>
      <w:pPr>
        <w:spacing w:after="0" w:line="1" w:lineRule="exact"/>
        <w:rPr>
          <w:sz w:val="20"/>
          <w:szCs w:val="20"/>
          <w:color w:val="auto"/>
        </w:rPr>
      </w:pPr>
    </w:p>
    <w:p>
      <w:pPr>
        <w:jc w:val="both"/>
        <w:ind w:left="180" w:right="279"/>
        <w:spacing w:after="0" w:line="221" w:lineRule="auto"/>
        <w:rPr>
          <w:sz w:val="20"/>
          <w:szCs w:val="20"/>
          <w:color w:val="auto"/>
        </w:rPr>
      </w:pPr>
      <w:r>
        <w:rPr>
          <w:rFonts w:ascii="Arial" w:cs="Arial" w:eastAsia="Arial" w:hAnsi="Arial"/>
          <w:sz w:val="17"/>
          <w:szCs w:val="17"/>
          <w:color w:val="auto"/>
        </w:rPr>
        <w:t>future decisions and recommendations regarding executive compensation. We are advised by the holders of approximately 72% of the Class B Stock that they currently intend to vote “FOR” the one-year option on this proposal. Accordingly, it is anticipated that the one-year option on the Advisory Vote on Executive Compensation</w:t>
      </w:r>
    </w:p>
    <w:p>
      <w:pPr>
        <w:ind w:left="180"/>
        <w:spacing w:after="0"/>
        <w:rPr>
          <w:sz w:val="20"/>
          <w:szCs w:val="20"/>
          <w:color w:val="auto"/>
        </w:rPr>
      </w:pPr>
      <w:r>
        <w:rPr>
          <w:rFonts w:ascii="Arial" w:cs="Arial" w:eastAsia="Arial" w:hAnsi="Arial"/>
          <w:sz w:val="18"/>
          <w:szCs w:val="18"/>
          <w:color w:val="auto"/>
        </w:rPr>
        <w:t>Vote Frequency Proposal will pass.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Proposal 5 (the Increase of Share Reserve under the 2020 Stock Incentive Plan): This proposal requires the</w:t>
      </w:r>
    </w:p>
    <w:p>
      <w:pPr>
        <w:spacing w:after="0" w:line="21"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“FOR” vote of a majority of the votes cast in order to pass. We are advised by the holders of approximately 72% of the Class B Stock that they currently intend to vote “FOR” this proposal. Accordingly, it is anticipated that the Increase to the Share Reserve under our 2020 Stock Incentive Plan Proposal will pass.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Is my vote kept confidential?</w:t>
      </w:r>
    </w:p>
    <w:p>
      <w:pPr>
        <w:spacing w:after="0" w:line="135" w:lineRule="exact"/>
        <w:rPr>
          <w:sz w:val="20"/>
          <w:szCs w:val="20"/>
          <w:color w:val="auto"/>
        </w:rPr>
      </w:pPr>
    </w:p>
    <w:p>
      <w:pPr>
        <w:jc w:val="both"/>
        <w:ind w:left="180" w:right="279" w:firstLine="648"/>
        <w:spacing w:after="0" w:line="235" w:lineRule="auto"/>
        <w:rPr>
          <w:sz w:val="20"/>
          <w:szCs w:val="20"/>
          <w:color w:val="auto"/>
        </w:rPr>
      </w:pPr>
      <w:r>
        <w:rPr>
          <w:rFonts w:ascii="Arial" w:cs="Arial" w:eastAsia="Arial" w:hAnsi="Arial"/>
          <w:sz w:val="18"/>
          <w:szCs w:val="18"/>
          <w:color w:val="auto"/>
        </w:rPr>
        <w:t>Proxies, electronic votes and voting tabulations identifying stockholders are kept confidential and will not be disclosed to third parties, except as may be necessary to meet legal requirements.</w:t>
      </w:r>
    </w:p>
    <w:p>
      <w:pPr>
        <w:spacing w:after="0" w:line="16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 w:name="page15"/>
    <w:bookmarkEnd w:id="14"/>
    <w:p>
      <w:pPr>
        <w:ind w:left="3820"/>
        <w:spacing w:after="0"/>
        <w:rPr>
          <w:sz w:val="20"/>
          <w:szCs w:val="20"/>
          <w:color w:val="auto"/>
        </w:rPr>
      </w:pPr>
      <w:r>
        <w:rPr>
          <w:rFonts w:ascii="Arial" w:cs="Arial" w:eastAsia="Arial" w:hAnsi="Arial"/>
          <w:sz w:val="18"/>
          <w:szCs w:val="18"/>
          <w:b w:val="1"/>
          <w:bCs w:val="1"/>
          <w:color w:val="auto"/>
        </w:rPr>
        <w:t>CORPORATE GOVERNANCE</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 Leadership Structure</w:t>
      </w:r>
    </w:p>
    <w:p>
      <w:pPr>
        <w:spacing w:after="0" w:line="127"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Margaret Cotter is our Chair of the Board and also serves as our Executive Vice President – Real Estate Management and Development. Margaret Cotter has served as a director of our Company since 2002. Over that time,</w:t>
      </w:r>
    </w:p>
    <w:p>
      <w:pPr>
        <w:jc w:val="both"/>
        <w:ind w:left="180" w:right="279"/>
        <w:spacing w:after="0" w:line="234" w:lineRule="auto"/>
        <w:rPr>
          <w:sz w:val="20"/>
          <w:szCs w:val="20"/>
          <w:color w:val="auto"/>
        </w:rPr>
      </w:pPr>
      <w:r>
        <w:rPr>
          <w:rFonts w:ascii="Arial" w:cs="Arial" w:eastAsia="Arial" w:hAnsi="Arial"/>
          <w:sz w:val="16"/>
          <w:szCs w:val="16"/>
          <w:color w:val="auto"/>
        </w:rPr>
        <w:t>she has also been responsible for the management of our domestic live theatre properties and, has general oversight of all our U.S. real estate. At the present time, our Board continues to believe that having a Board Chair who is also a senior executive officer of our Company is in the best interests of our Company and our stockholders. This structure</w:t>
      </w:r>
    </w:p>
    <w:p>
      <w:pPr>
        <w:spacing w:after="0" w:line="2" w:lineRule="exact"/>
        <w:rPr>
          <w:sz w:val="20"/>
          <w:szCs w:val="20"/>
          <w:color w:val="auto"/>
        </w:rPr>
      </w:pPr>
    </w:p>
    <w:p>
      <w:pPr>
        <w:jc w:val="both"/>
        <w:ind w:left="180" w:right="279" w:firstLine="4"/>
        <w:spacing w:after="0" w:line="227" w:lineRule="auto"/>
        <w:tabs>
          <w:tab w:leader="none" w:pos="41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continues the tradition of having a member of the Cotter family (which currently controls approximately 72% of the voting power of our Company) serve as Chair, a leadership structure in which many of our stockholders have invested, (ii) recognizes the ongoing value of Margaret Cotter as the head of our real estate operations, and also (iii) reflects the reality of our status as a “controlled company” under relevant Nasdaq Listing Rules, with Margaret Cotter having (i) sole voting control over 1,058,988 company shares of our Class B Stock</w:t>
      </w:r>
      <w:r>
        <w:rPr>
          <w:rFonts w:ascii="Arial" w:cs="Arial" w:eastAsia="Arial" w:hAnsi="Arial"/>
          <w:sz w:val="8"/>
          <w:szCs w:val="8"/>
          <w:color w:val="auto"/>
        </w:rPr>
        <w:t>1</w:t>
      </w:r>
      <w:r>
        <w:rPr>
          <w:rFonts w:ascii="Arial" w:cs="Arial" w:eastAsia="Arial" w:hAnsi="Arial"/>
          <w:sz w:val="17"/>
          <w:szCs w:val="17"/>
          <w:color w:val="auto"/>
        </w:rPr>
        <w:t>, and (ii) shared voting power with her sister, Ellen M. Cotter over an additional 100,000 shares of our Class B Voting Stock, for voting power equal to approximately 69% of our outstanding voting stock.</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Ellen M. Cotter is our Vice-Chair and also serves as our Chief Executive Officer and President. Prior to her</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appointment in 2015 as our Chief Executive Officer and President, she principally focused on the cinema operations aspects of our business, including the development of our various cinema assets. Ellen M. Cotter has sole voting and dispositive power over 50,000 shares of our Class B Stock and shared voting power and dispositive power with her</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sister, Margaret Cotter, over an additional 100,000 shares of our Class B Stock. In addition, Ellen M. Cotter is the direct owner of an additional 307,166 shares of Class B Stock, but has granted sole voting power and, pending the negotiation and execution of a more definitive stockholders agreement between them, shared dispositive power to</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Margaret Cotter.</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Margaret Cotter and Ellen M. Cotter each have a substantial stake in our Company, directly owning,</w:t>
      </w:r>
    </w:p>
    <w:p>
      <w:pPr>
        <w:spacing w:after="0" w:line="10"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respectively, as of the date of this Proxy Statement, 792,781 shares of Class A Stock and 342,266 shares of Class B Stock, and 869,556 shares of Class A Stock and 357,166 shares of Class B Stock, respectively. In addition, Margaret Cotter and Ellen M. Cotter are the Co-Executors of the Estate of James J. Cotter, Sr. (the “Cotter Estate”) and Co-</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Trustees of the James J. Cotter, Sr. Living Trust (the “Cotter Living Trust”) which own respectively 326,800 and 1,163,649 shares of Class A Stock and, in the case of the Cotter Estate, 100,000 shares of Class B Stock. Margaret Cotter is, in addition, the sole-trustee of the James J. Cotter Education Trust #1 which holds 84,956 shares of Class A</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Stock and the designated trustee of a to-be formed trust for the benefit of her children which is to be funded with 327,808 shares of Class B Stock (currently is held in the name of the Cotter Estate but not included in the Cotter Estate holdings described above) and 81,747 shares of Class B Stock (currently held in the name of the Cotter Living</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Trust but not included in the Cotter Living Trust holdings described above).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 Independence and Board Oversight Structure</w:t>
      </w:r>
    </w:p>
    <w:p>
      <w:pPr>
        <w:spacing w:after="0" w:line="162"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Our Company has elected to take advantage of the “controlled company” exemption under applicable listing rules of the Nasdaq Capital Stock Market (the “Nasdaq Listing Rules”). Accordingly, our Company is exempted from</w:t>
      </w:r>
    </w:p>
    <w:p>
      <w:pPr>
        <w:jc w:val="both"/>
        <w:ind w:left="180" w:right="279"/>
        <w:spacing w:after="0" w:line="234" w:lineRule="auto"/>
        <w:rPr>
          <w:sz w:val="20"/>
          <w:szCs w:val="20"/>
          <w:color w:val="auto"/>
        </w:rPr>
      </w:pPr>
      <w:r>
        <w:rPr>
          <w:rFonts w:ascii="Arial" w:cs="Arial" w:eastAsia="Arial" w:hAnsi="Arial"/>
          <w:sz w:val="16"/>
          <w:szCs w:val="16"/>
          <w:color w:val="auto"/>
        </w:rPr>
        <w:t>the requirement to have a board of directors composed of at least a majority of independent directors, as that term is defined in the Nasdaq Listing Rules and SEC Rules (“Independent Directors”) and to have an independent nominating committee and independent compensation committee. Nevertheless, our Board has for many years had a majority of</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Independent Directors, is nominating a majority of Independent Directors for election to our Board this year and we have had an independent compensation committee for several years, as well. In determining who is an Independent Director, we follow the definition in section 5605(a)(2) of the Nasdaq Listing Rules. Under such rules, we consider the</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following directors to be independent: Guy Adams, Dr. Judy Codding, and Douglas McEachern. Our Board annually reviews the independence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____________________</w:t>
      </w:r>
    </w:p>
    <w:p>
      <w:pPr>
        <w:spacing w:after="0" w:line="14" w:lineRule="exact"/>
        <w:rPr>
          <w:sz w:val="20"/>
          <w:szCs w:val="20"/>
          <w:color w:val="auto"/>
        </w:rPr>
      </w:pPr>
    </w:p>
    <w:p>
      <w:pPr>
        <w:jc w:val="both"/>
        <w:ind w:left="180" w:right="279" w:firstLine="4"/>
        <w:spacing w:after="0" w:line="236" w:lineRule="auto"/>
        <w:tabs>
          <w:tab w:leader="none" w:pos="292" w:val="left"/>
        </w:tabs>
        <w:numPr>
          <w:ilvl w:val="0"/>
          <w:numId w:val="17"/>
        </w:numPr>
        <w:rPr>
          <w:rFonts w:ascii="Arial" w:cs="Arial" w:eastAsia="Arial" w:hAnsi="Arial"/>
          <w:sz w:val="7"/>
          <w:szCs w:val="7"/>
          <w:color w:val="auto"/>
        </w:rPr>
      </w:pPr>
      <w:r>
        <w:rPr>
          <w:rFonts w:ascii="Arial" w:cs="Arial" w:eastAsia="Arial" w:hAnsi="Arial"/>
          <w:sz w:val="16"/>
          <w:szCs w:val="16"/>
          <w:color w:val="auto"/>
        </w:rPr>
        <w:t>Pursuant to an interim agreement between Margaret Cotter and Ellen M. Cotter, Margaret Cotter has sole voting power and, pending the negotiation and execution of a more definitive stockholders agreement between them, shares dispositive power with Ellen M. Cotter over 307,166 of the Class B Stock owned directly by Ellen M. Cotter.</w:t>
      </w:r>
    </w:p>
    <w:p>
      <w:pPr>
        <w:spacing w:after="0" w:line="19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15" w:name="page16"/>
    <w:bookmarkEnd w:id="15"/>
    <w:p>
      <w:pPr>
        <w:ind w:left="840"/>
        <w:spacing w:after="0"/>
        <w:rPr>
          <w:sz w:val="20"/>
          <w:szCs w:val="20"/>
          <w:color w:val="auto"/>
        </w:rPr>
      </w:pPr>
      <w:r>
        <w:rPr>
          <w:rFonts w:ascii="Arial" w:cs="Arial" w:eastAsia="Arial" w:hAnsi="Arial"/>
          <w:sz w:val="17"/>
          <w:szCs w:val="17"/>
          <w:color w:val="auto"/>
        </w:rPr>
        <w:t>We currently have an Audit and Conflicts Committee (the “Audit Committee”) and a Compensation and</w:t>
      </w:r>
    </w:p>
    <w:p>
      <w:pPr>
        <w:spacing w:after="0" w:line="10"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Stock Options Committee (the “Compensation Committee”), each composed entirely of Independent Directors. Historically, our Lead Independent Director chairs meetings of the Independent Directors (typically held as a separate part of board meetings) and acts as liaison between our Chair, Chief Executive Officer and President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Independent Directors.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also currently have a four-member Executive Committee composed of our Chair, Vice-Chair, the</w:t>
      </w:r>
    </w:p>
    <w:p>
      <w:pPr>
        <w:spacing w:after="0" w:line="10"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Chairman of the Compensation Committee (Dr. Judy Codding) and our Lead Technology and Cyber Risk Director (Guy W. Adams). As a consequence of this structure, the concurrence of at least one non-management member of the Executive Committee is required in order for the Executive Committee to take action.</w:t>
      </w:r>
    </w:p>
    <w:p>
      <w:pPr>
        <w:spacing w:after="0" w:line="135" w:lineRule="exact"/>
        <w:rPr>
          <w:sz w:val="20"/>
          <w:szCs w:val="20"/>
          <w:color w:val="auto"/>
        </w:rPr>
      </w:pPr>
    </w:p>
    <w:p>
      <w:pPr>
        <w:jc w:val="both"/>
        <w:ind w:left="180" w:right="279" w:firstLine="648"/>
        <w:spacing w:after="0" w:line="233" w:lineRule="auto"/>
        <w:rPr>
          <w:sz w:val="20"/>
          <w:szCs w:val="20"/>
          <w:color w:val="auto"/>
        </w:rPr>
      </w:pPr>
      <w:r>
        <w:rPr>
          <w:rFonts w:ascii="Arial" w:cs="Arial" w:eastAsia="Arial" w:hAnsi="Arial"/>
          <w:sz w:val="17"/>
          <w:szCs w:val="17"/>
          <w:color w:val="auto"/>
        </w:rPr>
        <w:t>Our Board has (i) adopted a best practices charter for our Compensation Committee, (ii) adopted a best practices charter for our Audit Committee, (iii) completed, with the assistance of compensation consultants and</w:t>
      </w:r>
    </w:p>
    <w:p>
      <w:pPr>
        <w:spacing w:after="0" w:line="1" w:lineRule="exact"/>
        <w:rPr>
          <w:sz w:val="20"/>
          <w:szCs w:val="20"/>
          <w:color w:val="auto"/>
        </w:rPr>
      </w:pPr>
    </w:p>
    <w:p>
      <w:pPr>
        <w:jc w:val="both"/>
        <w:ind w:left="180" w:right="279"/>
        <w:spacing w:after="0" w:line="228" w:lineRule="auto"/>
        <w:rPr>
          <w:sz w:val="20"/>
          <w:szCs w:val="20"/>
          <w:color w:val="auto"/>
        </w:rPr>
      </w:pPr>
      <w:r>
        <w:rPr>
          <w:rFonts w:ascii="Arial" w:cs="Arial" w:eastAsia="Arial" w:hAnsi="Arial"/>
          <w:sz w:val="16"/>
          <w:szCs w:val="16"/>
          <w:color w:val="auto"/>
        </w:rPr>
        <w:t>outside counsel, a review of our compensation practices, (iv) adopted a Code of Business Conduct and Ethics, (v) adopted a Supplemental Insider Trading Policy restricting trading in our stock by our Directors and executive officers,</w:t>
      </w:r>
    </w:p>
    <w:p>
      <w:pPr>
        <w:spacing w:after="0" w:line="1" w:lineRule="exact"/>
        <w:rPr>
          <w:sz w:val="20"/>
          <w:szCs w:val="20"/>
          <w:color w:val="auto"/>
        </w:rPr>
      </w:pPr>
    </w:p>
    <w:p>
      <w:pPr>
        <w:jc w:val="both"/>
        <w:ind w:left="180" w:right="279" w:firstLine="4"/>
        <w:spacing w:after="0" w:line="225"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adopted an Anti-Discrimination, Anti-Harassment and Anti-Bullying policy, (vii) updated our Whistleblower Policy, and (viii) adopted a Stock Ownership Policy, setting out minimum stock ownership levels for our directors and senior executives. With respect to that Stock Ownership Policy, based on current market conditions and challenges facing, (a) the exhibition industry, including the COVID-19 pandemic and now the recent Hollywood strikes, and (b) the real estate industry, including the office leasing market and interest rate increases, our Board is currently evaluating options to adjust the terms of our Stock Ownership Policy. In light of the foregoing, the Board has resolved to waive compliance with the Stock Ownership Policy as of December 31, 2022. Under our Amended and Restated Supplemental Insider Trading Policy, our Directors and executive officers are restricted from engaging in certain forms of hedging transactions, such as zero-cost collars, equity swaps, prepaid variable forward contracts and exchange funds.</w:t>
      </w:r>
    </w:p>
    <w:p>
      <w:pPr>
        <w:spacing w:after="0" w:line="136" w:lineRule="exact"/>
        <w:rPr>
          <w:sz w:val="20"/>
          <w:szCs w:val="20"/>
          <w:color w:val="auto"/>
        </w:rPr>
      </w:pPr>
    </w:p>
    <w:p>
      <w:pPr>
        <w:ind w:left="280" w:right="279" w:firstLine="558"/>
        <w:spacing w:after="0" w:line="248" w:lineRule="auto"/>
        <w:rPr>
          <w:sz w:val="20"/>
          <w:szCs w:val="20"/>
          <w:color w:val="auto"/>
        </w:rPr>
      </w:pPr>
      <w:r>
        <w:rPr>
          <w:rFonts w:ascii="Arial" w:cs="Arial" w:eastAsia="Arial" w:hAnsi="Arial"/>
          <w:sz w:val="16"/>
          <w:szCs w:val="16"/>
          <w:color w:val="auto"/>
        </w:rPr>
        <w:t>Since January 2021, our Compensation Committee’s independent compensation consultant, has been AON. Prior to its appointment, the Compensation Committee concluded that AON was independent pursuant to SEC rules</w:t>
      </w:r>
    </w:p>
    <w:p>
      <w:pPr>
        <w:ind w:left="180"/>
        <w:spacing w:after="0"/>
        <w:rPr>
          <w:sz w:val="20"/>
          <w:szCs w:val="20"/>
          <w:color w:val="auto"/>
        </w:rPr>
      </w:pPr>
      <w:r>
        <w:rPr>
          <w:rFonts w:ascii="Arial" w:cs="Arial" w:eastAsia="Arial" w:hAnsi="Arial"/>
          <w:sz w:val="18"/>
          <w:szCs w:val="18"/>
          <w:color w:val="auto"/>
        </w:rPr>
        <w:t>and the Nasdaq Listing Standards.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 recognition of the special risks involved with technology and cyber security, Director Guy W. Adams has</w:t>
      </w:r>
    </w:p>
    <w:p>
      <w:pPr>
        <w:spacing w:after="0" w:line="21" w:lineRule="exact"/>
        <w:rPr>
          <w:sz w:val="20"/>
          <w:szCs w:val="20"/>
          <w:color w:val="auto"/>
        </w:rPr>
      </w:pPr>
    </w:p>
    <w:p>
      <w:pPr>
        <w:jc w:val="both"/>
        <w:ind w:left="180" w:right="279"/>
        <w:spacing w:after="0" w:line="233" w:lineRule="auto"/>
        <w:rPr>
          <w:sz w:val="20"/>
          <w:szCs w:val="20"/>
          <w:color w:val="auto"/>
        </w:rPr>
      </w:pPr>
      <w:r>
        <w:rPr>
          <w:rFonts w:ascii="Arial" w:cs="Arial" w:eastAsia="Arial" w:hAnsi="Arial"/>
          <w:sz w:val="16"/>
          <w:szCs w:val="16"/>
          <w:color w:val="auto"/>
        </w:rPr>
        <w:t>been appointed to serve as our Lead Technology and Cyber Risk Director. In this role, Director Adams serves as our Board’s liaison with our Chief Executive Officer (“CEO”), Chief Financial Officer (“CFO”), Chief Information Officer and General Counsel in connection with the assessment of our Company’s technology and cyber security needs and the implementation of appropriate policies and procedures to meet those needs. He ensures that relevant</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information is brought to our Board, coordinates the timely presentation of such information to, and facilitates the consideration of such information by all directors. He also coordinates with our management timely and appropriate director education with respect to such matters to enhance director understanding of the issues involved and the</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options available to our Company. In preparation for this role, Director Adams, in 2018, completed the Cyber-Risk Oversight course presented by the National Association of Corporate Directors.</w:t>
      </w:r>
    </w:p>
    <w:p>
      <w:pPr>
        <w:spacing w:after="0" w:line="134" w:lineRule="exact"/>
        <w:rPr>
          <w:sz w:val="20"/>
          <w:szCs w:val="20"/>
          <w:color w:val="auto"/>
        </w:rPr>
      </w:pPr>
    </w:p>
    <w:p>
      <w:pPr>
        <w:jc w:val="both"/>
        <w:ind w:left="180" w:right="279" w:firstLine="648"/>
        <w:spacing w:after="0" w:line="227" w:lineRule="auto"/>
        <w:rPr>
          <w:sz w:val="20"/>
          <w:szCs w:val="20"/>
          <w:color w:val="auto"/>
        </w:rPr>
      </w:pPr>
      <w:r>
        <w:rPr>
          <w:rFonts w:ascii="Arial" w:cs="Arial" w:eastAsia="Arial" w:hAnsi="Arial"/>
          <w:sz w:val="17"/>
          <w:szCs w:val="17"/>
          <w:color w:val="auto"/>
        </w:rPr>
        <w:t>We believe that our Directors bring a broad range of leadership experience to our Company and regularly contribute to the thoughtful discussion involved in effectively overseeing the business and affairs of our Company. We believe that all Board members are well-engaged in their responsibilities and that all Board members</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 Nominations to our Board for the Annual</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Meeting were made by our entire Board. Each of the nominees received the unanimous vote of the Independent Directors and each such nominee abstained with respect to his or her own nomination.</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Board’s Role in Risk Oversight</w:t>
      </w:r>
    </w:p>
    <w:p>
      <w:pPr>
        <w:spacing w:after="0" w:line="151"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implemented by management are adequate and functioning as designed.</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Board plays an important role in risk oversight at our Company through direct decision-making authority</w:t>
      </w:r>
    </w:p>
    <w:p>
      <w:pPr>
        <w:spacing w:after="0" w:line="21" w:lineRule="exact"/>
        <w:rPr>
          <w:sz w:val="20"/>
          <w:szCs w:val="20"/>
          <w:color w:val="auto"/>
        </w:rPr>
      </w:pPr>
    </w:p>
    <w:p>
      <w:pPr>
        <w:jc w:val="both"/>
        <w:ind w:left="180" w:right="279"/>
        <w:spacing w:after="0" w:line="248" w:lineRule="auto"/>
        <w:rPr>
          <w:sz w:val="20"/>
          <w:szCs w:val="20"/>
          <w:color w:val="auto"/>
        </w:rPr>
      </w:pPr>
      <w:r>
        <w:rPr>
          <w:rFonts w:ascii="Arial" w:cs="Arial" w:eastAsia="Arial" w:hAnsi="Arial"/>
          <w:sz w:val="16"/>
          <w:szCs w:val="16"/>
          <w:color w:val="auto"/>
        </w:rPr>
        <w:t>with respect to significant matters, as well as through the oversight of management by the Board and its committees. In particular, the Board administers its risk oversight function through (1) the review and discussion of regular period reports by the Board and its committees on topics relating to the risks that our Company faces, (2) the</w:t>
      </w:r>
    </w:p>
    <w:p>
      <w:pPr>
        <w:spacing w:after="0" w:line="1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6" w:name="page17"/>
    <w:bookmarkEnd w:id="16"/>
    <w:p>
      <w:pPr>
        <w:ind w:left="180"/>
        <w:spacing w:after="0"/>
        <w:rPr>
          <w:sz w:val="20"/>
          <w:szCs w:val="20"/>
          <w:color w:val="auto"/>
        </w:rPr>
      </w:pPr>
      <w:r>
        <w:rPr>
          <w:rFonts w:ascii="Arial" w:cs="Arial" w:eastAsia="Arial" w:hAnsi="Arial"/>
          <w:sz w:val="16"/>
          <w:szCs w:val="16"/>
          <w:color w:val="auto"/>
        </w:rPr>
        <w:t>required approval by the Board (or a committee of the Board) of significant transactions and other decisions, (3) the</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direct oversight of specific areas of our Company’s business by the Audit Committee and the Compensation Committee with input from the Lead Technology and Cyber Risk Director, and (4) review of regular periodic reports from the auditors and other outside consultants regarding various areas of potential risk, including, among others,</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those relating to our internal control over financial reporting. The Board also relies on management to bring significant risks impacting our Company to the attention of the Board.</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“Controlled Company” Status</w:t>
      </w:r>
    </w:p>
    <w:p>
      <w:pPr>
        <w:spacing w:after="0" w:line="151"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Under section 5615(c)(1) of the Nasdaq Listing Rules, a “controlled company” is a company in which more than 50% of the voting power for the election of Directors is held by an individual, a group, or another company. As of the date of this Proxy Statement, Chair Margaret Cotter holds sole voting power over 1,058,988 shares of our Class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B Stock, representing 63% of such shares outstanding. Together, Chair Margaret Cotter and Vice-Chair Ellen M. Cotter have voting power, as of the Record Date, over 1,208,988 shares, representing approximately 72% of our outstanding Class B Stock. Our Class A Stock does not have voting rights. Under applicable Nevada Law the holders</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of shares representing 2/3rds of the outstanding voting stock can, either by written consent or at a meeting, remove any and all directors. Based on advice of counsel, our Board has determined that the Company is therefore a “controlled company” within the Nasdaq Listing Rules.</w:t>
      </w:r>
    </w:p>
    <w:p>
      <w:pPr>
        <w:spacing w:after="0" w:line="135"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does not maintain a separate standing Nominating Committee. The Company nevertheless at this time maintains a Board composed of a majority of Independent Directors, and an Audit Committee and Compensation Committee each composed entirely of Independent Directors and has no present intention to vary from that structure. Our Board,</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consisting of a majority of Independent Directors, approved each of the nominees for our 2023 Annual Meeting. See “</w:t>
      </w:r>
      <w:r>
        <w:rPr>
          <w:rFonts w:ascii="Arial" w:cs="Arial" w:eastAsia="Arial" w:hAnsi="Arial"/>
          <w:sz w:val="18"/>
          <w:szCs w:val="18"/>
          <w:i w:val="1"/>
          <w:iCs w:val="1"/>
          <w:color w:val="auto"/>
        </w:rPr>
        <w:t>Consideration and Selection of the Board's Director Nominees</w:t>
      </w:r>
      <w:r>
        <w:rPr>
          <w:rFonts w:ascii="Arial" w:cs="Arial" w:eastAsia="Arial" w:hAnsi="Arial"/>
          <w:sz w:val="18"/>
          <w:szCs w:val="18"/>
          <w:color w:val="auto"/>
        </w:rPr>
        <w:t>,” below.</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Board Commitees</w:t>
      </w:r>
    </w:p>
    <w:p>
      <w:pPr>
        <w:spacing w:after="0" w:line="151" w:lineRule="exact"/>
        <w:rPr>
          <w:sz w:val="20"/>
          <w:szCs w:val="20"/>
          <w:color w:val="auto"/>
        </w:rPr>
      </w:pPr>
    </w:p>
    <w:p>
      <w:pPr>
        <w:jc w:val="both"/>
        <w:ind w:left="180" w:right="279" w:firstLine="648"/>
        <w:spacing w:after="0" w:line="235" w:lineRule="auto"/>
        <w:rPr>
          <w:sz w:val="20"/>
          <w:szCs w:val="20"/>
          <w:color w:val="auto"/>
        </w:rPr>
      </w:pPr>
      <w:r>
        <w:rPr>
          <w:rFonts w:ascii="Arial" w:cs="Arial" w:eastAsia="Arial" w:hAnsi="Arial"/>
          <w:sz w:val="18"/>
          <w:szCs w:val="18"/>
          <w:color w:val="auto"/>
        </w:rPr>
        <w:t>Our Board has a standing Executive Committee, Audit Committee, and Compensation Committee. These committees are discussed in greater detail below.</w:t>
      </w:r>
    </w:p>
    <w:p>
      <w:pPr>
        <w:spacing w:after="0" w:line="135"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u w:val="single" w:color="auto"/>
          <w:color w:val="auto"/>
        </w:rPr>
        <w:t>Executive Committee</w:t>
      </w:r>
      <w:r>
        <w:rPr>
          <w:rFonts w:ascii="Arial" w:cs="Arial" w:eastAsia="Arial" w:hAnsi="Arial"/>
          <w:sz w:val="16"/>
          <w:szCs w:val="16"/>
          <w:color w:val="auto"/>
        </w:rPr>
        <w:t>. Our Executive Committee operates pursuant to a resolution adopted by our Board and is currently composed of Director Guy W. Adams, who serves as Chair, Dr. Judy Codding, who serves as Chair of the Compensation Committee, Chair Margaret Cotter, and Vice-Chair Ellen M. Cotter. As a consequence of this structure,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the concurrence of at least one non-management member of the Executive Committee is required in order for the Executive Committee to take action. Pursuant to that resolution, the Executive Committee is authorized, to the fullest extent permitted by Nevada law and our Bylaws, to take any and all actions that could have been taken by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full Board between meetings of the full Board.</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u w:val="single" w:color="auto"/>
          <w:color w:val="auto"/>
        </w:rPr>
        <w:t>Lead Independent Director</w:t>
      </w:r>
      <w:r>
        <w:rPr>
          <w:rFonts w:ascii="Arial" w:cs="Arial" w:eastAsia="Arial" w:hAnsi="Arial"/>
          <w:sz w:val="16"/>
          <w:szCs w:val="16"/>
          <w:color w:val="auto"/>
        </w:rPr>
        <w:t>. Director Doug McEachern currently serves as our Lead Independent Director.</w:t>
      </w:r>
    </w:p>
    <w:p>
      <w:pPr>
        <w:spacing w:after="0" w:line="21" w:lineRule="exact"/>
        <w:rPr>
          <w:sz w:val="20"/>
          <w:szCs w:val="20"/>
          <w:color w:val="auto"/>
        </w:rPr>
      </w:pPr>
    </w:p>
    <w:p>
      <w:pPr>
        <w:jc w:val="both"/>
        <w:ind w:left="180" w:right="279" w:firstLine="45"/>
        <w:spacing w:after="0" w:line="218" w:lineRule="auto"/>
        <w:rPr>
          <w:sz w:val="20"/>
          <w:szCs w:val="20"/>
          <w:color w:val="auto"/>
        </w:rPr>
      </w:pPr>
      <w:r>
        <w:rPr>
          <w:rFonts w:ascii="Arial" w:cs="Arial" w:eastAsia="Arial" w:hAnsi="Arial"/>
          <w:sz w:val="18"/>
          <w:szCs w:val="18"/>
          <w:color w:val="auto"/>
        </w:rPr>
        <w:t>Historically, our Lead Independent Director chairs meetings of the Independent Directors (typically held as a separate part of many of our board meetings) and acts as liaison between our Chair, Chief Executive Officer and President and our Independent Directors.</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u w:val="single" w:color="auto"/>
          <w:color w:val="auto"/>
        </w:rPr>
        <w:t>Audit Committee</w:t>
      </w:r>
      <w:r>
        <w:rPr>
          <w:rFonts w:ascii="Arial" w:cs="Arial" w:eastAsia="Arial" w:hAnsi="Arial"/>
          <w:sz w:val="16"/>
          <w:szCs w:val="16"/>
          <w:color w:val="auto"/>
        </w:rPr>
        <w:t>. Our Audit Committee operates pursuant to its charter which is available on our website at https://investor.readingrdi.com/corporate-governance/governance-overview. The Audit Committee is responsible for,</w:t>
      </w:r>
    </w:p>
    <w:p>
      <w:pPr>
        <w:jc w:val="both"/>
        <w:ind w:left="180" w:right="279"/>
        <w:spacing w:after="0" w:line="234" w:lineRule="auto"/>
        <w:rPr>
          <w:sz w:val="20"/>
          <w:szCs w:val="20"/>
          <w:color w:val="auto"/>
        </w:rPr>
      </w:pPr>
      <w:r>
        <w:rPr>
          <w:rFonts w:ascii="Arial" w:cs="Arial" w:eastAsia="Arial" w:hAnsi="Arial"/>
          <w:sz w:val="16"/>
          <w:szCs w:val="16"/>
          <w:color w:val="auto"/>
        </w:rPr>
        <w:t>among other things, (i) reviewing and discussing with management the Company’s financial statements, earnings press releases and all internal controls reports, (ii) appointing, compensating and overseeing the work performed by the Company’s independent auditors, (iii) reviewing with the independent auditors the findings of their audits; and (iv)</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reviewing, considering, negotiating and approving or disapproving related party transactions (see the discussion in the 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below).</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Our Board has determined that the Audit Committee is composed entirely of Independent Directors (as defined in section 5605(a)(2) of the Nasdaq Listing Rules) and Rule 10A-3(b)(1) of the Exchange Act, and that Director Douglas McEachern, the Chair of our Audit Committee, is an Independent Director who meets the foregoing</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guidelines and is qualified as an Audit Committee Financial Expert. Our Audit Committee is currently composed of Director McEachern, Director Dr. Judy Codding and Director Guy Adams.</w:t>
      </w:r>
    </w:p>
    <w:p>
      <w:pPr>
        <w:spacing w:after="0" w:line="16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7" w:name="page18"/>
    <w:bookmarkEnd w:id="17"/>
    <w:p>
      <w:pPr>
        <w:jc w:val="both"/>
        <w:ind w:left="180" w:right="279" w:firstLine="648"/>
        <w:spacing w:after="0" w:line="248" w:lineRule="auto"/>
        <w:rPr>
          <w:sz w:val="20"/>
          <w:szCs w:val="20"/>
          <w:color w:val="auto"/>
        </w:rPr>
      </w:pPr>
      <w:r>
        <w:rPr>
          <w:rFonts w:ascii="Arial" w:cs="Arial" w:eastAsia="Arial" w:hAnsi="Arial"/>
          <w:sz w:val="16"/>
          <w:szCs w:val="16"/>
          <w:u w:val="single" w:color="auto"/>
          <w:color w:val="auto"/>
        </w:rPr>
        <w:t>Compensation Committee</w:t>
      </w:r>
      <w:r>
        <w:rPr>
          <w:rFonts w:ascii="Arial" w:cs="Arial" w:eastAsia="Arial" w:hAnsi="Arial"/>
          <w:sz w:val="16"/>
          <w:szCs w:val="16"/>
          <w:color w:val="auto"/>
        </w:rPr>
        <w:t>. Our Board has established a standing Compensation Committee consisting of our three (3) Independent Directors. Director Dr. Judy Codding, who serves as Chair, Director Guy Adams and Director</w:t>
      </w:r>
    </w:p>
    <w:p>
      <w:pPr>
        <w:jc w:val="both"/>
        <w:ind w:left="180" w:right="279"/>
        <w:spacing w:after="0" w:line="221" w:lineRule="auto"/>
        <w:rPr>
          <w:sz w:val="20"/>
          <w:szCs w:val="20"/>
          <w:color w:val="auto"/>
        </w:rPr>
      </w:pPr>
      <w:r>
        <w:rPr>
          <w:rFonts w:ascii="Arial" w:cs="Arial" w:eastAsia="Arial" w:hAnsi="Arial"/>
          <w:sz w:val="17"/>
          <w:szCs w:val="17"/>
          <w:color w:val="auto"/>
        </w:rPr>
        <w:t>Douglas McEachern. As a “controlled company,” we are exempt from the Nasdaq Listing Rules regarding the determination of executive compensation solely by independent directors, who additionally meet the heightened independence requirements specific to compensation committee members. Notwithstanding such exemption, we</w:t>
      </w:r>
    </w:p>
    <w:p>
      <w:pPr>
        <w:jc w:val="both"/>
        <w:ind w:left="180" w:right="279"/>
        <w:spacing w:after="0" w:line="218" w:lineRule="auto"/>
        <w:rPr>
          <w:sz w:val="20"/>
          <w:szCs w:val="20"/>
          <w:color w:val="auto"/>
        </w:rPr>
      </w:pPr>
      <w:r>
        <w:rPr>
          <w:rFonts w:ascii="Arial" w:cs="Arial" w:eastAsia="Arial" w:hAnsi="Arial"/>
          <w:sz w:val="18"/>
          <w:szCs w:val="18"/>
          <w:color w:val="auto"/>
        </w:rPr>
        <w:t>adopted a Compensation Committee charter requiring our Compensation Committee members to meet the independence rules and regulations of the SEC and the Nasdaq. Our Compensation Committee charter is available on our website at https://investor.readingrdi.com/corporate-governance/governance-overview.</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Pursuant to its charter, the Compensation Committee has delegated authority to establish the compensation for all executive officers, including the Chief Executive Officer and President. However, pursuant to the charter,</w:t>
      </w:r>
    </w:p>
    <w:p>
      <w:pPr>
        <w:jc w:val="both"/>
        <w:ind w:left="180" w:right="279"/>
        <w:spacing w:after="0" w:line="234" w:lineRule="auto"/>
        <w:rPr>
          <w:sz w:val="20"/>
          <w:szCs w:val="20"/>
          <w:color w:val="auto"/>
        </w:rPr>
      </w:pPr>
      <w:r>
        <w:rPr>
          <w:rFonts w:ascii="Arial" w:cs="Arial" w:eastAsia="Arial" w:hAnsi="Arial"/>
          <w:sz w:val="16"/>
          <w:szCs w:val="16"/>
          <w:color w:val="auto"/>
        </w:rPr>
        <w:t>compensation decisions related to Ellen Cotter or Margaret Cotter are subject to review and approval by the Board, so our Compensation Committee makes recommendations for Ellen Cotter and Margaret Cotter, subject to the approval of the Board. In addition, the Compensation Committee, among other things, (i) establishes the Company’s general</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Consideraton and Selecton of the Board’s Director Nominees</w:t>
      </w:r>
    </w:p>
    <w:p>
      <w:pPr>
        <w:spacing w:after="0" w:line="151" w:lineRule="exact"/>
        <w:rPr>
          <w:sz w:val="20"/>
          <w:szCs w:val="20"/>
          <w:color w:val="auto"/>
        </w:rPr>
      </w:pPr>
    </w:p>
    <w:p>
      <w:pPr>
        <w:jc w:val="both"/>
        <w:ind w:left="180" w:right="279" w:firstLine="648"/>
        <w:spacing w:after="0" w:line="237" w:lineRule="auto"/>
        <w:rPr>
          <w:sz w:val="20"/>
          <w:szCs w:val="20"/>
          <w:color w:val="auto"/>
        </w:rPr>
      </w:pPr>
      <w:r>
        <w:rPr>
          <w:rFonts w:ascii="Arial" w:cs="Arial" w:eastAsia="Arial" w:hAnsi="Arial"/>
          <w:sz w:val="17"/>
          <w:szCs w:val="17"/>
          <w:color w:val="auto"/>
        </w:rPr>
        <w:t>The Company has elected to take the “controlled company” exemption under applicable Nasdaq Listing Rules. Accordingly, the Company does not maintain a standing Nominating Committee. Our Board, consisting of a majority of Independent Directors, approved each of the Board nominees for our 2023 Annual Meeting.</w:t>
      </w:r>
    </w:p>
    <w:p>
      <w:pPr>
        <w:spacing w:after="0" w:line="136"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Our Board does not have a formal policy with respect to the consideration of Director candidates recommended by our stockholders. No non-Director stockholder has, in more than the past decade, made any formal</w:t>
      </w:r>
    </w:p>
    <w:p>
      <w:pPr>
        <w:jc w:val="both"/>
        <w:ind w:left="180" w:right="279"/>
        <w:spacing w:after="0" w:line="234" w:lineRule="auto"/>
        <w:rPr>
          <w:sz w:val="20"/>
          <w:szCs w:val="20"/>
          <w:color w:val="auto"/>
        </w:rPr>
      </w:pPr>
      <w:r>
        <w:rPr>
          <w:rFonts w:ascii="Arial" w:cs="Arial" w:eastAsia="Arial" w:hAnsi="Arial"/>
          <w:sz w:val="16"/>
          <w:szCs w:val="16"/>
          <w:color w:val="auto"/>
        </w:rPr>
        <w:t>proposal or recommendation to the Board as to potential nominees. Neither our governing documents nor applicable Nevada law place any restriction on the nomination of candidates for election to our Board directly by our Class B stockholders. In light of the facts that (i) we are a “controlled company” under the Nasdaq Listing Rules and</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exempted from the requirements for an independent nominating process, and (ii) our governing documents and Nevada law place no limitation upon the direct nomination of Director candidates by our Class B stockholders, our Board believes there is no need for a formal policy with respect to Director nominations.</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Our Directors have not adopted any formal criteria with respect to the qualifications required to be a Director or the particular skills that should be represented on our Board, other than the need to have at least one Director and</w:t>
      </w:r>
    </w:p>
    <w:p>
      <w:pPr>
        <w:jc w:val="both"/>
        <w:ind w:left="180" w:right="279"/>
        <w:spacing w:after="0" w:line="231" w:lineRule="auto"/>
        <w:rPr>
          <w:sz w:val="20"/>
          <w:szCs w:val="20"/>
          <w:color w:val="auto"/>
        </w:rPr>
      </w:pPr>
      <w:r>
        <w:rPr>
          <w:rFonts w:ascii="Arial" w:cs="Arial" w:eastAsia="Arial" w:hAnsi="Arial"/>
          <w:sz w:val="17"/>
          <w:szCs w:val="17"/>
          <w:color w:val="auto"/>
        </w:rPr>
        <w:t>member of our Audit Committee who qualifies as an “Audit Committee Financial Expert,” and have not historically retained any third party to identify or evaluate or to assist in identifying or evaluating potential nominees. Currently, we have no policy of considering diversity or any other specific criteria in identifying Director nominees.</w:t>
      </w:r>
    </w:p>
    <w:p>
      <w:pPr>
        <w:spacing w:after="0" w:line="135" w:lineRule="exact"/>
        <w:rPr>
          <w:sz w:val="20"/>
          <w:szCs w:val="20"/>
          <w:color w:val="auto"/>
        </w:rPr>
      </w:pPr>
    </w:p>
    <w:p>
      <w:pPr>
        <w:jc w:val="both"/>
        <w:ind w:left="180" w:right="279" w:firstLine="648"/>
        <w:spacing w:after="0" w:line="235" w:lineRule="auto"/>
        <w:rPr>
          <w:sz w:val="20"/>
          <w:szCs w:val="20"/>
          <w:color w:val="auto"/>
        </w:rPr>
      </w:pPr>
      <w:r>
        <w:rPr>
          <w:rFonts w:ascii="Arial" w:cs="Arial" w:eastAsia="Arial" w:hAnsi="Arial"/>
          <w:sz w:val="18"/>
          <w:szCs w:val="18"/>
          <w:color w:val="auto"/>
        </w:rPr>
        <w:t>Our Board has resolved to nominate all five (5) of our incumbent Directors, named in Proposal 1, for election as Directors of our Company at our Annual Meeting.</w:t>
      </w:r>
    </w:p>
    <w:p>
      <w:pPr>
        <w:spacing w:after="0" w:line="135" w:lineRule="exact"/>
        <w:rPr>
          <w:sz w:val="20"/>
          <w:szCs w:val="20"/>
          <w:color w:val="auto"/>
        </w:rPr>
      </w:pPr>
    </w:p>
    <w:p>
      <w:pPr>
        <w:jc w:val="both"/>
        <w:ind w:left="180" w:right="279" w:firstLine="648"/>
        <w:spacing w:after="0" w:line="235" w:lineRule="auto"/>
        <w:rPr>
          <w:sz w:val="20"/>
          <w:szCs w:val="20"/>
          <w:color w:val="auto"/>
        </w:rPr>
      </w:pPr>
      <w:r>
        <w:rPr>
          <w:rFonts w:ascii="Arial" w:cs="Arial" w:eastAsia="Arial" w:hAnsi="Arial"/>
          <w:sz w:val="18"/>
          <w:szCs w:val="18"/>
          <w:color w:val="auto"/>
        </w:rPr>
        <w:t>Each of the nominees named in Proposal 1 received the unanimous approval of the Directors, with each such nominee abstaining as to his or her nomination.</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Code of Ethics</w:t>
      </w:r>
    </w:p>
    <w:p>
      <w:pPr>
        <w:spacing w:after="0" w:line="151" w:lineRule="exact"/>
        <w:rPr>
          <w:sz w:val="20"/>
          <w:szCs w:val="20"/>
          <w:color w:val="auto"/>
        </w:rPr>
      </w:pPr>
    </w:p>
    <w:p>
      <w:pPr>
        <w:jc w:val="both"/>
        <w:ind w:left="180" w:right="279" w:firstLine="648"/>
        <w:spacing w:after="0" w:line="233" w:lineRule="auto"/>
        <w:rPr>
          <w:sz w:val="20"/>
          <w:szCs w:val="20"/>
          <w:color w:val="auto"/>
        </w:rPr>
      </w:pPr>
      <w:r>
        <w:rPr>
          <w:rFonts w:ascii="Arial" w:cs="Arial" w:eastAsia="Arial" w:hAnsi="Arial"/>
          <w:sz w:val="17"/>
          <w:szCs w:val="17"/>
          <w:color w:val="auto"/>
        </w:rPr>
        <w:t>We have adopted a Code of Business Conduct and Ethics (the “Code of Conduct”) designed to help our Directors and employees resolve ethical issues. Our Code of Conduct applies to all Employees, Officers and</w:t>
      </w:r>
    </w:p>
    <w:p>
      <w:pPr>
        <w:spacing w:after="0" w:line="1"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Directors, including the Chief Executive Officer, the Chief Financial Officer, the Chief Accounting Officer and the Controller and all persons performing similar functions. Our Code of Conduct is posted on our website at https://investor.readingrdi.com/governance/governance-documents/default.aspx.</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Our Board has established a means for employees to report a violation or suspected violation of the Code of Conduct anonymously. In addition, we have adopted an “Amended and Restated Whistleblower Policy and</w:t>
      </w:r>
    </w:p>
    <w:p>
      <w:pPr>
        <w:jc w:val="both"/>
        <w:ind w:left="180" w:right="279"/>
        <w:spacing w:after="0" w:line="234" w:lineRule="auto"/>
        <w:rPr>
          <w:sz w:val="20"/>
          <w:szCs w:val="20"/>
          <w:color w:val="auto"/>
        </w:rPr>
      </w:pPr>
      <w:r>
        <w:rPr>
          <w:rFonts w:ascii="Arial" w:cs="Arial" w:eastAsia="Arial" w:hAnsi="Arial"/>
          <w:sz w:val="16"/>
          <w:szCs w:val="16"/>
          <w:color w:val="auto"/>
        </w:rPr>
        <w:t>Procedures,” which is posted on our website, at https://investor.readingrdi.com/corporate-governance/governance-overview, that establishes a process by which employees may anonymously disclose to our Principal Compliance Officer (currently the Chair of our Audit Committee) alleged fraud or violations of accounting, internal accounting</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controls or auditing matters.</w:t>
      </w:r>
    </w:p>
    <w:p>
      <w:pPr>
        <w:spacing w:after="0" w:line="1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8" w:name="page19"/>
    <w:bookmarkEnd w:id="18"/>
    <w:p>
      <w:pPr>
        <w:ind w:left="180"/>
        <w:spacing w:after="0"/>
        <w:rPr>
          <w:sz w:val="20"/>
          <w:szCs w:val="20"/>
          <w:color w:val="auto"/>
        </w:rPr>
      </w:pPr>
      <w:r>
        <w:rPr>
          <w:rFonts w:ascii="Arial" w:cs="Arial" w:eastAsia="Arial" w:hAnsi="Arial"/>
          <w:sz w:val="18"/>
          <w:szCs w:val="18"/>
          <w:b w:val="1"/>
          <w:bCs w:val="1"/>
          <w:color w:val="auto"/>
        </w:rPr>
        <w:t>Review, Approval or Ratfcaton of Transactons with Related Persons</w:t>
      </w:r>
    </w:p>
    <w:p>
      <w:pPr>
        <w:spacing w:after="0" w:line="151" w:lineRule="exact"/>
        <w:rPr>
          <w:sz w:val="20"/>
          <w:szCs w:val="20"/>
          <w:color w:val="auto"/>
        </w:rPr>
      </w:pPr>
    </w:p>
    <w:p>
      <w:pPr>
        <w:jc w:val="both"/>
        <w:ind w:left="180" w:right="740" w:firstLine="648"/>
        <w:spacing w:after="0" w:line="248" w:lineRule="auto"/>
        <w:rPr>
          <w:sz w:val="20"/>
          <w:szCs w:val="20"/>
          <w:color w:val="auto"/>
        </w:rPr>
      </w:pPr>
      <w:r>
        <w:rPr>
          <w:rFonts w:ascii="Arial" w:cs="Arial" w:eastAsia="Arial" w:hAnsi="Arial"/>
          <w:sz w:val="16"/>
          <w:szCs w:val="16"/>
          <w:color w:val="auto"/>
        </w:rPr>
        <w:t>Our Audit Committee charter delegates to that committee responsibility for review and approval of transactions between the Company and its Directors, Director nominees, executive officers, greater than five percent</w:t>
      </w:r>
    </w:p>
    <w:p>
      <w:pPr>
        <w:jc w:val="both"/>
        <w:ind w:left="180" w:right="740"/>
        <w:spacing w:after="0" w:line="221" w:lineRule="auto"/>
        <w:rPr>
          <w:sz w:val="20"/>
          <w:szCs w:val="20"/>
          <w:color w:val="auto"/>
        </w:rPr>
      </w:pPr>
      <w:r>
        <w:rPr>
          <w:rFonts w:ascii="Arial" w:cs="Arial" w:eastAsia="Arial" w:hAnsi="Arial"/>
          <w:sz w:val="17"/>
          <w:szCs w:val="17"/>
          <w:color w:val="auto"/>
        </w:rPr>
        <w:t>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https://investor.readingrdi.com/corporate-</w:t>
      </w:r>
    </w:p>
    <w:p>
      <w:pPr>
        <w:jc w:val="both"/>
        <w:ind w:left="180" w:right="740"/>
        <w:spacing w:after="0" w:line="226" w:lineRule="auto"/>
        <w:rPr>
          <w:sz w:val="20"/>
          <w:szCs w:val="20"/>
          <w:color w:val="auto"/>
        </w:rPr>
      </w:pPr>
      <w:r>
        <w:rPr>
          <w:rFonts w:ascii="Arial" w:cs="Arial" w:eastAsia="Arial" w:hAnsi="Arial"/>
          <w:sz w:val="18"/>
          <w:szCs w:val="18"/>
          <w:color w:val="auto"/>
        </w:rPr>
        <w:t xml:space="preserve">governance/governance-overview. For additional information, see the section entitled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 Diversity</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presents board level diversity statistics, based on voluntary self-identification of each director</w:t>
      </w:r>
    </w:p>
    <w:p>
      <w:pPr>
        <w:spacing w:after="0" w:line="10" w:lineRule="exact"/>
        <w:rPr>
          <w:sz w:val="20"/>
          <w:szCs w:val="20"/>
          <w:color w:val="auto"/>
        </w:rPr>
      </w:pPr>
    </w:p>
    <w:p>
      <w:pPr>
        <w:jc w:val="both"/>
        <w:ind w:left="180" w:right="20"/>
        <w:spacing w:after="0" w:line="218" w:lineRule="auto"/>
        <w:rPr>
          <w:sz w:val="20"/>
          <w:szCs w:val="20"/>
          <w:color w:val="auto"/>
        </w:rPr>
      </w:pPr>
      <w:r>
        <w:rPr>
          <w:rFonts w:ascii="Arial" w:cs="Arial" w:eastAsia="Arial" w:hAnsi="Arial"/>
          <w:sz w:val="18"/>
          <w:szCs w:val="18"/>
          <w:color w:val="auto"/>
        </w:rPr>
        <w:t>nominee standing for election at the annual meeting, as of October 18, 2023. Based on the following diversity statistics, our Board currently satisfies the diversity objectives under Nasdaq Listing Rule 5605(f)(2), and our Board will continue to satisfy the diversity objectives if all director nominees are elected at the 2023 Annual Meeting.</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Board Diversity Matrix for Reading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-119380</wp:posOffset>
            </wp:positionV>
            <wp:extent cx="5897880" cy="3943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97880" cy="3943350"/>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October 18, 2023</w:t>
      </w: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351"/>
        </w:trPr>
        <w:tc>
          <w:tcPr>
            <w:tcW w:w="3660" w:type="dxa"/>
            <w:vAlign w:val="bottom"/>
            <w:tcBorders>
              <w:top w:val="single" w:sz="8" w:color="auto"/>
              <w:bottom w:val="single" w:sz="8" w:color="BDD6EE"/>
              <w:right w:val="single" w:sz="8" w:color="auto"/>
            </w:tcBorders>
            <w:shd w:val="clear" w:color="auto" w:fill="BDD6EE"/>
          </w:tcPr>
          <w:p>
            <w:pPr>
              <w:ind w:left="820"/>
              <w:spacing w:after="0"/>
              <w:rPr>
                <w:sz w:val="20"/>
                <w:szCs w:val="20"/>
                <w:color w:val="auto"/>
              </w:rPr>
            </w:pPr>
            <w:r>
              <w:rPr>
                <w:rFonts w:ascii="Arial" w:cs="Arial" w:eastAsia="Arial" w:hAnsi="Arial"/>
                <w:sz w:val="18"/>
                <w:szCs w:val="18"/>
                <w:b w:val="1"/>
                <w:bCs w:val="1"/>
                <w:color w:val="auto"/>
              </w:rPr>
              <w:t>Total Number of Directors</w:t>
            </w:r>
          </w:p>
        </w:tc>
        <w:tc>
          <w:tcPr>
            <w:tcW w:w="1340" w:type="dxa"/>
            <w:vAlign w:val="bottom"/>
            <w:tcBorders>
              <w:top w:val="single" w:sz="8" w:color="auto"/>
              <w:bottom w:val="single" w:sz="8" w:color="BDD6EE"/>
              <w:right w:val="single" w:sz="8" w:color="BDD6EE"/>
            </w:tcBorders>
            <w:shd w:val="clear" w:color="auto" w:fill="BDD6EE"/>
          </w:tcPr>
          <w:p>
            <w:pPr>
              <w:spacing w:after="0"/>
              <w:rPr>
                <w:sz w:val="24"/>
                <w:szCs w:val="24"/>
                <w:color w:val="auto"/>
              </w:rPr>
            </w:pPr>
          </w:p>
        </w:tc>
        <w:tc>
          <w:tcPr>
            <w:tcW w:w="1400" w:type="dxa"/>
            <w:vAlign w:val="bottom"/>
            <w:tcBorders>
              <w:top w:val="single" w:sz="8" w:color="auto"/>
              <w:bottom w:val="single" w:sz="8" w:color="BDD6EE"/>
              <w:right w:val="single" w:sz="8" w:color="BDD6EE"/>
            </w:tcBorders>
            <w:shd w:val="clear" w:color="auto" w:fill="BDD6EE"/>
          </w:tcPr>
          <w:p>
            <w:pPr>
              <w:spacing w:after="0"/>
              <w:rPr>
                <w:sz w:val="24"/>
                <w:szCs w:val="24"/>
                <w:color w:val="auto"/>
              </w:rPr>
            </w:pPr>
          </w:p>
        </w:tc>
        <w:tc>
          <w:tcPr>
            <w:tcW w:w="1420" w:type="dxa"/>
            <w:vAlign w:val="bottom"/>
            <w:tcBorders>
              <w:top w:val="single" w:sz="8" w:color="auto"/>
              <w:bottom w:val="single" w:sz="8" w:color="BDD6EE"/>
              <w:right w:val="single" w:sz="8" w:color="BDD6EE"/>
            </w:tcBorders>
            <w:shd w:val="clear" w:color="auto" w:fill="BDD6EE"/>
          </w:tcPr>
          <w:p>
            <w:pPr>
              <w:jc w:val="right"/>
              <w:ind w:right="1211"/>
              <w:spacing w:after="0"/>
              <w:rPr>
                <w:sz w:val="20"/>
                <w:szCs w:val="20"/>
                <w:color w:val="auto"/>
              </w:rPr>
            </w:pPr>
            <w:r>
              <w:rPr>
                <w:rFonts w:ascii="Arial" w:cs="Arial" w:eastAsia="Arial" w:hAnsi="Arial"/>
                <w:sz w:val="18"/>
                <w:szCs w:val="18"/>
                <w:b w:val="1"/>
                <w:bCs w:val="1"/>
                <w:color w:val="auto"/>
                <w:w w:val="99"/>
              </w:rPr>
              <w:t>5</w:t>
            </w:r>
          </w:p>
        </w:tc>
        <w:tc>
          <w:tcPr>
            <w:tcW w:w="1460" w:type="dxa"/>
            <w:vAlign w:val="bottom"/>
            <w:tcBorders>
              <w:top w:val="single" w:sz="8" w:color="auto"/>
              <w:bottom w:val="single" w:sz="8" w:color="BDD6EE"/>
            </w:tcBorders>
            <w:shd w:val="clear" w:color="auto" w:fill="BDD6EE"/>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138"/>
        </w:trPr>
        <w:tc>
          <w:tcPr>
            <w:tcW w:w="366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ind w:left="400"/>
              <w:spacing w:after="0" w:line="138" w:lineRule="exact"/>
              <w:rPr>
                <w:sz w:val="20"/>
                <w:szCs w:val="20"/>
                <w:color w:val="auto"/>
              </w:rPr>
            </w:pPr>
            <w:r>
              <w:rPr>
                <w:rFonts w:ascii="Arial" w:cs="Arial" w:eastAsia="Arial" w:hAnsi="Arial"/>
                <w:sz w:val="16"/>
                <w:szCs w:val="16"/>
                <w:b w:val="1"/>
                <w:bCs w:val="1"/>
                <w:color w:val="auto"/>
              </w:rPr>
              <w:t>Female</w:t>
            </w:r>
          </w:p>
        </w:tc>
        <w:tc>
          <w:tcPr>
            <w:tcW w:w="1400" w:type="dxa"/>
            <w:vAlign w:val="bottom"/>
            <w:tcBorders>
              <w:top w:val="single" w:sz="8" w:color="auto"/>
              <w:right w:val="single" w:sz="8" w:color="auto"/>
            </w:tcBorders>
          </w:tcPr>
          <w:p>
            <w:pPr>
              <w:ind w:left="500"/>
              <w:spacing w:after="0" w:line="138" w:lineRule="exact"/>
              <w:rPr>
                <w:sz w:val="20"/>
                <w:szCs w:val="20"/>
                <w:color w:val="auto"/>
              </w:rPr>
            </w:pPr>
            <w:r>
              <w:rPr>
                <w:rFonts w:ascii="Arial" w:cs="Arial" w:eastAsia="Arial" w:hAnsi="Arial"/>
                <w:sz w:val="16"/>
                <w:szCs w:val="16"/>
                <w:b w:val="1"/>
                <w:bCs w:val="1"/>
                <w:color w:val="auto"/>
              </w:rPr>
              <w:t>Male</w:t>
            </w:r>
          </w:p>
        </w:tc>
        <w:tc>
          <w:tcPr>
            <w:tcW w:w="1420" w:type="dxa"/>
            <w:vAlign w:val="bottom"/>
            <w:tcBorders>
              <w:top w:val="single" w:sz="8" w:color="auto"/>
              <w:right w:val="single" w:sz="8" w:color="auto"/>
            </w:tcBorders>
          </w:tcPr>
          <w:p>
            <w:pPr>
              <w:jc w:val="center"/>
              <w:spacing w:after="0" w:line="138" w:lineRule="exact"/>
              <w:rPr>
                <w:sz w:val="20"/>
                <w:szCs w:val="20"/>
                <w:color w:val="auto"/>
              </w:rPr>
            </w:pPr>
            <w:r>
              <w:rPr>
                <w:rFonts w:ascii="Arial" w:cs="Arial" w:eastAsia="Arial" w:hAnsi="Arial"/>
                <w:sz w:val="16"/>
                <w:szCs w:val="16"/>
                <w:b w:val="1"/>
                <w:bCs w:val="1"/>
                <w:color w:val="auto"/>
              </w:rPr>
              <w:t>Non-Binary</w:t>
            </w:r>
          </w:p>
        </w:tc>
        <w:tc>
          <w:tcPr>
            <w:tcW w:w="14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6"/>
                <w:szCs w:val="16"/>
                <w:b w:val="1"/>
                <w:bCs w:val="1"/>
                <w:color w:val="auto"/>
                <w:w w:val="94"/>
              </w:rPr>
              <w:t>Did Not Disclose</w:t>
            </w:r>
          </w:p>
        </w:tc>
        <w:tc>
          <w:tcPr>
            <w:tcW w:w="20" w:type="dxa"/>
            <w:vAlign w:val="bottom"/>
            <w:tcBorders>
              <w:top w:val="single" w:sz="8" w:color="auto"/>
            </w:tcBorders>
          </w:tcPr>
          <w:p>
            <w:pPr>
              <w:spacing w:after="0"/>
              <w:rPr>
                <w:sz w:val="12"/>
                <w:szCs w:val="12"/>
                <w:color w:val="auto"/>
              </w:rPr>
            </w:pPr>
          </w:p>
        </w:tc>
      </w:tr>
      <w:tr>
        <w:trPr>
          <w:trHeight w:val="179"/>
        </w:trPr>
        <w:tc>
          <w:tcPr>
            <w:tcW w:w="36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94"/>
              </w:rPr>
              <w:t>Gender</w:t>
            </w:r>
          </w:p>
        </w:tc>
        <w:tc>
          <w:tcPr>
            <w:tcW w:w="20" w:type="dxa"/>
            <w:vAlign w:val="bottom"/>
            <w:tcBorders>
              <w:bottom w:val="single" w:sz="8" w:color="auto"/>
            </w:tcBorders>
          </w:tcPr>
          <w:p>
            <w:pPr>
              <w:spacing w:after="0"/>
              <w:rPr>
                <w:sz w:val="15"/>
                <w:szCs w:val="15"/>
                <w:color w:val="auto"/>
              </w:rPr>
            </w:pPr>
          </w:p>
        </w:tc>
      </w:tr>
      <w:tr>
        <w:trPr>
          <w:trHeight w:val="228"/>
        </w:trPr>
        <w:tc>
          <w:tcPr>
            <w:tcW w:w="3660" w:type="dxa"/>
            <w:vAlign w:val="bottom"/>
            <w:tcBorders>
              <w:right w:val="single" w:sz="8" w:color="BDD6EE"/>
            </w:tcBorders>
            <w:shd w:val="clear" w:color="auto" w:fill="BDD6EE"/>
          </w:tcPr>
          <w:p>
            <w:pPr>
              <w:ind w:left="140"/>
              <w:spacing w:after="0"/>
              <w:rPr>
                <w:sz w:val="20"/>
                <w:szCs w:val="20"/>
                <w:color w:val="auto"/>
              </w:rPr>
            </w:pPr>
            <w:r>
              <w:rPr>
                <w:rFonts w:ascii="Arial" w:cs="Arial" w:eastAsia="Arial" w:hAnsi="Arial"/>
                <w:sz w:val="18"/>
                <w:szCs w:val="18"/>
                <w:b w:val="1"/>
                <w:bCs w:val="1"/>
                <w:color w:val="auto"/>
              </w:rPr>
              <w:t>Part I: Gender Identity</w:t>
            </w:r>
          </w:p>
        </w:tc>
        <w:tc>
          <w:tcPr>
            <w:tcW w:w="1340" w:type="dxa"/>
            <w:vAlign w:val="bottom"/>
            <w:tcBorders>
              <w:right w:val="single" w:sz="8" w:color="BDD6EE"/>
            </w:tcBorders>
            <w:shd w:val="clear" w:color="auto" w:fill="BDD6EE"/>
          </w:tcPr>
          <w:p>
            <w:pPr>
              <w:spacing w:after="0"/>
              <w:rPr>
                <w:sz w:val="19"/>
                <w:szCs w:val="19"/>
                <w:color w:val="auto"/>
              </w:rPr>
            </w:pPr>
          </w:p>
        </w:tc>
        <w:tc>
          <w:tcPr>
            <w:tcW w:w="1400" w:type="dxa"/>
            <w:vAlign w:val="bottom"/>
            <w:tcBorders>
              <w:right w:val="single" w:sz="8" w:color="BDD6EE"/>
            </w:tcBorders>
            <w:shd w:val="clear" w:color="auto" w:fill="BDD6EE"/>
          </w:tcPr>
          <w:p>
            <w:pPr>
              <w:spacing w:after="0"/>
              <w:rPr>
                <w:sz w:val="19"/>
                <w:szCs w:val="19"/>
                <w:color w:val="auto"/>
              </w:rPr>
            </w:pPr>
          </w:p>
        </w:tc>
        <w:tc>
          <w:tcPr>
            <w:tcW w:w="1420" w:type="dxa"/>
            <w:vAlign w:val="bottom"/>
            <w:tcBorders>
              <w:right w:val="single" w:sz="8" w:color="BDD6EE"/>
            </w:tcBorders>
            <w:shd w:val="clear" w:color="auto" w:fill="BDD6EE"/>
          </w:tcPr>
          <w:p>
            <w:pPr>
              <w:spacing w:after="0"/>
              <w:rPr>
                <w:sz w:val="19"/>
                <w:szCs w:val="19"/>
                <w:color w:val="auto"/>
              </w:rPr>
            </w:pPr>
          </w:p>
        </w:tc>
        <w:tc>
          <w:tcPr>
            <w:tcW w:w="1460" w:type="dxa"/>
            <w:vAlign w:val="bottom"/>
            <w:shd w:val="clear" w:color="auto" w:fill="BDD6EE"/>
          </w:tcPr>
          <w:p>
            <w:pPr>
              <w:spacing w:after="0"/>
              <w:rPr>
                <w:sz w:val="19"/>
                <w:szCs w:val="19"/>
                <w:color w:val="auto"/>
              </w:rPr>
            </w:pP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BDD6EE"/>
            </w:tcBorders>
            <w:shd w:val="clear" w:color="auto" w:fill="BDD6EE"/>
          </w:tcPr>
          <w:p>
            <w:pPr>
              <w:spacing w:after="0"/>
              <w:rPr>
                <w:sz w:val="12"/>
                <w:szCs w:val="12"/>
                <w:color w:val="auto"/>
              </w:rPr>
            </w:pPr>
          </w:p>
        </w:tc>
        <w:tc>
          <w:tcPr>
            <w:tcW w:w="1340" w:type="dxa"/>
            <w:vAlign w:val="bottom"/>
            <w:tcBorders>
              <w:bottom w:val="single" w:sz="8" w:color="auto"/>
              <w:right w:val="single" w:sz="8" w:color="BDD6EE"/>
            </w:tcBorders>
            <w:shd w:val="clear" w:color="auto" w:fill="BDD6EE"/>
          </w:tcPr>
          <w:p>
            <w:pPr>
              <w:spacing w:after="0"/>
              <w:rPr>
                <w:sz w:val="12"/>
                <w:szCs w:val="12"/>
                <w:color w:val="auto"/>
              </w:rPr>
            </w:pPr>
          </w:p>
        </w:tc>
        <w:tc>
          <w:tcPr>
            <w:tcW w:w="1400" w:type="dxa"/>
            <w:vAlign w:val="bottom"/>
            <w:tcBorders>
              <w:bottom w:val="single" w:sz="8" w:color="auto"/>
              <w:right w:val="single" w:sz="8" w:color="BDD6EE"/>
            </w:tcBorders>
            <w:shd w:val="clear" w:color="auto" w:fill="BDD6EE"/>
          </w:tcPr>
          <w:p>
            <w:pPr>
              <w:spacing w:after="0"/>
              <w:rPr>
                <w:sz w:val="12"/>
                <w:szCs w:val="12"/>
                <w:color w:val="auto"/>
              </w:rPr>
            </w:pPr>
          </w:p>
        </w:tc>
        <w:tc>
          <w:tcPr>
            <w:tcW w:w="1420" w:type="dxa"/>
            <w:vAlign w:val="bottom"/>
            <w:tcBorders>
              <w:bottom w:val="single" w:sz="8" w:color="auto"/>
              <w:right w:val="single" w:sz="8" w:color="BDD6EE"/>
            </w:tcBorders>
            <w:shd w:val="clear" w:color="auto" w:fill="BDD6EE"/>
          </w:tcPr>
          <w:p>
            <w:pPr>
              <w:spacing w:after="0"/>
              <w:rPr>
                <w:sz w:val="12"/>
                <w:szCs w:val="12"/>
                <w:color w:val="auto"/>
              </w:rPr>
            </w:pPr>
          </w:p>
        </w:tc>
        <w:tc>
          <w:tcPr>
            <w:tcW w:w="1460" w:type="dxa"/>
            <w:vAlign w:val="bottom"/>
            <w:tcBorders>
              <w:bottom w:val="single" w:sz="8" w:color="auto"/>
            </w:tcBorders>
            <w:shd w:val="clear" w:color="auto" w:fill="BDD6E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Directors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8"/>
        </w:trPr>
        <w:tc>
          <w:tcPr>
            <w:tcW w:w="3660" w:type="dxa"/>
            <w:vAlign w:val="bottom"/>
            <w:tcBorders>
              <w:right w:val="single" w:sz="8" w:color="BDD6EE"/>
            </w:tcBorders>
            <w:shd w:val="clear" w:color="auto" w:fill="BDD6EE"/>
          </w:tcPr>
          <w:p>
            <w:pPr>
              <w:ind w:left="140"/>
              <w:spacing w:after="0"/>
              <w:rPr>
                <w:sz w:val="20"/>
                <w:szCs w:val="20"/>
                <w:color w:val="auto"/>
              </w:rPr>
            </w:pPr>
            <w:r>
              <w:rPr>
                <w:rFonts w:ascii="Arial" w:cs="Arial" w:eastAsia="Arial" w:hAnsi="Arial"/>
                <w:sz w:val="18"/>
                <w:szCs w:val="18"/>
                <w:b w:val="1"/>
                <w:bCs w:val="1"/>
                <w:color w:val="auto"/>
              </w:rPr>
              <w:t>Part II: Demographic Background</w:t>
            </w:r>
          </w:p>
        </w:tc>
        <w:tc>
          <w:tcPr>
            <w:tcW w:w="1340" w:type="dxa"/>
            <w:vAlign w:val="bottom"/>
            <w:tcBorders>
              <w:right w:val="single" w:sz="8" w:color="BDD6EE"/>
            </w:tcBorders>
            <w:shd w:val="clear" w:color="auto" w:fill="BDD6EE"/>
          </w:tcPr>
          <w:p>
            <w:pPr>
              <w:spacing w:after="0"/>
              <w:rPr>
                <w:sz w:val="19"/>
                <w:szCs w:val="19"/>
                <w:color w:val="auto"/>
              </w:rPr>
            </w:pPr>
          </w:p>
        </w:tc>
        <w:tc>
          <w:tcPr>
            <w:tcW w:w="1400" w:type="dxa"/>
            <w:vAlign w:val="bottom"/>
            <w:tcBorders>
              <w:right w:val="single" w:sz="8" w:color="BDD6EE"/>
            </w:tcBorders>
            <w:shd w:val="clear" w:color="auto" w:fill="BDD6EE"/>
          </w:tcPr>
          <w:p>
            <w:pPr>
              <w:spacing w:after="0"/>
              <w:rPr>
                <w:sz w:val="19"/>
                <w:szCs w:val="19"/>
                <w:color w:val="auto"/>
              </w:rPr>
            </w:pPr>
          </w:p>
        </w:tc>
        <w:tc>
          <w:tcPr>
            <w:tcW w:w="1420" w:type="dxa"/>
            <w:vAlign w:val="bottom"/>
            <w:tcBorders>
              <w:right w:val="single" w:sz="8" w:color="BDD6EE"/>
            </w:tcBorders>
            <w:shd w:val="clear" w:color="auto" w:fill="BDD6EE"/>
          </w:tcPr>
          <w:p>
            <w:pPr>
              <w:spacing w:after="0"/>
              <w:rPr>
                <w:sz w:val="19"/>
                <w:szCs w:val="19"/>
                <w:color w:val="auto"/>
              </w:rPr>
            </w:pPr>
          </w:p>
        </w:tc>
        <w:tc>
          <w:tcPr>
            <w:tcW w:w="1460" w:type="dxa"/>
            <w:vAlign w:val="bottom"/>
            <w:shd w:val="clear" w:color="auto" w:fill="BDD6EE"/>
          </w:tcPr>
          <w:p>
            <w:pPr>
              <w:spacing w:after="0"/>
              <w:rPr>
                <w:sz w:val="19"/>
                <w:szCs w:val="19"/>
                <w:color w:val="auto"/>
              </w:rPr>
            </w:pPr>
          </w:p>
        </w:tc>
        <w:tc>
          <w:tcPr>
            <w:tcW w:w="20" w:type="dxa"/>
            <w:vAlign w:val="bottom"/>
          </w:tcPr>
          <w:p>
            <w:pPr>
              <w:spacing w:after="0"/>
              <w:rPr>
                <w:sz w:val="19"/>
                <w:szCs w:val="19"/>
                <w:color w:val="auto"/>
              </w:rPr>
            </w:pPr>
          </w:p>
        </w:tc>
      </w:tr>
      <w:tr>
        <w:trPr>
          <w:trHeight w:val="144"/>
        </w:trPr>
        <w:tc>
          <w:tcPr>
            <w:tcW w:w="3660" w:type="dxa"/>
            <w:vAlign w:val="bottom"/>
            <w:tcBorders>
              <w:bottom w:val="single" w:sz="8" w:color="auto"/>
              <w:right w:val="single" w:sz="8" w:color="BDD6EE"/>
            </w:tcBorders>
            <w:shd w:val="clear" w:color="auto" w:fill="BDD6EE"/>
          </w:tcPr>
          <w:p>
            <w:pPr>
              <w:spacing w:after="0"/>
              <w:rPr>
                <w:sz w:val="12"/>
                <w:szCs w:val="12"/>
                <w:color w:val="auto"/>
              </w:rPr>
            </w:pPr>
          </w:p>
        </w:tc>
        <w:tc>
          <w:tcPr>
            <w:tcW w:w="1340" w:type="dxa"/>
            <w:vAlign w:val="bottom"/>
            <w:tcBorders>
              <w:bottom w:val="single" w:sz="8" w:color="auto"/>
              <w:right w:val="single" w:sz="8" w:color="BDD6EE"/>
            </w:tcBorders>
            <w:shd w:val="clear" w:color="auto" w:fill="BDD6EE"/>
          </w:tcPr>
          <w:p>
            <w:pPr>
              <w:spacing w:after="0"/>
              <w:rPr>
                <w:sz w:val="12"/>
                <w:szCs w:val="12"/>
                <w:color w:val="auto"/>
              </w:rPr>
            </w:pPr>
          </w:p>
        </w:tc>
        <w:tc>
          <w:tcPr>
            <w:tcW w:w="1400" w:type="dxa"/>
            <w:vAlign w:val="bottom"/>
            <w:tcBorders>
              <w:bottom w:val="single" w:sz="8" w:color="auto"/>
              <w:right w:val="single" w:sz="8" w:color="BDD6EE"/>
            </w:tcBorders>
            <w:shd w:val="clear" w:color="auto" w:fill="BDD6EE"/>
          </w:tcPr>
          <w:p>
            <w:pPr>
              <w:spacing w:after="0"/>
              <w:rPr>
                <w:sz w:val="12"/>
                <w:szCs w:val="12"/>
                <w:color w:val="auto"/>
              </w:rPr>
            </w:pPr>
          </w:p>
        </w:tc>
        <w:tc>
          <w:tcPr>
            <w:tcW w:w="1420" w:type="dxa"/>
            <w:vAlign w:val="bottom"/>
            <w:tcBorders>
              <w:bottom w:val="single" w:sz="8" w:color="auto"/>
              <w:right w:val="single" w:sz="8" w:color="BDD6EE"/>
            </w:tcBorders>
            <w:shd w:val="clear" w:color="auto" w:fill="BDD6EE"/>
          </w:tcPr>
          <w:p>
            <w:pPr>
              <w:spacing w:after="0"/>
              <w:rPr>
                <w:sz w:val="12"/>
                <w:szCs w:val="12"/>
                <w:color w:val="auto"/>
              </w:rPr>
            </w:pPr>
          </w:p>
        </w:tc>
        <w:tc>
          <w:tcPr>
            <w:tcW w:w="1460" w:type="dxa"/>
            <w:vAlign w:val="bottom"/>
            <w:tcBorders>
              <w:bottom w:val="single" w:sz="8" w:color="auto"/>
            </w:tcBorders>
            <w:shd w:val="clear" w:color="auto" w:fill="BDD6E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African American or Black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shd w:val="clear" w:color="auto" w:fill="DEEAF6"/>
          </w:tcPr>
          <w:p>
            <w:pPr>
              <w:ind w:left="140"/>
              <w:spacing w:after="0"/>
              <w:rPr>
                <w:sz w:val="20"/>
                <w:szCs w:val="20"/>
                <w:color w:val="auto"/>
              </w:rPr>
            </w:pPr>
            <w:r>
              <w:rPr>
                <w:rFonts w:ascii="Arial" w:cs="Arial" w:eastAsia="Arial" w:hAnsi="Arial"/>
                <w:sz w:val="18"/>
                <w:szCs w:val="18"/>
                <w:color w:val="auto"/>
              </w:rPr>
              <w:t>Alaskan Native or Native American</w:t>
            </w:r>
          </w:p>
        </w:tc>
        <w:tc>
          <w:tcPr>
            <w:tcW w:w="134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shd w:val="clear" w:color="auto" w:fill="DEEAF6"/>
          </w:tcPr>
          <w:p>
            <w:pPr>
              <w:spacing w:after="0"/>
              <w:rPr>
                <w:sz w:val="12"/>
                <w:szCs w:val="12"/>
                <w:color w:val="auto"/>
              </w:rPr>
            </w:pPr>
          </w:p>
        </w:tc>
        <w:tc>
          <w:tcPr>
            <w:tcW w:w="1340" w:type="dxa"/>
            <w:vAlign w:val="bottom"/>
            <w:tcBorders>
              <w:bottom w:val="single" w:sz="8" w:color="auto"/>
              <w:right w:val="single" w:sz="8" w:color="auto"/>
            </w:tcBorders>
            <w:shd w:val="clear" w:color="auto" w:fill="DEEAF6"/>
          </w:tcPr>
          <w:p>
            <w:pPr>
              <w:spacing w:after="0"/>
              <w:rPr>
                <w:sz w:val="12"/>
                <w:szCs w:val="12"/>
                <w:color w:val="auto"/>
              </w:rPr>
            </w:pPr>
          </w:p>
        </w:tc>
        <w:tc>
          <w:tcPr>
            <w:tcW w:w="1400" w:type="dxa"/>
            <w:vAlign w:val="bottom"/>
            <w:tcBorders>
              <w:bottom w:val="single" w:sz="8" w:color="auto"/>
              <w:right w:val="single" w:sz="8" w:color="auto"/>
            </w:tcBorders>
            <w:shd w:val="clear" w:color="auto" w:fill="DEEAF6"/>
          </w:tcPr>
          <w:p>
            <w:pPr>
              <w:spacing w:after="0"/>
              <w:rPr>
                <w:sz w:val="12"/>
                <w:szCs w:val="12"/>
                <w:color w:val="auto"/>
              </w:rPr>
            </w:pPr>
          </w:p>
        </w:tc>
        <w:tc>
          <w:tcPr>
            <w:tcW w:w="1420" w:type="dxa"/>
            <w:vAlign w:val="bottom"/>
            <w:tcBorders>
              <w:bottom w:val="single" w:sz="8" w:color="auto"/>
              <w:right w:val="single" w:sz="8" w:color="auto"/>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Asian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shd w:val="clear" w:color="auto" w:fill="DEEAF6"/>
          </w:tcPr>
          <w:p>
            <w:pPr>
              <w:ind w:left="140"/>
              <w:spacing w:after="0"/>
              <w:rPr>
                <w:sz w:val="20"/>
                <w:szCs w:val="20"/>
                <w:color w:val="auto"/>
              </w:rPr>
            </w:pPr>
            <w:r>
              <w:rPr>
                <w:rFonts w:ascii="Arial" w:cs="Arial" w:eastAsia="Arial" w:hAnsi="Arial"/>
                <w:sz w:val="18"/>
                <w:szCs w:val="18"/>
                <w:color w:val="auto"/>
              </w:rPr>
              <w:t>Hispanic or Latinx</w:t>
            </w:r>
          </w:p>
        </w:tc>
        <w:tc>
          <w:tcPr>
            <w:tcW w:w="134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shd w:val="clear" w:color="auto" w:fill="DEEAF6"/>
          </w:tcPr>
          <w:p>
            <w:pPr>
              <w:spacing w:after="0"/>
              <w:rPr>
                <w:sz w:val="12"/>
                <w:szCs w:val="12"/>
                <w:color w:val="auto"/>
              </w:rPr>
            </w:pPr>
          </w:p>
        </w:tc>
        <w:tc>
          <w:tcPr>
            <w:tcW w:w="1340" w:type="dxa"/>
            <w:vAlign w:val="bottom"/>
            <w:tcBorders>
              <w:bottom w:val="single" w:sz="8" w:color="auto"/>
              <w:right w:val="single" w:sz="8" w:color="auto"/>
            </w:tcBorders>
            <w:shd w:val="clear" w:color="auto" w:fill="DEEAF6"/>
          </w:tcPr>
          <w:p>
            <w:pPr>
              <w:spacing w:after="0"/>
              <w:rPr>
                <w:sz w:val="12"/>
                <w:szCs w:val="12"/>
                <w:color w:val="auto"/>
              </w:rPr>
            </w:pPr>
          </w:p>
        </w:tc>
        <w:tc>
          <w:tcPr>
            <w:tcW w:w="1400" w:type="dxa"/>
            <w:vAlign w:val="bottom"/>
            <w:tcBorders>
              <w:bottom w:val="single" w:sz="8" w:color="auto"/>
              <w:right w:val="single" w:sz="8" w:color="auto"/>
            </w:tcBorders>
            <w:shd w:val="clear" w:color="auto" w:fill="DEEAF6"/>
          </w:tcPr>
          <w:p>
            <w:pPr>
              <w:spacing w:after="0"/>
              <w:rPr>
                <w:sz w:val="12"/>
                <w:szCs w:val="12"/>
                <w:color w:val="auto"/>
              </w:rPr>
            </w:pPr>
          </w:p>
        </w:tc>
        <w:tc>
          <w:tcPr>
            <w:tcW w:w="1420" w:type="dxa"/>
            <w:vAlign w:val="bottom"/>
            <w:tcBorders>
              <w:bottom w:val="single" w:sz="8" w:color="auto"/>
              <w:right w:val="single" w:sz="8" w:color="auto"/>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Native Hawaiian or Pacific Islander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shd w:val="clear" w:color="auto" w:fill="DEEAF6"/>
          </w:tcPr>
          <w:p>
            <w:pPr>
              <w:ind w:left="140"/>
              <w:spacing w:after="0"/>
              <w:rPr>
                <w:sz w:val="20"/>
                <w:szCs w:val="20"/>
                <w:color w:val="auto"/>
              </w:rPr>
            </w:pPr>
            <w:r>
              <w:rPr>
                <w:rFonts w:ascii="Arial" w:cs="Arial" w:eastAsia="Arial" w:hAnsi="Arial"/>
                <w:sz w:val="18"/>
                <w:szCs w:val="18"/>
                <w:color w:val="auto"/>
              </w:rPr>
              <w:t>White</w:t>
            </w:r>
          </w:p>
        </w:tc>
        <w:tc>
          <w:tcPr>
            <w:tcW w:w="134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79"/>
              </w:rPr>
              <w:t>3</w:t>
            </w:r>
          </w:p>
        </w:tc>
        <w:tc>
          <w:tcPr>
            <w:tcW w:w="14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2</w:t>
            </w:r>
          </w:p>
        </w:tc>
        <w:tc>
          <w:tcPr>
            <w:tcW w:w="142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shd w:val="clear" w:color="auto" w:fill="DEEAF6"/>
          </w:tcPr>
          <w:p>
            <w:pPr>
              <w:spacing w:after="0"/>
              <w:rPr>
                <w:sz w:val="12"/>
                <w:szCs w:val="12"/>
                <w:color w:val="auto"/>
              </w:rPr>
            </w:pPr>
          </w:p>
        </w:tc>
        <w:tc>
          <w:tcPr>
            <w:tcW w:w="1340" w:type="dxa"/>
            <w:vAlign w:val="bottom"/>
            <w:tcBorders>
              <w:bottom w:val="single" w:sz="8" w:color="auto"/>
              <w:right w:val="single" w:sz="8" w:color="auto"/>
            </w:tcBorders>
            <w:shd w:val="clear" w:color="auto" w:fill="DEEAF6"/>
          </w:tcPr>
          <w:p>
            <w:pPr>
              <w:spacing w:after="0"/>
              <w:rPr>
                <w:sz w:val="12"/>
                <w:szCs w:val="12"/>
                <w:color w:val="auto"/>
              </w:rPr>
            </w:pPr>
          </w:p>
        </w:tc>
        <w:tc>
          <w:tcPr>
            <w:tcW w:w="1400" w:type="dxa"/>
            <w:vAlign w:val="bottom"/>
            <w:tcBorders>
              <w:bottom w:val="single" w:sz="8" w:color="auto"/>
              <w:right w:val="single" w:sz="8" w:color="auto"/>
            </w:tcBorders>
            <w:shd w:val="clear" w:color="auto" w:fill="DEEAF6"/>
          </w:tcPr>
          <w:p>
            <w:pPr>
              <w:spacing w:after="0"/>
              <w:rPr>
                <w:sz w:val="12"/>
                <w:szCs w:val="12"/>
                <w:color w:val="auto"/>
              </w:rPr>
            </w:pPr>
          </w:p>
        </w:tc>
        <w:tc>
          <w:tcPr>
            <w:tcW w:w="1420" w:type="dxa"/>
            <w:vAlign w:val="bottom"/>
            <w:tcBorders>
              <w:bottom w:val="single" w:sz="8" w:color="auto"/>
              <w:right w:val="single" w:sz="8" w:color="auto"/>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Two or More Races or Ethnicities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shd w:val="clear" w:color="auto" w:fill="DEEAF6"/>
          </w:tcPr>
          <w:p>
            <w:pPr>
              <w:ind w:left="140"/>
              <w:spacing w:after="0"/>
              <w:rPr>
                <w:sz w:val="20"/>
                <w:szCs w:val="20"/>
                <w:color w:val="auto"/>
              </w:rPr>
            </w:pPr>
            <w:r>
              <w:rPr>
                <w:rFonts w:ascii="Arial" w:cs="Arial" w:eastAsia="Arial" w:hAnsi="Arial"/>
                <w:sz w:val="18"/>
                <w:szCs w:val="18"/>
                <w:color w:val="auto"/>
              </w:rPr>
              <w:t>LGBTQ+</w:t>
            </w:r>
          </w:p>
        </w:tc>
        <w:tc>
          <w:tcPr>
            <w:tcW w:w="134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shd w:val="clear" w:color="auto" w:fill="DEEAF6"/>
          </w:tcPr>
          <w:p>
            <w:pPr>
              <w:spacing w:after="0"/>
              <w:rPr>
                <w:sz w:val="12"/>
                <w:szCs w:val="12"/>
                <w:color w:val="auto"/>
              </w:rPr>
            </w:pPr>
          </w:p>
        </w:tc>
        <w:tc>
          <w:tcPr>
            <w:tcW w:w="1340" w:type="dxa"/>
            <w:vAlign w:val="bottom"/>
            <w:tcBorders>
              <w:bottom w:val="single" w:sz="8" w:color="auto"/>
              <w:right w:val="single" w:sz="8" w:color="auto"/>
            </w:tcBorders>
            <w:shd w:val="clear" w:color="auto" w:fill="DEEAF6"/>
          </w:tcPr>
          <w:p>
            <w:pPr>
              <w:spacing w:after="0"/>
              <w:rPr>
                <w:sz w:val="12"/>
                <w:szCs w:val="12"/>
                <w:color w:val="auto"/>
              </w:rPr>
            </w:pPr>
          </w:p>
        </w:tc>
        <w:tc>
          <w:tcPr>
            <w:tcW w:w="1400" w:type="dxa"/>
            <w:vAlign w:val="bottom"/>
            <w:tcBorders>
              <w:bottom w:val="single" w:sz="8" w:color="auto"/>
              <w:right w:val="single" w:sz="8" w:color="auto"/>
            </w:tcBorders>
            <w:shd w:val="clear" w:color="auto" w:fill="DEEAF6"/>
          </w:tcPr>
          <w:p>
            <w:pPr>
              <w:spacing w:after="0"/>
              <w:rPr>
                <w:sz w:val="12"/>
                <w:szCs w:val="12"/>
                <w:color w:val="auto"/>
              </w:rPr>
            </w:pPr>
          </w:p>
        </w:tc>
        <w:tc>
          <w:tcPr>
            <w:tcW w:w="1420" w:type="dxa"/>
            <w:vAlign w:val="bottom"/>
            <w:tcBorders>
              <w:bottom w:val="single" w:sz="8" w:color="auto"/>
              <w:right w:val="single" w:sz="8" w:color="auto"/>
            </w:tcBorders>
            <w:shd w:val="clear" w:color="auto" w:fill="DEEAF6"/>
          </w:tcPr>
          <w:p>
            <w:pPr>
              <w:spacing w:after="0"/>
              <w:rPr>
                <w:sz w:val="12"/>
                <w:szCs w:val="12"/>
                <w:color w:val="auto"/>
              </w:rPr>
            </w:pPr>
          </w:p>
        </w:tc>
        <w:tc>
          <w:tcPr>
            <w:tcW w:w="1460" w:type="dxa"/>
            <w:vAlign w:val="bottom"/>
            <w:tcBorders>
              <w:bottom w:val="single" w:sz="8" w:color="auto"/>
            </w:tcBorders>
            <w:shd w:val="clear" w:color="auto" w:fill="DEEAF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4"/>
        </w:trPr>
        <w:tc>
          <w:tcPr>
            <w:tcW w:w="3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Did Not Disclose Demographic Background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148"/>
        </w:trPr>
        <w:tc>
          <w:tcPr>
            <w:tcW w:w="36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480"/>
          </w:cols>
          <w:pgMar w:left="1440" w:top="416" w:right="979" w:bottom="1440" w:gutter="0" w:footer="0" w:header="0"/>
        </w:sectPr>
      </w:pPr>
    </w:p>
    <w:bookmarkStart w:id="19" w:name="page20"/>
    <w:bookmarkEnd w:id="19"/>
    <w:p>
      <w:pPr>
        <w:jc w:val="center"/>
        <w:ind w:right="-179"/>
        <w:spacing w:after="0"/>
        <w:rPr>
          <w:sz w:val="20"/>
          <w:szCs w:val="20"/>
          <w:color w:val="auto"/>
        </w:rPr>
      </w:pPr>
      <w:r>
        <w:rPr>
          <w:rFonts w:ascii="Arial" w:cs="Arial" w:eastAsia="Arial" w:hAnsi="Arial"/>
          <w:sz w:val="18"/>
          <w:szCs w:val="18"/>
          <w:b w:val="1"/>
          <w:bCs w:val="1"/>
          <w:color w:val="auto"/>
        </w:rPr>
        <w:t>PROPOSAL 1: Electon of Directors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Nominees for Electon</w:t>
      </w:r>
    </w:p>
    <w:p>
      <w:pPr>
        <w:spacing w:after="0" w:line="14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Five (5) directors are to be elected at our Annual Meeting to serve until the Annual Meeting of stockholders</w:t>
      </w:r>
    </w:p>
    <w:p>
      <w:pPr>
        <w:jc w:val="both"/>
        <w:ind w:left="180" w:right="740"/>
        <w:spacing w:after="0" w:line="227" w:lineRule="auto"/>
        <w:rPr>
          <w:sz w:val="20"/>
          <w:szCs w:val="20"/>
          <w:color w:val="auto"/>
        </w:rPr>
      </w:pPr>
      <w:r>
        <w:rPr>
          <w:rFonts w:ascii="Arial" w:cs="Arial" w:eastAsia="Arial" w:hAnsi="Arial"/>
          <w:sz w:val="17"/>
          <w:szCs w:val="17"/>
          <w:color w:val="auto"/>
        </w:rPr>
        <w:t>to be held in 2024 or until their successors are duly elected and qualified. Unless otherwise instructed, the proxyholders will vote the proxies received by us “FOR” the election of the nominees below, all of whom currently serve as Directors. The five (5) nominees for election to the Board who receive the greatest number of votes cast for the election of Directors by the shares present and entitled to vote will be elected Directors.</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names of the nominees for Director, together with certain information regarding them, are as follows:</w:t>
      </w:r>
    </w:p>
    <w:p>
      <w:pPr>
        <w:spacing w:after="0" w:line="354" w:lineRule="exact"/>
        <w:rPr>
          <w:sz w:val="20"/>
          <w:szCs w:val="20"/>
          <w:color w:val="auto"/>
        </w:rPr>
      </w:pPr>
    </w:p>
    <w:tbl>
      <w:tblPr>
        <w:tblLayout w:type="fixed"/>
        <w:tblInd w:w="190" w:type="dxa"/>
        <w:tblCellMar>
          <w:top w:w="0" w:type="dxa"/>
          <w:left w:w="0" w:type="dxa"/>
          <w:bottom w:w="0" w:type="dxa"/>
          <w:right w:w="0" w:type="dxa"/>
        </w:tblCellMar>
      </w:tblPr>
      <w:tr>
        <w:trPr>
          <w:trHeight w:val="297"/>
        </w:trPr>
        <w:tc>
          <w:tcPr>
            <w:tcW w:w="34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Name</w:t>
            </w:r>
          </w:p>
        </w:tc>
        <w:tc>
          <w:tcPr>
            <w:tcW w:w="1280" w:type="dxa"/>
            <w:vAlign w:val="bottom"/>
            <w:tcBorders>
              <w:top w:val="single" w:sz="8" w:color="auto"/>
              <w:right w:val="single" w:sz="8" w:color="auto"/>
            </w:tcBorders>
          </w:tcPr>
          <w:p>
            <w:pPr>
              <w:jc w:val="center"/>
              <w:ind w:right="654"/>
              <w:spacing w:after="0"/>
              <w:rPr>
                <w:sz w:val="20"/>
                <w:szCs w:val="20"/>
                <w:color w:val="auto"/>
              </w:rPr>
            </w:pPr>
            <w:r>
              <w:rPr>
                <w:rFonts w:ascii="Arial" w:cs="Arial" w:eastAsia="Arial" w:hAnsi="Arial"/>
                <w:sz w:val="18"/>
                <w:szCs w:val="18"/>
                <w:b w:val="1"/>
                <w:bCs w:val="1"/>
                <w:color w:val="auto"/>
                <w:w w:val="88"/>
              </w:rPr>
              <w:t>Age</w:t>
            </w:r>
          </w:p>
        </w:tc>
        <w:tc>
          <w:tcPr>
            <w:tcW w:w="46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54"/>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right w:val="single" w:sz="8" w:color="auto"/>
            </w:tcBorders>
          </w:tcPr>
          <w:p>
            <w:pPr>
              <w:spacing w:after="0"/>
              <w:rPr>
                <w:sz w:val="4"/>
                <w:szCs w:val="4"/>
                <w:color w:val="auto"/>
              </w:rPr>
            </w:pPr>
          </w:p>
        </w:tc>
      </w:tr>
      <w:tr>
        <w:trPr>
          <w:trHeight w:val="142"/>
        </w:trPr>
        <w:tc>
          <w:tcPr>
            <w:tcW w:w="3400" w:type="dxa"/>
            <w:vAlign w:val="bottom"/>
            <w:tcBorders>
              <w:left w:val="single" w:sz="8" w:color="auto"/>
              <w:right w:val="single" w:sz="8" w:color="auto"/>
            </w:tcBorders>
            <w:shd w:val="clear" w:color="auto" w:fill="D0E7FC"/>
          </w:tcPr>
          <w:p>
            <w:pPr>
              <w:ind w:left="140"/>
              <w:spacing w:after="0" w:line="142" w:lineRule="exact"/>
              <w:rPr>
                <w:sz w:val="20"/>
                <w:szCs w:val="20"/>
                <w:color w:val="auto"/>
              </w:rPr>
            </w:pPr>
            <w:r>
              <w:rPr>
                <w:rFonts w:ascii="Arial" w:cs="Arial" w:eastAsia="Arial" w:hAnsi="Arial"/>
                <w:sz w:val="16"/>
                <w:szCs w:val="16"/>
                <w:color w:val="auto"/>
              </w:rPr>
              <w:t>Margaret Cotter</w:t>
            </w:r>
          </w:p>
        </w:tc>
        <w:tc>
          <w:tcPr>
            <w:tcW w:w="1280" w:type="dxa"/>
            <w:vAlign w:val="bottom"/>
            <w:tcBorders>
              <w:right w:val="single" w:sz="8" w:color="auto"/>
            </w:tcBorders>
            <w:shd w:val="clear" w:color="auto" w:fill="D0E7FC"/>
          </w:tcPr>
          <w:p>
            <w:pPr>
              <w:jc w:val="center"/>
              <w:ind w:right="654"/>
              <w:spacing w:after="0" w:line="142" w:lineRule="exact"/>
              <w:rPr>
                <w:sz w:val="20"/>
                <w:szCs w:val="20"/>
                <w:color w:val="auto"/>
              </w:rPr>
            </w:pPr>
            <w:r>
              <w:rPr>
                <w:rFonts w:ascii="Arial" w:cs="Arial" w:eastAsia="Arial" w:hAnsi="Arial"/>
                <w:sz w:val="16"/>
                <w:szCs w:val="16"/>
                <w:color w:val="auto"/>
              </w:rPr>
              <w:t>55</w:t>
            </w:r>
          </w:p>
        </w:tc>
        <w:tc>
          <w:tcPr>
            <w:tcW w:w="4640" w:type="dxa"/>
            <w:vAlign w:val="bottom"/>
            <w:tcBorders>
              <w:right w:val="single" w:sz="8" w:color="auto"/>
            </w:tcBorders>
            <w:shd w:val="clear" w:color="auto" w:fill="D0E7FC"/>
          </w:tcPr>
          <w:p>
            <w:pPr>
              <w:ind w:left="120"/>
              <w:spacing w:after="0" w:line="142" w:lineRule="exact"/>
              <w:rPr>
                <w:sz w:val="20"/>
                <w:szCs w:val="20"/>
                <w:color w:val="auto"/>
              </w:rPr>
            </w:pPr>
            <w:r>
              <w:rPr>
                <w:rFonts w:ascii="Arial" w:cs="Arial" w:eastAsia="Arial" w:hAnsi="Arial"/>
                <w:sz w:val="16"/>
                <w:szCs w:val="16"/>
                <w:color w:val="auto"/>
              </w:rPr>
              <w:t>Chair of the Board and Executive Vice President,</w:t>
            </w:r>
          </w:p>
        </w:tc>
      </w:tr>
      <w:tr>
        <w:trPr>
          <w:trHeight w:val="230"/>
        </w:trPr>
        <w:tc>
          <w:tcPr>
            <w:tcW w:w="3400" w:type="dxa"/>
            <w:vAlign w:val="bottom"/>
            <w:tcBorders>
              <w:left w:val="single" w:sz="8" w:color="auto"/>
              <w:right w:val="single" w:sz="8" w:color="auto"/>
            </w:tcBorders>
            <w:shd w:val="clear" w:color="auto" w:fill="D0E7FC"/>
          </w:tcPr>
          <w:p>
            <w:pPr>
              <w:spacing w:after="0"/>
              <w:rPr>
                <w:sz w:val="20"/>
                <w:szCs w:val="20"/>
                <w:color w:val="auto"/>
              </w:rPr>
            </w:pPr>
          </w:p>
        </w:tc>
        <w:tc>
          <w:tcPr>
            <w:tcW w:w="1280" w:type="dxa"/>
            <w:vAlign w:val="bottom"/>
            <w:tcBorders>
              <w:right w:val="single" w:sz="8" w:color="auto"/>
            </w:tcBorders>
            <w:shd w:val="clear" w:color="auto" w:fill="D0E7FC"/>
          </w:tcPr>
          <w:p>
            <w:pPr>
              <w:spacing w:after="0"/>
              <w:rPr>
                <w:sz w:val="20"/>
                <w:szCs w:val="20"/>
                <w:color w:val="auto"/>
              </w:rPr>
            </w:pPr>
          </w:p>
        </w:tc>
        <w:tc>
          <w:tcPr>
            <w:tcW w:w="4640" w:type="dxa"/>
            <w:vAlign w:val="bottom"/>
            <w:tcBorders>
              <w:right w:val="single" w:sz="8" w:color="auto"/>
            </w:tcBorders>
            <w:shd w:val="clear" w:color="auto" w:fill="D0E7FC"/>
          </w:tcPr>
          <w:p>
            <w:pPr>
              <w:ind w:left="120"/>
              <w:spacing w:after="0"/>
              <w:rPr>
                <w:sz w:val="20"/>
                <w:szCs w:val="20"/>
                <w:color w:val="auto"/>
              </w:rPr>
            </w:pPr>
            <w:r>
              <w:rPr>
                <w:rFonts w:ascii="Arial" w:cs="Arial" w:eastAsia="Arial" w:hAnsi="Arial"/>
                <w:sz w:val="18"/>
                <w:szCs w:val="18"/>
                <w:color w:val="auto"/>
              </w:rPr>
              <w:t>Real Estate Management and Development(1)</w:t>
            </w:r>
          </w:p>
        </w:tc>
      </w:tr>
      <w:tr>
        <w:trPr>
          <w:trHeight w:val="67"/>
        </w:trPr>
        <w:tc>
          <w:tcPr>
            <w:tcW w:w="3400" w:type="dxa"/>
            <w:vAlign w:val="bottom"/>
            <w:tcBorders>
              <w:left w:val="single" w:sz="8" w:color="auto"/>
              <w:bottom w:val="single" w:sz="8" w:color="auto"/>
              <w:right w:val="single" w:sz="8" w:color="auto"/>
            </w:tcBorders>
            <w:shd w:val="clear" w:color="auto" w:fill="D0E7FC"/>
          </w:tcPr>
          <w:p>
            <w:pPr>
              <w:spacing w:after="0"/>
              <w:rPr>
                <w:sz w:val="5"/>
                <w:szCs w:val="5"/>
                <w:color w:val="auto"/>
              </w:rPr>
            </w:pPr>
          </w:p>
        </w:tc>
        <w:tc>
          <w:tcPr>
            <w:tcW w:w="1280" w:type="dxa"/>
            <w:vAlign w:val="bottom"/>
            <w:tcBorders>
              <w:bottom w:val="single" w:sz="8" w:color="auto"/>
              <w:right w:val="single" w:sz="8" w:color="auto"/>
            </w:tcBorders>
            <w:shd w:val="clear" w:color="auto" w:fill="D0E7FC"/>
          </w:tcPr>
          <w:p>
            <w:pPr>
              <w:spacing w:after="0"/>
              <w:rPr>
                <w:sz w:val="5"/>
                <w:szCs w:val="5"/>
                <w:color w:val="auto"/>
              </w:rPr>
            </w:pPr>
          </w:p>
        </w:tc>
        <w:tc>
          <w:tcPr>
            <w:tcW w:w="4640" w:type="dxa"/>
            <w:vAlign w:val="bottom"/>
            <w:tcBorders>
              <w:bottom w:val="single" w:sz="8" w:color="auto"/>
              <w:right w:val="single" w:sz="8" w:color="auto"/>
            </w:tcBorders>
            <w:shd w:val="clear" w:color="auto" w:fill="D0E7FC"/>
          </w:tcPr>
          <w:p>
            <w:pPr>
              <w:spacing w:after="0"/>
              <w:rPr>
                <w:sz w:val="5"/>
                <w:szCs w:val="5"/>
                <w:color w:val="auto"/>
              </w:rPr>
            </w:pPr>
          </w:p>
        </w:tc>
      </w:tr>
      <w:tr>
        <w:trPr>
          <w:trHeight w:val="142"/>
        </w:trPr>
        <w:tc>
          <w:tcPr>
            <w:tcW w:w="3400" w:type="dxa"/>
            <w:vAlign w:val="bottom"/>
            <w:tcBorders>
              <w:left w:val="single" w:sz="8" w:color="auto"/>
              <w:right w:val="single" w:sz="8" w:color="auto"/>
            </w:tcBorders>
          </w:tcPr>
          <w:p>
            <w:pPr>
              <w:ind w:left="140"/>
              <w:spacing w:after="0" w:line="142" w:lineRule="exact"/>
              <w:rPr>
                <w:sz w:val="20"/>
                <w:szCs w:val="20"/>
                <w:color w:val="auto"/>
              </w:rPr>
            </w:pPr>
            <w:r>
              <w:rPr>
                <w:rFonts w:ascii="Arial" w:cs="Arial" w:eastAsia="Arial" w:hAnsi="Arial"/>
                <w:sz w:val="16"/>
                <w:szCs w:val="16"/>
                <w:color w:val="auto"/>
              </w:rPr>
              <w:t>Ellen M. Cotter</w:t>
            </w:r>
          </w:p>
        </w:tc>
        <w:tc>
          <w:tcPr>
            <w:tcW w:w="1280" w:type="dxa"/>
            <w:vAlign w:val="bottom"/>
            <w:tcBorders>
              <w:right w:val="single" w:sz="8" w:color="auto"/>
            </w:tcBorders>
          </w:tcPr>
          <w:p>
            <w:pPr>
              <w:jc w:val="center"/>
              <w:ind w:right="654"/>
              <w:spacing w:after="0" w:line="142" w:lineRule="exact"/>
              <w:rPr>
                <w:sz w:val="20"/>
                <w:szCs w:val="20"/>
                <w:color w:val="auto"/>
              </w:rPr>
            </w:pPr>
            <w:r>
              <w:rPr>
                <w:rFonts w:ascii="Arial" w:cs="Arial" w:eastAsia="Arial" w:hAnsi="Arial"/>
                <w:sz w:val="16"/>
                <w:szCs w:val="16"/>
                <w:color w:val="auto"/>
              </w:rPr>
              <w:t>57</w:t>
            </w:r>
          </w:p>
        </w:tc>
        <w:tc>
          <w:tcPr>
            <w:tcW w:w="4640" w:type="dxa"/>
            <w:vAlign w:val="bottom"/>
            <w:tcBorders>
              <w:right w:val="single" w:sz="8" w:color="auto"/>
            </w:tcBorders>
          </w:tcPr>
          <w:p>
            <w:pPr>
              <w:ind w:left="120"/>
              <w:spacing w:after="0" w:line="142" w:lineRule="exact"/>
              <w:rPr>
                <w:sz w:val="20"/>
                <w:szCs w:val="20"/>
                <w:color w:val="auto"/>
              </w:rPr>
            </w:pPr>
            <w:r>
              <w:rPr>
                <w:rFonts w:ascii="Arial" w:cs="Arial" w:eastAsia="Arial" w:hAnsi="Arial"/>
                <w:sz w:val="16"/>
                <w:szCs w:val="16"/>
                <w:color w:val="auto"/>
              </w:rPr>
              <w:t>Vice-Chair,   Chief   Executive   Officer   and</w:t>
            </w:r>
          </w:p>
        </w:tc>
      </w:tr>
      <w:tr>
        <w:trPr>
          <w:trHeight w:val="230"/>
        </w:trPr>
        <w:tc>
          <w:tcPr>
            <w:tcW w:w="3400" w:type="dxa"/>
            <w:vAlign w:val="bottom"/>
            <w:tcBorders>
              <w:left w:val="single" w:sz="8" w:color="auto"/>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President(1)</w:t>
            </w:r>
          </w:p>
        </w:tc>
      </w:tr>
      <w:tr>
        <w:trPr>
          <w:trHeight w:val="107"/>
        </w:trPr>
        <w:tc>
          <w:tcPr>
            <w:tcW w:w="3400" w:type="dxa"/>
            <w:vAlign w:val="bottom"/>
            <w:tcBorders>
              <w:left w:val="single" w:sz="8" w:color="auto"/>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4640" w:type="dxa"/>
            <w:vAlign w:val="bottom"/>
            <w:tcBorders>
              <w:bottom w:val="single" w:sz="8" w:color="auto"/>
              <w:right w:val="single" w:sz="8" w:color="auto"/>
            </w:tcBorders>
          </w:tcPr>
          <w:p>
            <w:pPr>
              <w:spacing w:after="0"/>
              <w:rPr>
                <w:sz w:val="9"/>
                <w:szCs w:val="9"/>
                <w:color w:val="auto"/>
              </w:rPr>
            </w:pPr>
          </w:p>
        </w:tc>
      </w:tr>
      <w:tr>
        <w:trPr>
          <w:trHeight w:val="224"/>
        </w:trPr>
        <w:tc>
          <w:tcPr>
            <w:tcW w:w="3400" w:type="dxa"/>
            <w:vAlign w:val="bottom"/>
            <w:tcBorders>
              <w:left w:val="single" w:sz="8" w:color="auto"/>
              <w:right w:val="single" w:sz="8" w:color="auto"/>
            </w:tcBorders>
            <w:shd w:val="clear" w:color="auto" w:fill="D0E7FC"/>
          </w:tcPr>
          <w:p>
            <w:pPr>
              <w:ind w:left="140"/>
              <w:spacing w:after="0"/>
              <w:rPr>
                <w:sz w:val="20"/>
                <w:szCs w:val="20"/>
                <w:color w:val="auto"/>
              </w:rPr>
            </w:pPr>
            <w:r>
              <w:rPr>
                <w:rFonts w:ascii="Arial" w:cs="Arial" w:eastAsia="Arial" w:hAnsi="Arial"/>
                <w:sz w:val="18"/>
                <w:szCs w:val="18"/>
                <w:color w:val="auto"/>
              </w:rPr>
              <w:t>Guy W. Adams</w:t>
            </w:r>
          </w:p>
        </w:tc>
        <w:tc>
          <w:tcPr>
            <w:tcW w:w="1280" w:type="dxa"/>
            <w:vAlign w:val="bottom"/>
            <w:tcBorders>
              <w:right w:val="single" w:sz="8" w:color="auto"/>
            </w:tcBorders>
            <w:shd w:val="clear" w:color="auto" w:fill="D0E7FC"/>
          </w:tcPr>
          <w:p>
            <w:pPr>
              <w:jc w:val="center"/>
              <w:ind w:right="654"/>
              <w:spacing w:after="0"/>
              <w:rPr>
                <w:sz w:val="20"/>
                <w:szCs w:val="20"/>
                <w:color w:val="auto"/>
              </w:rPr>
            </w:pPr>
            <w:r>
              <w:rPr>
                <w:rFonts w:ascii="Arial" w:cs="Arial" w:eastAsia="Arial" w:hAnsi="Arial"/>
                <w:sz w:val="18"/>
                <w:szCs w:val="18"/>
                <w:color w:val="auto"/>
                <w:w w:val="89"/>
              </w:rPr>
              <w:t>72</w:t>
            </w:r>
          </w:p>
        </w:tc>
        <w:tc>
          <w:tcPr>
            <w:tcW w:w="4640" w:type="dxa"/>
            <w:vAlign w:val="bottom"/>
            <w:tcBorders>
              <w:right w:val="single" w:sz="8" w:color="auto"/>
            </w:tcBorders>
            <w:shd w:val="clear" w:color="auto" w:fill="D0E7FC"/>
          </w:tcPr>
          <w:p>
            <w:pPr>
              <w:ind w:left="120"/>
              <w:spacing w:after="0"/>
              <w:rPr>
                <w:sz w:val="20"/>
                <w:szCs w:val="20"/>
                <w:color w:val="auto"/>
              </w:rPr>
            </w:pPr>
            <w:r>
              <w:rPr>
                <w:rFonts w:ascii="Arial" w:cs="Arial" w:eastAsia="Arial" w:hAnsi="Arial"/>
                <w:sz w:val="18"/>
                <w:szCs w:val="18"/>
                <w:color w:val="auto"/>
              </w:rPr>
              <w:t>Director (2)(3)(5)(6)</w:t>
            </w:r>
          </w:p>
        </w:tc>
      </w:tr>
      <w:tr>
        <w:trPr>
          <w:trHeight w:val="215"/>
        </w:trPr>
        <w:tc>
          <w:tcPr>
            <w:tcW w:w="3400" w:type="dxa"/>
            <w:vAlign w:val="bottom"/>
            <w:tcBorders>
              <w:left w:val="single" w:sz="8" w:color="auto"/>
              <w:bottom w:val="single" w:sz="8" w:color="auto"/>
              <w:right w:val="single" w:sz="8" w:color="auto"/>
            </w:tcBorders>
            <w:shd w:val="clear" w:color="auto" w:fill="D0E7FC"/>
          </w:tcPr>
          <w:p>
            <w:pPr>
              <w:spacing w:after="0"/>
              <w:rPr>
                <w:sz w:val="18"/>
                <w:szCs w:val="18"/>
                <w:color w:val="auto"/>
              </w:rPr>
            </w:pPr>
          </w:p>
        </w:tc>
        <w:tc>
          <w:tcPr>
            <w:tcW w:w="1280" w:type="dxa"/>
            <w:vAlign w:val="bottom"/>
            <w:tcBorders>
              <w:bottom w:val="single" w:sz="8" w:color="auto"/>
              <w:right w:val="single" w:sz="8" w:color="auto"/>
            </w:tcBorders>
            <w:shd w:val="clear" w:color="auto" w:fill="D0E7FC"/>
          </w:tcPr>
          <w:p>
            <w:pPr>
              <w:spacing w:after="0"/>
              <w:rPr>
                <w:sz w:val="18"/>
                <w:szCs w:val="18"/>
                <w:color w:val="auto"/>
              </w:rPr>
            </w:pPr>
          </w:p>
        </w:tc>
        <w:tc>
          <w:tcPr>
            <w:tcW w:w="4640" w:type="dxa"/>
            <w:vAlign w:val="bottom"/>
            <w:tcBorders>
              <w:bottom w:val="single" w:sz="8" w:color="auto"/>
              <w:right w:val="single" w:sz="8" w:color="auto"/>
            </w:tcBorders>
            <w:shd w:val="clear" w:color="auto" w:fill="D0E7FC"/>
          </w:tcPr>
          <w:p>
            <w:pPr>
              <w:spacing w:after="0"/>
              <w:rPr>
                <w:sz w:val="18"/>
                <w:szCs w:val="18"/>
                <w:color w:val="auto"/>
              </w:rPr>
            </w:pPr>
          </w:p>
        </w:tc>
      </w:tr>
      <w:tr>
        <w:trPr>
          <w:trHeight w:val="224"/>
        </w:trPr>
        <w:tc>
          <w:tcPr>
            <w:tcW w:w="34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Dr. Judy Codding</w:t>
            </w:r>
          </w:p>
        </w:tc>
        <w:tc>
          <w:tcPr>
            <w:tcW w:w="1280" w:type="dxa"/>
            <w:vAlign w:val="bottom"/>
            <w:tcBorders>
              <w:right w:val="single" w:sz="8" w:color="auto"/>
            </w:tcBorders>
          </w:tcPr>
          <w:p>
            <w:pPr>
              <w:jc w:val="center"/>
              <w:ind w:right="654"/>
              <w:spacing w:after="0"/>
              <w:rPr>
                <w:sz w:val="20"/>
                <w:szCs w:val="20"/>
                <w:color w:val="auto"/>
              </w:rPr>
            </w:pPr>
            <w:r>
              <w:rPr>
                <w:rFonts w:ascii="Arial" w:cs="Arial" w:eastAsia="Arial" w:hAnsi="Arial"/>
                <w:sz w:val="18"/>
                <w:szCs w:val="18"/>
                <w:color w:val="auto"/>
                <w:w w:val="89"/>
              </w:rPr>
              <w:t>78</w:t>
            </w:r>
          </w:p>
        </w:tc>
        <w:tc>
          <w:tcPr>
            <w:tcW w:w="4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Director (1)(2)(8)</w:t>
            </w:r>
          </w:p>
        </w:tc>
      </w:tr>
      <w:tr>
        <w:trPr>
          <w:trHeight w:val="175"/>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4640" w:type="dxa"/>
            <w:vAlign w:val="bottom"/>
            <w:tcBorders>
              <w:bottom w:val="single" w:sz="8" w:color="auto"/>
              <w:right w:val="single" w:sz="8" w:color="auto"/>
            </w:tcBorders>
          </w:tcPr>
          <w:p>
            <w:pPr>
              <w:spacing w:after="0"/>
              <w:rPr>
                <w:sz w:val="15"/>
                <w:szCs w:val="15"/>
                <w:color w:val="auto"/>
              </w:rPr>
            </w:pPr>
          </w:p>
        </w:tc>
      </w:tr>
      <w:tr>
        <w:trPr>
          <w:trHeight w:val="224"/>
        </w:trPr>
        <w:tc>
          <w:tcPr>
            <w:tcW w:w="3400" w:type="dxa"/>
            <w:vAlign w:val="bottom"/>
            <w:tcBorders>
              <w:left w:val="single" w:sz="8" w:color="auto"/>
              <w:right w:val="single" w:sz="8" w:color="auto"/>
            </w:tcBorders>
            <w:shd w:val="clear" w:color="auto" w:fill="D0E7FC"/>
          </w:tcPr>
          <w:p>
            <w:pPr>
              <w:ind w:left="140"/>
              <w:spacing w:after="0"/>
              <w:rPr>
                <w:sz w:val="20"/>
                <w:szCs w:val="20"/>
                <w:color w:val="auto"/>
              </w:rPr>
            </w:pPr>
            <w:r>
              <w:rPr>
                <w:rFonts w:ascii="Arial" w:cs="Arial" w:eastAsia="Arial" w:hAnsi="Arial"/>
                <w:sz w:val="18"/>
                <w:szCs w:val="18"/>
                <w:color w:val="auto"/>
              </w:rPr>
              <w:t>Douglas J. McEachern</w:t>
            </w:r>
          </w:p>
        </w:tc>
        <w:tc>
          <w:tcPr>
            <w:tcW w:w="1280" w:type="dxa"/>
            <w:vAlign w:val="bottom"/>
            <w:tcBorders>
              <w:right w:val="single" w:sz="8" w:color="auto"/>
            </w:tcBorders>
            <w:shd w:val="clear" w:color="auto" w:fill="D0E7FC"/>
          </w:tcPr>
          <w:p>
            <w:pPr>
              <w:jc w:val="center"/>
              <w:ind w:right="654"/>
              <w:spacing w:after="0"/>
              <w:rPr>
                <w:sz w:val="20"/>
                <w:szCs w:val="20"/>
                <w:color w:val="auto"/>
              </w:rPr>
            </w:pPr>
            <w:r>
              <w:rPr>
                <w:rFonts w:ascii="Arial" w:cs="Arial" w:eastAsia="Arial" w:hAnsi="Arial"/>
                <w:sz w:val="18"/>
                <w:szCs w:val="18"/>
                <w:color w:val="auto"/>
                <w:w w:val="89"/>
              </w:rPr>
              <w:t>72</w:t>
            </w:r>
          </w:p>
        </w:tc>
        <w:tc>
          <w:tcPr>
            <w:tcW w:w="4640" w:type="dxa"/>
            <w:vAlign w:val="bottom"/>
            <w:tcBorders>
              <w:right w:val="single" w:sz="8" w:color="auto"/>
            </w:tcBorders>
            <w:shd w:val="clear" w:color="auto" w:fill="D0E7FC"/>
          </w:tcPr>
          <w:p>
            <w:pPr>
              <w:ind w:left="120"/>
              <w:spacing w:after="0"/>
              <w:rPr>
                <w:sz w:val="20"/>
                <w:szCs w:val="20"/>
                <w:color w:val="auto"/>
              </w:rPr>
            </w:pPr>
            <w:r>
              <w:rPr>
                <w:rFonts w:ascii="Arial" w:cs="Arial" w:eastAsia="Arial" w:hAnsi="Arial"/>
                <w:sz w:val="18"/>
                <w:szCs w:val="18"/>
                <w:color w:val="auto"/>
              </w:rPr>
              <w:t>Director (3)(4)(7)</w:t>
            </w:r>
          </w:p>
        </w:tc>
      </w:tr>
      <w:tr>
        <w:trPr>
          <w:trHeight w:val="134"/>
        </w:trPr>
        <w:tc>
          <w:tcPr>
            <w:tcW w:w="3400" w:type="dxa"/>
            <w:vAlign w:val="bottom"/>
            <w:tcBorders>
              <w:left w:val="single" w:sz="8" w:color="auto"/>
              <w:bottom w:val="single" w:sz="8" w:color="auto"/>
              <w:right w:val="single" w:sz="8" w:color="auto"/>
            </w:tcBorders>
            <w:shd w:val="clear" w:color="auto" w:fill="D0E7FC"/>
          </w:tcPr>
          <w:p>
            <w:pPr>
              <w:spacing w:after="0"/>
              <w:rPr>
                <w:sz w:val="11"/>
                <w:szCs w:val="11"/>
                <w:color w:val="auto"/>
              </w:rPr>
            </w:pPr>
          </w:p>
        </w:tc>
        <w:tc>
          <w:tcPr>
            <w:tcW w:w="1280" w:type="dxa"/>
            <w:vAlign w:val="bottom"/>
            <w:tcBorders>
              <w:bottom w:val="single" w:sz="8" w:color="auto"/>
              <w:right w:val="single" w:sz="8" w:color="auto"/>
            </w:tcBorders>
            <w:shd w:val="clear" w:color="auto" w:fill="D0E7FC"/>
          </w:tcPr>
          <w:p>
            <w:pPr>
              <w:spacing w:after="0"/>
              <w:rPr>
                <w:sz w:val="11"/>
                <w:szCs w:val="11"/>
                <w:color w:val="auto"/>
              </w:rPr>
            </w:pPr>
          </w:p>
        </w:tc>
        <w:tc>
          <w:tcPr>
            <w:tcW w:w="4640" w:type="dxa"/>
            <w:vAlign w:val="bottom"/>
            <w:tcBorders>
              <w:bottom w:val="single" w:sz="8" w:color="auto"/>
              <w:right w:val="single" w:sz="8" w:color="auto"/>
            </w:tcBorders>
            <w:shd w:val="clear" w:color="auto" w:fill="D0E7FC"/>
          </w:tcPr>
          <w:p>
            <w:pPr>
              <w:spacing w:after="0"/>
              <w:rPr>
                <w:sz w:val="11"/>
                <w:szCs w:val="11"/>
                <w:color w:val="auto"/>
              </w:rPr>
            </w:pPr>
          </w:p>
        </w:tc>
      </w:tr>
    </w:tbl>
    <w:p>
      <w:pPr>
        <w:spacing w:after="0" w:line="143" w:lineRule="exact"/>
        <w:rPr>
          <w:sz w:val="20"/>
          <w:szCs w:val="20"/>
          <w:color w:val="auto"/>
        </w:rPr>
      </w:pPr>
    </w:p>
    <w:p>
      <w:pPr>
        <w:ind w:left="700" w:hanging="192"/>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 of the Executive Committee.</w:t>
      </w:r>
    </w:p>
    <w:p>
      <w:pPr>
        <w:ind w:left="700" w:hanging="192"/>
        <w:spacing w:after="0" w:line="201"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 of the Audit and Conflicts Committee.</w:t>
      </w:r>
    </w:p>
    <w:p>
      <w:pPr>
        <w:ind w:left="700" w:hanging="192"/>
        <w:spacing w:after="0" w:line="221"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Member of the Compensation and Stock Options Committee.</w:t>
      </w:r>
    </w:p>
    <w:p>
      <w:pPr>
        <w:ind w:left="700" w:hanging="192"/>
        <w:spacing w:after="0" w:line="221"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Lead Independent Director.</w:t>
      </w:r>
    </w:p>
    <w:p>
      <w:pPr>
        <w:ind w:left="700" w:hanging="192"/>
        <w:spacing w:after="0" w:line="201"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Lead Technology and Cyber Risk Director.</w:t>
      </w:r>
    </w:p>
    <w:p>
      <w:pPr>
        <w:ind w:left="700" w:hanging="192"/>
        <w:spacing w:after="0" w:line="221"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Chair of the Executive Committee.</w:t>
      </w:r>
    </w:p>
    <w:p>
      <w:pPr>
        <w:ind w:left="700" w:hanging="192"/>
        <w:spacing w:after="0" w:line="221"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Chair of the Audit and Conflicts Committee.</w:t>
      </w:r>
    </w:p>
    <w:p>
      <w:pPr>
        <w:ind w:left="700" w:hanging="192"/>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Chair of Compensation and Stock Options Committee.</w:t>
      </w:r>
    </w:p>
    <w:p>
      <w:pPr>
        <w:spacing w:after="0" w:line="327" w:lineRule="exact"/>
        <w:rPr>
          <w:sz w:val="20"/>
          <w:szCs w:val="20"/>
          <w:color w:val="auto"/>
        </w:rPr>
      </w:pPr>
    </w:p>
    <w:p>
      <w:pPr>
        <w:jc w:val="both"/>
        <w:ind w:left="180" w:right="740" w:firstLine="648"/>
        <w:spacing w:after="0" w:line="250" w:lineRule="auto"/>
        <w:rPr>
          <w:sz w:val="20"/>
          <w:szCs w:val="20"/>
          <w:color w:val="auto"/>
        </w:rPr>
      </w:pPr>
      <w:r>
        <w:rPr>
          <w:rFonts w:ascii="Arial" w:cs="Arial" w:eastAsia="Arial" w:hAnsi="Arial"/>
          <w:sz w:val="16"/>
          <w:szCs w:val="16"/>
          <w:b w:val="1"/>
          <w:bCs w:val="1"/>
          <w:u w:val="single" w:color="auto"/>
          <w:color w:val="auto"/>
        </w:rPr>
        <w:t>Margaret Cotter.</w:t>
      </w:r>
      <w:r>
        <w:rPr>
          <w:rFonts w:ascii="Arial" w:cs="Arial" w:eastAsia="Arial" w:hAnsi="Arial"/>
          <w:sz w:val="16"/>
          <w:szCs w:val="16"/>
          <w:b w:val="1"/>
          <w:bCs w:val="1"/>
          <w:color w:val="auto"/>
        </w:rPr>
        <w:t xml:space="preserve"> </w:t>
      </w:r>
      <w:r>
        <w:rPr>
          <w:rFonts w:ascii="Arial" w:cs="Arial" w:eastAsia="Arial" w:hAnsi="Arial"/>
          <w:sz w:val="16"/>
          <w:szCs w:val="16"/>
          <w:color w:val="auto"/>
        </w:rPr>
        <w:t>Chair Margaret Cotter joined our Board on September 27, 2002, and currently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Executive Committee. She was elected Chair of our Board on December 8, 2020. Prior to this, Chair</w:t>
      </w:r>
    </w:p>
    <w:p>
      <w:pPr>
        <w:spacing w:after="0" w:line="1"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Cotter served as the Vice-Chair of our Board from August 7, 2014, to December 7, 2020. On March 10, 2016, our Board appointed Chair Cotter as Executive Vice President-Real Estate Management and Development-NYC, at which time Chair Cotter became a full-time employee of our Company. Prior to 2016, Chair Cotter was the owner and</w:t>
      </w:r>
    </w:p>
    <w:p>
      <w:pPr>
        <w:spacing w:after="0" w:line="2"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President of OBI, LLC ("OBI"), which, from 2002 until her appointment as Executive Vice President – Real Estate Management and Development - NYC, managed our live theatre operations under a management agreement, served as President of Liberty Theaters, LLC and provided management and various services regarding the development of our</w:t>
      </w:r>
    </w:p>
    <w:p>
      <w:pPr>
        <w:spacing w:after="0" w:line="2"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New York theatre and cinema properties. The OBI management agreement was terminated with the appointment of Chair Cotter as Executive Vice President- Real Estate Management and Development-NYC. Chair Cotter remains as the President of our Live Theaters segment. In these positions, Chair Cotter is responsible for the daily management of</w:t>
      </w:r>
    </w:p>
    <w:p>
      <w:pPr>
        <w:spacing w:after="0" w:line="2"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our live theatre properties and operations, including the oversight of the day-to-day development process of our 44 Union Square property and oversight of our other New York and Pennsylvania real estate holdings. Chair Cotter is also a theatrical producer who has produced shows in Chicago and New York and a former long term board member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the League of Off-Broadway Theaters and Producers.</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Chair Cotter also holds various positions in her family's agricultural enterprises. She is a director of Cecelia</w:t>
      </w:r>
    </w:p>
    <w:p>
      <w:pPr>
        <w:jc w:val="both"/>
        <w:ind w:left="180" w:right="740"/>
        <w:spacing w:after="0" w:line="234" w:lineRule="auto"/>
        <w:rPr>
          <w:sz w:val="20"/>
          <w:szCs w:val="20"/>
          <w:color w:val="auto"/>
        </w:rPr>
      </w:pPr>
      <w:r>
        <w:rPr>
          <w:rFonts w:ascii="Arial" w:cs="Arial" w:eastAsia="Arial" w:hAnsi="Arial"/>
          <w:sz w:val="16"/>
          <w:szCs w:val="16"/>
          <w:color w:val="auto"/>
        </w:rPr>
        <w:t>Packing Corporation (a Cotter family-owned citrus grower, packer, and marketer). Chair Cotter is a Co-Executor of her father's estate (“Cotter Estate”), Co-Trustee of the James J. Cotter Living Trust (“Cotter Trust”), Co-Trustee of the James J. Cotter Foundation (“Cotter Foundation”), Trustee of the James J. Cotter Education Trust #1 and of a to-be</w:t>
      </w:r>
    </w:p>
    <w:p>
      <w:pPr>
        <w:spacing w:after="0" w:line="2" w:lineRule="exact"/>
        <w:rPr>
          <w:sz w:val="20"/>
          <w:szCs w:val="20"/>
          <w:color w:val="auto"/>
        </w:rPr>
      </w:pPr>
    </w:p>
    <w:p>
      <w:pPr>
        <w:jc w:val="both"/>
        <w:ind w:left="180" w:right="740"/>
        <w:spacing w:after="0" w:line="226" w:lineRule="auto"/>
        <w:rPr>
          <w:sz w:val="20"/>
          <w:szCs w:val="20"/>
          <w:color w:val="auto"/>
        </w:rPr>
      </w:pPr>
      <w:r>
        <w:rPr>
          <w:rFonts w:ascii="Arial" w:cs="Arial" w:eastAsia="Arial" w:hAnsi="Arial"/>
          <w:sz w:val="18"/>
          <w:szCs w:val="18"/>
          <w:color w:val="auto"/>
        </w:rPr>
        <w:t>formed trust for the benefit for her children. Information as to Margaret Cotter’s beneficial ownership in our Class A Stock and Class B Stock set out in footnotes 2 and 5 to the Beneficial Ownership Table below.</w:t>
      </w:r>
    </w:p>
    <w:p>
      <w:pPr>
        <w:spacing w:after="0" w:line="134" w:lineRule="exact"/>
        <w:rPr>
          <w:sz w:val="20"/>
          <w:szCs w:val="20"/>
          <w:color w:val="auto"/>
        </w:rPr>
      </w:pPr>
    </w:p>
    <w:p>
      <w:pPr>
        <w:jc w:val="both"/>
        <w:ind w:left="180" w:right="740" w:firstLine="648"/>
        <w:spacing w:after="0" w:line="259" w:lineRule="auto"/>
        <w:rPr>
          <w:sz w:val="20"/>
          <w:szCs w:val="20"/>
          <w:color w:val="auto"/>
        </w:rPr>
      </w:pPr>
      <w:r>
        <w:rPr>
          <w:rFonts w:ascii="Arial" w:cs="Arial" w:eastAsia="Arial" w:hAnsi="Arial"/>
          <w:sz w:val="16"/>
          <w:szCs w:val="16"/>
          <w:color w:val="auto"/>
        </w:rPr>
        <w:t>In her capacity as the Co-Executor of the Estate of James J. Cotter (“Cotter Estate”), Chair Cotter (together with her sister and Co-Executor, Ellen M. Cotter) holds various positions in various real estate entities that are part of her father’s estate, which include, without limitation, acting as the 50% Cotter general partner of Sutton Hill</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480"/>
          </w:cols>
          <w:pgMar w:left="1440" w:top="267" w:right="979" w:bottom="1440" w:gutter="0" w:footer="0" w:header="0"/>
        </w:sectPr>
      </w:pPr>
    </w:p>
    <w:bookmarkStart w:id="20" w:name="page21"/>
    <w:bookmarkEnd w:id="20"/>
    <w:p>
      <w:pPr>
        <w:ind w:left="180"/>
        <w:spacing w:after="0"/>
        <w:rPr>
          <w:sz w:val="20"/>
          <w:szCs w:val="20"/>
          <w:color w:val="auto"/>
        </w:rPr>
      </w:pPr>
      <w:r>
        <w:rPr>
          <w:rFonts w:ascii="Arial" w:cs="Arial" w:eastAsia="Arial" w:hAnsi="Arial"/>
          <w:sz w:val="16"/>
          <w:szCs w:val="16"/>
          <w:color w:val="auto"/>
        </w:rPr>
        <w:t>Associates, which is the parent company of Sutton Hill Capital, L.L.C. The Cotter Estate’s assets also include a 50%</w:t>
      </w:r>
    </w:p>
    <w:p>
      <w:pPr>
        <w:spacing w:after="0" w:line="21"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non-managing member interest in Shadow View Land and Farming, LLC, in which our Company is the 50% managing member. That limited liability company is in its final stages of being wound up, having sold its only asset in 2021: certain land in Coachella, California.</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Chair Cotter is a former Assistant District Attorney for King's County in Brooklyn, New York, who graduated from Georgetown University and Georgetown University Law Center. She is the sister of Vice-Chair Ellen</w:t>
      </w:r>
    </w:p>
    <w:p>
      <w:pPr>
        <w:ind w:left="180"/>
        <w:spacing w:after="0"/>
        <w:rPr>
          <w:sz w:val="20"/>
          <w:szCs w:val="20"/>
          <w:color w:val="auto"/>
        </w:rPr>
      </w:pPr>
      <w:r>
        <w:rPr>
          <w:rFonts w:ascii="Arial" w:cs="Arial" w:eastAsia="Arial" w:hAnsi="Arial"/>
          <w:sz w:val="18"/>
          <w:szCs w:val="18"/>
          <w:color w:val="auto"/>
        </w:rPr>
        <w:t>M. Cotter.</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Chair Cotter brings to the Board her experience as a live theatre producer, theater operator and an active</w:t>
      </w:r>
    </w:p>
    <w:p>
      <w:pPr>
        <w:spacing w:after="0" w:line="10"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member of the New York theatre community, given her insights into live theatre business trends that affect our business in this sector and in New York real estate matters. Her oversight of our theater properties for over twenty-three (23) years supports Chair Cotter’s ability to contribute to the strategic direction of our developments.</w:t>
      </w:r>
    </w:p>
    <w:p>
      <w:pPr>
        <w:spacing w:after="0" w:line="131" w:lineRule="exact"/>
        <w:rPr>
          <w:sz w:val="20"/>
          <w:szCs w:val="20"/>
          <w:color w:val="auto"/>
        </w:rPr>
      </w:pPr>
    </w:p>
    <w:p>
      <w:pPr>
        <w:jc w:val="both"/>
        <w:ind w:left="180" w:right="279" w:firstLine="648"/>
        <w:spacing w:after="0" w:line="250" w:lineRule="auto"/>
        <w:rPr>
          <w:sz w:val="20"/>
          <w:szCs w:val="20"/>
          <w:color w:val="auto"/>
        </w:rPr>
      </w:pPr>
      <w:r>
        <w:rPr>
          <w:rFonts w:ascii="Arial" w:cs="Arial" w:eastAsia="Arial" w:hAnsi="Arial"/>
          <w:sz w:val="16"/>
          <w:szCs w:val="16"/>
          <w:b w:val="1"/>
          <w:bCs w:val="1"/>
          <w:u w:val="single" w:color="auto"/>
          <w:color w:val="auto"/>
        </w:rPr>
        <w:t>Guy W. Adams.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Guy W. Adams joined our Board on January 14, 2014, and currently serves as, (i)</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 of our Executive Committee, (ii) a member of our Audit Committee, (iii) a member of our Compensation</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Committee and, (iv) as our Lead Technology and Cyber Risk Director. He is currently the Chairman of Avem Health Partners, Inc., a hospital management company. For more than the past seventeen (17) years, he has been a Managing Member of GWA Capital Partners, LLC, a registered investment adviser managing GWA Investments, LLC, a fund</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investing in various publicly traded securities. Over the past twenty-two (22) years, Director Adams has served as an independent director on the boards of directors of Lone Star Steakhouse &amp; Saloon, Mercer International, Exar Corporation and Vitesse Semiconductor. At these companies, he has held a variety of board positions, including lead</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director, audit committee chair and compensation committee chair. He has spoken on corporate governance topics before such groups as the Council of Institutional Investors, the USC Corporate Governance Summit and the University of Delaware Distinguished Speakers Program. Director Adams provides investment advice to private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clients and currently invests his own capital in public and private equity transactions.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 a few years prior to the passing of Mr. James J. Cotter, Sr. on September 13, 2014, and through a certain</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period of the administration of the Cotter Estate, Mr. Adams, in his individual capacity, served as an advisor to Mr. James J. Cotter, Sr. providing advisory services to various enterprises now owned by either the Cotter Estate or the Cotter Trust. On September 23, 2021, the Co-Executors of the Cotter Estate and Mr. Adams mutually resolved the</w:t>
      </w:r>
    </w:p>
    <w:p>
      <w:pPr>
        <w:spacing w:after="0" w:line="2" w:lineRule="exact"/>
        <w:rPr>
          <w:sz w:val="20"/>
          <w:szCs w:val="20"/>
          <w:color w:val="auto"/>
        </w:rPr>
      </w:pPr>
    </w:p>
    <w:p>
      <w:pPr>
        <w:jc w:val="both"/>
        <w:ind w:left="180" w:right="279"/>
        <w:spacing w:after="0" w:line="233" w:lineRule="auto"/>
        <w:rPr>
          <w:sz w:val="20"/>
          <w:szCs w:val="20"/>
          <w:color w:val="auto"/>
        </w:rPr>
      </w:pPr>
      <w:r>
        <w:rPr>
          <w:rFonts w:ascii="Arial" w:cs="Arial" w:eastAsia="Arial" w:hAnsi="Arial"/>
          <w:sz w:val="16"/>
          <w:szCs w:val="16"/>
          <w:color w:val="auto"/>
        </w:rPr>
        <w:t>outstanding amounts owed to Mr. Adams for such advisory services over a multi-year period for an amount equal to $250,000, which settlement was conditioned on the approval of the Probate Court in Nevada. The Probate Court in Nevada approved such settlement and the $250,000 was paid to Mr. Adams by the Cotter Estate in March 2022. Until 2018, Mr. Adams also provided services to captive insurance companies, owned in equal shares by Chair Cotter, Vice-</w:t>
      </w:r>
    </w:p>
    <w:p>
      <w:pPr>
        <w:spacing w:after="0" w:line="1"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Chair Cotter, and Mr. James J. Cotter, Jr., that provided insurance for the Cotter family agricultural activities. Mr. Adams received his Bachelor of Science degree in Petroleum Engineering from Louisiana State University and his Master of Business Administration from Harvard Graduate School of Business Administration.</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Mr. Adams brings many years of experience serving as an independent director on public company boards, and in investing and providing financial advice with respect to investments in public companies. In December 2017,</w:t>
      </w:r>
    </w:p>
    <w:p>
      <w:pPr>
        <w:jc w:val="both"/>
        <w:ind w:left="180" w:right="279"/>
        <w:spacing w:after="0" w:line="218" w:lineRule="auto"/>
        <w:rPr>
          <w:sz w:val="20"/>
          <w:szCs w:val="20"/>
          <w:color w:val="auto"/>
        </w:rPr>
      </w:pPr>
      <w:r>
        <w:rPr>
          <w:rFonts w:ascii="Arial" w:cs="Arial" w:eastAsia="Arial" w:hAnsi="Arial"/>
          <w:sz w:val="18"/>
          <w:szCs w:val="18"/>
          <w:color w:val="auto"/>
        </w:rPr>
        <w:t>Mr. Adams was recognized as a Governance Fellow for the National Association of Corporate Directors, The Gold Standard Director Credential®. In 2018, Director Adams completed the Cyber-Risk Oversight course presented by the National Association of Corporate Directors.</w:t>
      </w:r>
    </w:p>
    <w:p>
      <w:pPr>
        <w:spacing w:after="0" w:line="131" w:lineRule="exact"/>
        <w:rPr>
          <w:sz w:val="20"/>
          <w:szCs w:val="20"/>
          <w:color w:val="auto"/>
        </w:rPr>
      </w:pPr>
    </w:p>
    <w:p>
      <w:pPr>
        <w:jc w:val="both"/>
        <w:ind w:left="180" w:right="279" w:firstLine="648"/>
        <w:spacing w:after="0" w:line="236" w:lineRule="auto"/>
        <w:rPr>
          <w:sz w:val="20"/>
          <w:szCs w:val="20"/>
          <w:color w:val="auto"/>
        </w:rPr>
      </w:pPr>
      <w:r>
        <w:rPr>
          <w:rFonts w:ascii="Arial" w:cs="Arial" w:eastAsia="Arial" w:hAnsi="Arial"/>
          <w:sz w:val="17"/>
          <w:szCs w:val="17"/>
          <w:b w:val="1"/>
          <w:bCs w:val="1"/>
          <w:u w:val="single" w:color="auto"/>
          <w:color w:val="auto"/>
        </w:rPr>
        <w:t>Dr. Judy Codding.</w:t>
      </w:r>
      <w:r>
        <w:rPr>
          <w:rFonts w:ascii="Arial" w:cs="Arial" w:eastAsia="Arial" w:hAnsi="Arial"/>
          <w:sz w:val="17"/>
          <w:szCs w:val="17"/>
          <w:b w:val="1"/>
          <w:bCs w:val="1"/>
          <w:color w:val="auto"/>
        </w:rPr>
        <w:t xml:space="preserve"> </w:t>
      </w:r>
      <w:r>
        <w:rPr>
          <w:rFonts w:ascii="Arial" w:cs="Arial" w:eastAsia="Arial" w:hAnsi="Arial"/>
          <w:sz w:val="17"/>
          <w:szCs w:val="17"/>
          <w:color w:val="auto"/>
        </w:rPr>
        <w:t>Dr. Judy Codding joined our Board on October 5, 2015, and currently serves as, (i)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 of our Compensation Committee, (ii) a member of our Audit Committee, (iii) a member of our Executive</w:t>
      </w:r>
    </w:p>
    <w:p>
      <w:pPr>
        <w:jc w:val="both"/>
        <w:ind w:left="180" w:right="279"/>
        <w:spacing w:after="0" w:line="234" w:lineRule="auto"/>
        <w:rPr>
          <w:sz w:val="20"/>
          <w:szCs w:val="20"/>
          <w:color w:val="auto"/>
        </w:rPr>
      </w:pPr>
      <w:r>
        <w:rPr>
          <w:rFonts w:ascii="Arial" w:cs="Arial" w:eastAsia="Arial" w:hAnsi="Arial"/>
          <w:sz w:val="16"/>
          <w:szCs w:val="16"/>
          <w:color w:val="auto"/>
        </w:rPr>
        <w:t>Committee and, (iv) a member of our Special Independent Committee. Director Codding is a globally respected education leader. From October 2010 until October 2015, she served as the Managing Director of "The System of Courses," a division of Pearson, PLC (NYSE: PSO), one of the largest education companies in the world that provides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educational products and services to institutions, governments and individual learners. Prior to that time, Director Codding served as the Chief Executive Officer and President of America's Choice, Inc., which she founded in 1998, and which was acquired by Pearson in 2010. America's Choice, Inc. was a leading education company offering</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comprehensive, proven solutions to the complex problems educators face in the era of accountability. Director Codding received a Doctorate in Education from the University of Massachusetts at Amherst, completed postdoctoral work and served as a teaching associate in Education at Harvard University, where she taught graduate-level courses</w:t>
      </w:r>
    </w:p>
    <w:p>
      <w:pPr>
        <w:spacing w:after="0" w:line="2" w:lineRule="exact"/>
        <w:rPr>
          <w:sz w:val="20"/>
          <w:szCs w:val="20"/>
          <w:color w:val="auto"/>
        </w:rPr>
      </w:pPr>
    </w:p>
    <w:p>
      <w:pPr>
        <w:jc w:val="both"/>
        <w:ind w:left="180" w:right="279"/>
        <w:spacing w:after="0" w:line="221" w:lineRule="auto"/>
        <w:rPr>
          <w:sz w:val="20"/>
          <w:szCs w:val="20"/>
          <w:color w:val="auto"/>
        </w:rPr>
      </w:pPr>
      <w:r>
        <w:rPr>
          <w:rFonts w:ascii="Arial" w:cs="Arial" w:eastAsia="Arial" w:hAnsi="Arial"/>
          <w:sz w:val="17"/>
          <w:szCs w:val="17"/>
          <w:color w:val="auto"/>
        </w:rPr>
        <w:t>focused on moral leadership. Director Codding has served on various boards, including the Board of Trustees of Curtis School, Los Angeles, CA (since 2011) and the Board of Trustees of Educational Development Center, Inc. (since 2012). Through family entities, Director Codding has been and continues to be involved in the real estate</w:t>
      </w:r>
    </w:p>
    <w:p>
      <w:pPr>
        <w:ind w:left="180"/>
        <w:spacing w:after="0"/>
        <w:rPr>
          <w:sz w:val="20"/>
          <w:szCs w:val="20"/>
          <w:color w:val="auto"/>
        </w:rPr>
      </w:pPr>
      <w:r>
        <w:rPr>
          <w:rFonts w:ascii="Arial" w:cs="Arial" w:eastAsia="Arial" w:hAnsi="Arial"/>
          <w:sz w:val="18"/>
          <w:szCs w:val="18"/>
          <w:color w:val="auto"/>
        </w:rPr>
        <w:t>business in Florida and the exploration of mineral, oil and gas rights in Maryland and Kentucky.</w:t>
      </w:r>
    </w:p>
    <w:p>
      <w:pPr>
        <w:spacing w:after="0" w:line="1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21" w:name="page22"/>
    <w:bookmarkEnd w:id="21"/>
    <w:p>
      <w:pPr>
        <w:ind w:left="840"/>
        <w:spacing w:after="0"/>
        <w:rPr>
          <w:sz w:val="20"/>
          <w:szCs w:val="20"/>
          <w:color w:val="auto"/>
        </w:rPr>
      </w:pPr>
      <w:r>
        <w:rPr>
          <w:rFonts w:ascii="Arial" w:cs="Arial" w:eastAsia="Arial" w:hAnsi="Arial"/>
          <w:sz w:val="16"/>
          <w:szCs w:val="16"/>
          <w:color w:val="auto"/>
        </w:rPr>
        <w:t>Director Codding brings to our Board her experience as an entrepreneur, as a chief executive officer, as an</w:t>
      </w:r>
    </w:p>
    <w:p>
      <w:pPr>
        <w:spacing w:after="0" w:line="2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author, advisor and researcher in the areas of leadership training and decision-making as well as her experience in the real estate business.</w:t>
      </w:r>
    </w:p>
    <w:p>
      <w:pPr>
        <w:spacing w:after="0" w:line="130" w:lineRule="exact"/>
        <w:rPr>
          <w:sz w:val="20"/>
          <w:szCs w:val="20"/>
          <w:color w:val="auto"/>
        </w:rPr>
      </w:pPr>
    </w:p>
    <w:p>
      <w:pPr>
        <w:jc w:val="both"/>
        <w:ind w:left="180" w:right="279" w:firstLine="648"/>
        <w:spacing w:after="0" w:line="243" w:lineRule="auto"/>
        <w:rPr>
          <w:sz w:val="20"/>
          <w:szCs w:val="20"/>
          <w:color w:val="auto"/>
        </w:rPr>
      </w:pPr>
      <w:r>
        <w:rPr>
          <w:rFonts w:ascii="Arial" w:cs="Arial" w:eastAsia="Arial" w:hAnsi="Arial"/>
          <w:sz w:val="16"/>
          <w:szCs w:val="16"/>
          <w:b w:val="1"/>
          <w:bCs w:val="1"/>
          <w:u w:val="single" w:color="auto"/>
          <w:color w:val="auto"/>
        </w:rPr>
        <w:t>Ellen M. Cotter.</w:t>
      </w:r>
      <w:r>
        <w:rPr>
          <w:rFonts w:ascii="Arial" w:cs="Arial" w:eastAsia="Arial" w:hAnsi="Arial"/>
          <w:sz w:val="16"/>
          <w:szCs w:val="16"/>
          <w:b w:val="1"/>
          <w:bCs w:val="1"/>
          <w:color w:val="auto"/>
        </w:rPr>
        <w:t xml:space="preserve"> </w:t>
      </w:r>
      <w:r>
        <w:rPr>
          <w:rFonts w:ascii="Arial" w:cs="Arial" w:eastAsia="Arial" w:hAnsi="Arial"/>
          <w:sz w:val="16"/>
          <w:szCs w:val="16"/>
          <w:color w:val="auto"/>
        </w:rPr>
        <w:t>Vice-Chair Ellen M. Cotter joined our Board on March 13, 2013, and currently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Executive Committee. Vice-Chair Cotter served as Chair of our Board from August 7, 2014 until December 7, 2020. She served as our interim Chief Executive Officer and President from June 12, 2015 until January</w:t>
      </w:r>
    </w:p>
    <w:p>
      <w:pPr>
        <w:spacing w:after="0" w:line="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8, 2016, when she was appointed our permanent Chief Executive Officer and President. She joined our Company in March 1998. Vice-Chair Cotter is the sister of Chair Margaret Cotter.</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Vice-Chair Cotter is also a director of Cecelia Packing Corporation. In her capacity as the Co-Executor of the Cotter Estate, Vice-Chair Cotter (together with her sister and Co-Executor, Margaret Cotter) holds various positions in various real estate entities that are part of her father’s estate, which include, without limitation, acting as the 50%</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general partner of Sutton Hill Associates, which is the parent company of Sutton Hill Capital, L.L.C. The Cotter Estate’s assets also include a 50% non-managing member interest in Shadow View Land and Farming, LLC, in which our Company is the 50% managing member. That limited liability company is in its final stages of being wound up,</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having sold its only asset in 2021: certain land in Coachella, California.</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Vice-Chair Cotter is a graduate of Smith College and holds a Juris Doctor from Georgetown University Law</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Center. Prior to joining our Company, Vice-Chair Cotter spent four years in private practice as a corporate attorney with the law firm White &amp; Case in New York City. Prior to being appointed as our Chief Executive Officer and President, Vice-Chair Cotter served for more than ten years as the Chief Operating Officer ("COO") of our domestic</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countries. In recognition of her contributions to the independent film industry, Vice-Chair Cotter was awarded the first Gotham Appreciation Award at the 2015 Gotham Independent Film Awards. She was also inducted into the Show East Hall of Fame that same year. In recognition of her contributions to the movie cinema exhibition industry,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Vice-Chair Cotter was honored at the 2023 The Motion Picture Club Charity Event in June 2023.</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Vice-Chair Cotter is the Co-Executor of the Cotter Estate, the Co-Trustee of the Cotter Foundation, and Co-</w:t>
      </w:r>
    </w:p>
    <w:p>
      <w:pPr>
        <w:spacing w:after="0" w:line="2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Trustee of the Cotter Living Trust. Information as to Ellen Cotter’s beneficial interest in our Class A Stock and Class B Stock is set forth in footnotes 3 and 5 to the Beneficial Ownership Table below.</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Vice-Chair Cotter brings to our Board her more than twenty-five (25) years of experience working in our</w:t>
      </w:r>
    </w:p>
    <w:p>
      <w:pPr>
        <w:spacing w:after="0" w:line="10"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Company's, both in the United States and Australia. She has also served as the Chief Executive Officer of the subsidiary that operates substantially all of our cinemas in Hawaii and California.</w:t>
      </w:r>
    </w:p>
    <w:p>
      <w:pPr>
        <w:spacing w:after="0" w:line="130" w:lineRule="exact"/>
        <w:rPr>
          <w:sz w:val="20"/>
          <w:szCs w:val="20"/>
          <w:color w:val="auto"/>
        </w:rPr>
      </w:pPr>
    </w:p>
    <w:p>
      <w:pPr>
        <w:jc w:val="both"/>
        <w:ind w:left="180" w:right="279" w:firstLine="648"/>
        <w:spacing w:after="0" w:line="243" w:lineRule="auto"/>
        <w:rPr>
          <w:sz w:val="20"/>
          <w:szCs w:val="20"/>
          <w:color w:val="auto"/>
        </w:rPr>
      </w:pPr>
      <w:r>
        <w:rPr>
          <w:rFonts w:ascii="Arial" w:cs="Arial" w:eastAsia="Arial" w:hAnsi="Arial"/>
          <w:sz w:val="16"/>
          <w:szCs w:val="16"/>
          <w:b w:val="1"/>
          <w:bCs w:val="1"/>
          <w:u w:val="single" w:color="auto"/>
          <w:color w:val="auto"/>
        </w:rPr>
        <w:t>Douglas J. McEachern.</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Douglas J. McEachern joined our Board on May 17, 2012, and 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(i) the Chair of our Audit Committee, a position he has held since August 1, 2012, (ii) a member of our Compensation Committee, (iii) a member of our Special Independent Committee and, (iv) as our Lead Independent</w:t>
      </w:r>
    </w:p>
    <w:p>
      <w:pPr>
        <w:spacing w:after="0" w:line="1" w:lineRule="exact"/>
        <w:rPr>
          <w:sz w:val="20"/>
          <w:szCs w:val="20"/>
          <w:color w:val="auto"/>
        </w:rPr>
      </w:pPr>
    </w:p>
    <w:p>
      <w:pPr>
        <w:jc w:val="both"/>
        <w:ind w:left="180" w:right="279"/>
        <w:spacing w:after="0" w:line="221" w:lineRule="auto"/>
        <w:rPr>
          <w:sz w:val="20"/>
          <w:szCs w:val="20"/>
          <w:color w:val="auto"/>
        </w:rPr>
      </w:pPr>
      <w:r>
        <w:rPr>
          <w:rFonts w:ascii="Arial" w:cs="Arial" w:eastAsia="Arial" w:hAnsi="Arial"/>
          <w:sz w:val="17"/>
          <w:szCs w:val="17"/>
          <w:color w:val="auto"/>
        </w:rPr>
        <w:t>Director. He served as a member of the board and the audit and compensation committees for Willdan Group, a Nasdaq-listed engineering company, from 2009 until June 2022. From June 2011 until October 2015, Director McEachern was a director of Community Bank in Pasadena, California, and a member of its audit committee. Mr.</w:t>
      </w:r>
    </w:p>
    <w:p>
      <w:pPr>
        <w:jc w:val="both"/>
        <w:ind w:left="180" w:right="279"/>
        <w:spacing w:after="0" w:line="234" w:lineRule="auto"/>
        <w:rPr>
          <w:sz w:val="20"/>
          <w:szCs w:val="20"/>
          <w:color w:val="auto"/>
        </w:rPr>
      </w:pPr>
      <w:r>
        <w:rPr>
          <w:rFonts w:ascii="Arial" w:cs="Arial" w:eastAsia="Arial" w:hAnsi="Arial"/>
          <w:sz w:val="16"/>
          <w:szCs w:val="16"/>
          <w:color w:val="auto"/>
        </w:rPr>
        <w:t>McEachern served as the Chair of the board of Community Bank from October 2013 until October 2015 and was a member of the finance committee of the Methodist Hospital of Arcadia. From September 2009 to December 2015, Director McEachern served as an instructor of auditing and accountancy at Claremont McKenna College. Mr.</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McEachern was an audit partner from July 1985 to May 2009 with the audit firm of Deloitte &amp; Touche, LLP, with client concentrations in financial institutions and real estate. Director McEachern was also a Professional Accounting Fellow with the Federal Home Loan Bank board in Washington DC from June 1983 to July 1985. From June 1976 to</w:t>
      </w:r>
    </w:p>
    <w:p>
      <w:pPr>
        <w:spacing w:after="0" w:line="2"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June 1983, Mr. McEachern was a staff member and subsequently a manager with the audit firm of Touche Ross &amp; Co. (predecessor to Deloitte &amp; Touche, LLP). Director McEachern received a B.S. in Business Administration in 1974 from the University of California, Berkeley, and an M.B.A. in 1976 from the University of Southern California.</w:t>
      </w:r>
    </w:p>
    <w:p>
      <w:pPr>
        <w:spacing w:after="0" w:line="135" w:lineRule="exact"/>
        <w:rPr>
          <w:sz w:val="20"/>
          <w:szCs w:val="20"/>
          <w:color w:val="auto"/>
        </w:rPr>
      </w:pPr>
    </w:p>
    <w:p>
      <w:pPr>
        <w:jc w:val="both"/>
        <w:ind w:left="180" w:right="279" w:firstLine="648"/>
        <w:spacing w:after="0" w:line="233" w:lineRule="auto"/>
        <w:rPr>
          <w:sz w:val="20"/>
          <w:szCs w:val="20"/>
          <w:color w:val="auto"/>
        </w:rPr>
      </w:pPr>
      <w:r>
        <w:rPr>
          <w:rFonts w:ascii="Arial" w:cs="Arial" w:eastAsia="Arial" w:hAnsi="Arial"/>
          <w:sz w:val="17"/>
          <w:szCs w:val="17"/>
          <w:color w:val="auto"/>
        </w:rPr>
        <w:t>Director McEachern brings to our Board his more than forty-six (46) years’ experience meeting the accounting and auditing needs of financial institutions and real estate clients, including our Company. Director</w:t>
      </w:r>
    </w:p>
    <w:p>
      <w:pPr>
        <w:spacing w:after="0" w:line="1" w:lineRule="exact"/>
        <w:rPr>
          <w:sz w:val="20"/>
          <w:szCs w:val="20"/>
          <w:color w:val="auto"/>
        </w:rPr>
      </w:pPr>
    </w:p>
    <w:p>
      <w:pPr>
        <w:jc w:val="both"/>
        <w:ind w:left="180" w:right="279"/>
        <w:spacing w:after="0" w:line="268" w:lineRule="auto"/>
        <w:rPr>
          <w:sz w:val="20"/>
          <w:szCs w:val="20"/>
          <w:color w:val="auto"/>
        </w:rPr>
      </w:pPr>
      <w:r>
        <w:rPr>
          <w:rFonts w:ascii="Arial" w:cs="Arial" w:eastAsia="Arial" w:hAnsi="Arial"/>
          <w:sz w:val="16"/>
          <w:szCs w:val="16"/>
          <w:color w:val="auto"/>
        </w:rPr>
        <w:t>McEachern also brings his experience reporting as an independent auditor to the boards of directors of a variety of public reporting companies and as a board member himself for various companies and not-for-profit organizations.</w:t>
      </w:r>
    </w:p>
    <w:p>
      <w:pPr>
        <w:spacing w:after="0" w:line="14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22" w:name="page23"/>
    <w:bookmarkEnd w:id="22"/>
    <w:p>
      <w:pPr>
        <w:ind w:left="180"/>
        <w:spacing w:after="0"/>
        <w:rPr>
          <w:sz w:val="20"/>
          <w:szCs w:val="20"/>
          <w:color w:val="auto"/>
        </w:rPr>
      </w:pPr>
      <w:r>
        <w:rPr>
          <w:rFonts w:ascii="Arial" w:cs="Arial" w:eastAsia="Arial" w:hAnsi="Arial"/>
          <w:sz w:val="18"/>
          <w:szCs w:val="18"/>
          <w:b w:val="1"/>
          <w:bCs w:val="1"/>
          <w:color w:val="auto"/>
        </w:rPr>
        <w:t>Meetng Atendance</w:t>
      </w:r>
    </w:p>
    <w:p>
      <w:pPr>
        <w:spacing w:after="0" w:line="14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Board held ten (10) meetings in 2022. The Audit Committee held four (4) meetings, the Compensation</w:t>
      </w:r>
    </w:p>
    <w:p>
      <w:pPr>
        <w:jc w:val="both"/>
        <w:ind w:left="180" w:right="740"/>
        <w:spacing w:after="0" w:line="234" w:lineRule="auto"/>
        <w:rPr>
          <w:sz w:val="20"/>
          <w:szCs w:val="20"/>
          <w:color w:val="auto"/>
        </w:rPr>
      </w:pPr>
      <w:r>
        <w:rPr>
          <w:rFonts w:ascii="Arial" w:cs="Arial" w:eastAsia="Arial" w:hAnsi="Arial"/>
          <w:sz w:val="16"/>
          <w:szCs w:val="16"/>
          <w:color w:val="auto"/>
        </w:rPr>
        <w:t>Committee held nine (9) meetings and the Executive Committee did not hold any meetings in 2022. Each director attended at least 75% of these Board meetings and at least 75% of the meetings of all of the above referenced committees on which he or she served. We encourage, but do not require, our Board members to attend our Annual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Meeting. All of our incumbent Directors attended the 2023 Annual Meeting.</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Compensaton of Directors</w:t>
      </w:r>
    </w:p>
    <w:p>
      <w:pPr>
        <w:spacing w:after="0" w:line="151" w:lineRule="exact"/>
        <w:rPr>
          <w:sz w:val="20"/>
          <w:szCs w:val="20"/>
          <w:color w:val="auto"/>
        </w:rPr>
      </w:pPr>
    </w:p>
    <w:p>
      <w:pPr>
        <w:jc w:val="both"/>
        <w:ind w:left="180" w:right="740" w:firstLine="648"/>
        <w:spacing w:after="0" w:line="248" w:lineRule="auto"/>
        <w:rPr>
          <w:sz w:val="20"/>
          <w:szCs w:val="20"/>
          <w:color w:val="auto"/>
        </w:rPr>
      </w:pPr>
      <w:r>
        <w:rPr>
          <w:rFonts w:ascii="Arial" w:cs="Arial" w:eastAsia="Arial" w:hAnsi="Arial"/>
          <w:sz w:val="16"/>
          <w:szCs w:val="16"/>
          <w:color w:val="auto"/>
        </w:rPr>
        <w:t>During 2022, we paid our non-employee Directors a combination of (a) base annual cash fees for service as Directors; (b) base and special fees for service as members of standing and special committees; (c) base cash fees for</w:t>
      </w:r>
    </w:p>
    <w:p>
      <w:pPr>
        <w:jc w:val="both"/>
        <w:ind w:left="180" w:right="740"/>
        <w:spacing w:after="0" w:line="226" w:lineRule="auto"/>
        <w:rPr>
          <w:sz w:val="20"/>
          <w:szCs w:val="20"/>
          <w:color w:val="auto"/>
        </w:rPr>
      </w:pPr>
      <w:r>
        <w:rPr>
          <w:rFonts w:ascii="Arial" w:cs="Arial" w:eastAsia="Arial" w:hAnsi="Arial"/>
          <w:sz w:val="18"/>
          <w:szCs w:val="18"/>
          <w:color w:val="auto"/>
        </w:rPr>
        <w:t>service as Chair of committees and (d) equity compensation for service as Directors in the form of restricted stock units, each of which are set forth in more detail below in the “Director Compensation Table.”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Director Compensation Table</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sets forth information concerning the compensation paid to Directors in 2022:</w:t>
      </w:r>
    </w:p>
    <w:p>
      <w:pPr>
        <w:spacing w:after="0" w:line="354" w:lineRule="exact"/>
        <w:rPr>
          <w:sz w:val="20"/>
          <w:szCs w:val="20"/>
          <w:color w:val="auto"/>
        </w:rPr>
      </w:pPr>
    </w:p>
    <w:tbl>
      <w:tblPr>
        <w:tblLayout w:type="fixed"/>
        <w:tblInd w:w="190" w:type="dxa"/>
        <w:tblCellMar>
          <w:top w:w="0" w:type="dxa"/>
          <w:left w:w="0" w:type="dxa"/>
          <w:bottom w:w="0" w:type="dxa"/>
          <w:right w:w="0" w:type="dxa"/>
        </w:tblCellMar>
      </w:tblPr>
      <w:tr>
        <w:trPr>
          <w:trHeight w:val="162"/>
        </w:trPr>
        <w:tc>
          <w:tcPr>
            <w:tcW w:w="220" w:type="dxa"/>
            <w:vAlign w:val="bottom"/>
            <w:tcBorders>
              <w:top w:val="single" w:sz="8" w:color="auto"/>
              <w:left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20" w:type="dxa"/>
            <w:vAlign w:val="bottom"/>
            <w:tcBorders>
              <w:top w:val="single" w:sz="8" w:color="auto"/>
              <w:right w:val="single" w:sz="8" w:color="auto"/>
            </w:tcBorders>
            <w:vMerge w:val="restart"/>
          </w:tcPr>
          <w:p>
            <w:pPr>
              <w:ind w:left="660"/>
              <w:spacing w:after="0"/>
              <w:rPr>
                <w:sz w:val="20"/>
                <w:szCs w:val="20"/>
                <w:color w:val="auto"/>
              </w:rPr>
            </w:pPr>
            <w:r>
              <w:rPr>
                <w:rFonts w:ascii="Arial" w:cs="Arial" w:eastAsia="Arial" w:hAnsi="Arial"/>
                <w:sz w:val="18"/>
                <w:szCs w:val="18"/>
                <w:b w:val="1"/>
                <w:bCs w:val="1"/>
                <w:color w:val="auto"/>
              </w:rPr>
              <w:t>Name</w:t>
            </w:r>
          </w:p>
        </w:tc>
        <w:tc>
          <w:tcPr>
            <w:tcW w:w="170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90"/>
              </w:rPr>
              <w:t>Fees Earned or</w:t>
            </w:r>
          </w:p>
        </w:tc>
        <w:tc>
          <w:tcPr>
            <w:tcW w:w="1760" w:type="dxa"/>
            <w:vAlign w:val="bottom"/>
            <w:tcBorders>
              <w:top w:val="single" w:sz="8" w:color="auto"/>
              <w:right w:val="single" w:sz="8" w:color="auto"/>
            </w:tcBorders>
          </w:tcPr>
          <w:p>
            <w:pPr>
              <w:spacing w:after="0"/>
              <w:rPr>
                <w:sz w:val="14"/>
                <w:szCs w:val="14"/>
                <w:color w:val="auto"/>
              </w:rPr>
            </w:pPr>
          </w:p>
        </w:tc>
        <w:tc>
          <w:tcPr>
            <w:tcW w:w="1640" w:type="dxa"/>
            <w:vAlign w:val="bottom"/>
            <w:tcBorders>
              <w:top w:val="single" w:sz="8" w:color="auto"/>
              <w:right w:val="single" w:sz="8" w:color="auto"/>
            </w:tcBorders>
          </w:tcPr>
          <w:p>
            <w:pPr>
              <w:jc w:val="right"/>
              <w:ind w:right="370"/>
              <w:spacing w:after="0" w:line="162" w:lineRule="exact"/>
              <w:rPr>
                <w:sz w:val="20"/>
                <w:szCs w:val="20"/>
                <w:color w:val="auto"/>
              </w:rPr>
            </w:pPr>
            <w:r>
              <w:rPr>
                <w:rFonts w:ascii="Arial" w:cs="Arial" w:eastAsia="Arial" w:hAnsi="Arial"/>
                <w:sz w:val="18"/>
                <w:szCs w:val="18"/>
                <w:b w:val="1"/>
                <w:bCs w:val="1"/>
                <w:color w:val="auto"/>
              </w:rPr>
              <w:t>All Other</w:t>
            </w:r>
          </w:p>
        </w:tc>
        <w:tc>
          <w:tcPr>
            <w:tcW w:w="15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vMerge w:val="continue"/>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Paid in Cash ($)</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Stock Awards ($)</w:t>
            </w:r>
            <w:r>
              <w:rPr>
                <w:rFonts w:ascii="Arial" w:cs="Arial" w:eastAsia="Arial" w:hAnsi="Arial"/>
                <w:sz w:val="8"/>
                <w:szCs w:val="8"/>
                <w:b w:val="1"/>
                <w:bCs w:val="1"/>
                <w:color w:val="auto"/>
                <w:w w:val="91"/>
              </w:rPr>
              <w:t>(1)</w:t>
            </w:r>
          </w:p>
        </w:tc>
        <w:tc>
          <w:tcPr>
            <w:tcW w:w="16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Compensation ($)</w:t>
            </w:r>
          </w:p>
        </w:tc>
        <w:tc>
          <w:tcPr>
            <w:tcW w:w="1560" w:type="dxa"/>
            <w:vAlign w:val="bottom"/>
            <w:tcBorders>
              <w:bottom w:val="single" w:sz="8" w:color="auto"/>
              <w:right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24"/>
        </w:trPr>
        <w:tc>
          <w:tcPr>
            <w:tcW w:w="2660" w:type="dxa"/>
            <w:vAlign w:val="bottom"/>
            <w:tcBorders>
              <w:left w:val="single" w:sz="8" w:color="auto"/>
              <w:right w:val="single" w:sz="8" w:color="auto"/>
            </w:tcBorders>
            <w:gridSpan w:val="3"/>
            <w:vMerge w:val="restart"/>
            <w:shd w:val="clear" w:color="auto" w:fill="C6E5FE"/>
          </w:tcPr>
          <w:p>
            <w:pPr>
              <w:ind w:left="140"/>
              <w:spacing w:after="0"/>
              <w:rPr>
                <w:sz w:val="20"/>
                <w:szCs w:val="20"/>
                <w:color w:val="auto"/>
              </w:rPr>
            </w:pPr>
            <w:r>
              <w:rPr>
                <w:rFonts w:ascii="Arial" w:cs="Arial" w:eastAsia="Arial" w:hAnsi="Arial"/>
                <w:sz w:val="18"/>
                <w:szCs w:val="18"/>
                <w:color w:val="auto"/>
              </w:rPr>
              <w:t>Guy W. Adams</w:t>
            </w:r>
          </w:p>
        </w:tc>
        <w:tc>
          <w:tcPr>
            <w:tcW w:w="170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w w:val="92"/>
              </w:rPr>
              <w:t>82,500</w:t>
            </w:r>
            <w:r>
              <w:rPr>
                <w:rFonts w:ascii="Arial" w:cs="Arial" w:eastAsia="Arial" w:hAnsi="Arial"/>
                <w:sz w:val="8"/>
                <w:szCs w:val="8"/>
                <w:color w:val="auto"/>
                <w:w w:val="92"/>
              </w:rPr>
              <w:t>(3)</w:t>
            </w:r>
          </w:p>
        </w:tc>
        <w:tc>
          <w:tcPr>
            <w:tcW w:w="176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w w:val="92"/>
              </w:rPr>
              <w:t>70,000</w:t>
            </w:r>
            <w:r>
              <w:rPr>
                <w:rFonts w:ascii="Arial" w:cs="Arial" w:eastAsia="Arial" w:hAnsi="Arial"/>
                <w:sz w:val="8"/>
                <w:szCs w:val="8"/>
                <w:color w:val="auto"/>
                <w:w w:val="92"/>
              </w:rPr>
              <w:t>(2)</w:t>
            </w:r>
          </w:p>
        </w:tc>
        <w:tc>
          <w:tcPr>
            <w:tcW w:w="1640" w:type="dxa"/>
            <w:vAlign w:val="bottom"/>
            <w:tcBorders>
              <w:right w:val="single" w:sz="8" w:color="auto"/>
            </w:tcBorders>
            <w:shd w:val="clear" w:color="auto" w:fill="C6E5FE"/>
          </w:tcPr>
          <w:p>
            <w:pPr>
              <w:jc w:val="right"/>
              <w:ind w:right="105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shd w:val="clear" w:color="auto" w:fill="C6E5FE"/>
          </w:tcPr>
          <w:p>
            <w:pPr>
              <w:jc w:val="right"/>
              <w:ind w:right="394"/>
              <w:spacing w:after="0"/>
              <w:rPr>
                <w:sz w:val="20"/>
                <w:szCs w:val="20"/>
                <w:color w:val="auto"/>
              </w:rPr>
            </w:pPr>
            <w:r>
              <w:rPr>
                <w:rFonts w:ascii="Arial" w:cs="Arial" w:eastAsia="Arial" w:hAnsi="Arial"/>
                <w:sz w:val="18"/>
                <w:szCs w:val="18"/>
                <w:color w:val="auto"/>
              </w:rPr>
              <w:t>152,500</w:t>
            </w:r>
          </w:p>
        </w:tc>
        <w:tc>
          <w:tcPr>
            <w:tcW w:w="0" w:type="dxa"/>
            <w:vAlign w:val="bottom"/>
          </w:tcPr>
          <w:p>
            <w:pPr>
              <w:spacing w:after="0"/>
              <w:rPr>
                <w:sz w:val="1"/>
                <w:szCs w:val="1"/>
                <w:color w:val="auto"/>
              </w:rPr>
            </w:pPr>
          </w:p>
        </w:tc>
      </w:tr>
      <w:tr>
        <w:trPr>
          <w:trHeight w:val="107"/>
        </w:trPr>
        <w:tc>
          <w:tcPr>
            <w:tcW w:w="2660" w:type="dxa"/>
            <w:vAlign w:val="bottom"/>
            <w:tcBorders>
              <w:left w:val="single" w:sz="8" w:color="auto"/>
              <w:bottom w:val="single" w:sz="8" w:color="auto"/>
              <w:right w:val="single" w:sz="8" w:color="auto"/>
            </w:tcBorders>
            <w:gridSpan w:val="3"/>
            <w:vMerge w:val="continue"/>
            <w:shd w:val="clear" w:color="auto" w:fill="C6E5FE"/>
          </w:tcPr>
          <w:p>
            <w:pPr>
              <w:spacing w:after="0"/>
              <w:rPr>
                <w:sz w:val="9"/>
                <w:szCs w:val="9"/>
                <w:color w:val="auto"/>
              </w:rPr>
            </w:pPr>
          </w:p>
        </w:tc>
        <w:tc>
          <w:tcPr>
            <w:tcW w:w="1700" w:type="dxa"/>
            <w:vAlign w:val="bottom"/>
            <w:tcBorders>
              <w:bottom w:val="single" w:sz="8" w:color="auto"/>
              <w:right w:val="single" w:sz="8" w:color="auto"/>
            </w:tcBorders>
            <w:shd w:val="clear" w:color="auto" w:fill="C6E5FE"/>
          </w:tcPr>
          <w:p>
            <w:pPr>
              <w:spacing w:after="0"/>
              <w:rPr>
                <w:sz w:val="9"/>
                <w:szCs w:val="9"/>
                <w:color w:val="auto"/>
              </w:rPr>
            </w:pPr>
          </w:p>
        </w:tc>
        <w:tc>
          <w:tcPr>
            <w:tcW w:w="1760" w:type="dxa"/>
            <w:vAlign w:val="bottom"/>
            <w:tcBorders>
              <w:bottom w:val="single" w:sz="8" w:color="auto"/>
              <w:right w:val="single" w:sz="8" w:color="auto"/>
            </w:tcBorders>
            <w:shd w:val="clear" w:color="auto" w:fill="C6E5FE"/>
          </w:tcPr>
          <w:p>
            <w:pPr>
              <w:spacing w:after="0"/>
              <w:rPr>
                <w:sz w:val="9"/>
                <w:szCs w:val="9"/>
                <w:color w:val="auto"/>
              </w:rPr>
            </w:pPr>
          </w:p>
        </w:tc>
        <w:tc>
          <w:tcPr>
            <w:tcW w:w="1640" w:type="dxa"/>
            <w:vAlign w:val="bottom"/>
            <w:tcBorders>
              <w:bottom w:val="single" w:sz="8" w:color="auto"/>
              <w:right w:val="single" w:sz="8" w:color="auto"/>
            </w:tcBorders>
            <w:shd w:val="clear" w:color="auto" w:fill="C6E5FE"/>
          </w:tcPr>
          <w:p>
            <w:pPr>
              <w:spacing w:after="0"/>
              <w:rPr>
                <w:sz w:val="9"/>
                <w:szCs w:val="9"/>
                <w:color w:val="auto"/>
              </w:rPr>
            </w:pPr>
          </w:p>
        </w:tc>
        <w:tc>
          <w:tcPr>
            <w:tcW w:w="1560" w:type="dxa"/>
            <w:vAlign w:val="bottom"/>
            <w:tcBorders>
              <w:bottom w:val="single" w:sz="8" w:color="auto"/>
              <w:right w:val="single" w:sz="8" w:color="auto"/>
            </w:tcBorders>
            <w:shd w:val="clear" w:color="auto" w:fill="C6E5F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660" w:type="dxa"/>
            <w:vAlign w:val="bottom"/>
            <w:tcBorders>
              <w:left w:val="single" w:sz="8" w:color="auto"/>
              <w:right w:val="single" w:sz="8" w:color="auto"/>
            </w:tcBorders>
            <w:gridSpan w:val="3"/>
            <w:vMerge w:val="restart"/>
          </w:tcPr>
          <w:p>
            <w:pPr>
              <w:ind w:left="140"/>
              <w:spacing w:after="0"/>
              <w:rPr>
                <w:sz w:val="20"/>
                <w:szCs w:val="20"/>
                <w:color w:val="auto"/>
              </w:rPr>
            </w:pPr>
            <w:r>
              <w:rPr>
                <w:rFonts w:ascii="Arial" w:cs="Arial" w:eastAsia="Arial" w:hAnsi="Arial"/>
                <w:sz w:val="18"/>
                <w:szCs w:val="18"/>
                <w:color w:val="auto"/>
              </w:rPr>
              <w:t>Dr. Judy Codding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87,000</w:t>
            </w:r>
            <w:r>
              <w:rPr>
                <w:rFonts w:ascii="Arial" w:cs="Arial" w:eastAsia="Arial" w:hAnsi="Arial"/>
                <w:sz w:val="8"/>
                <w:szCs w:val="8"/>
                <w:color w:val="auto"/>
                <w:w w:val="92"/>
              </w:rPr>
              <w:t>(4)</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70,000</w:t>
            </w:r>
            <w:r>
              <w:rPr>
                <w:rFonts w:ascii="Arial" w:cs="Arial" w:eastAsia="Arial" w:hAnsi="Arial"/>
                <w:sz w:val="8"/>
                <w:szCs w:val="8"/>
                <w:color w:val="auto"/>
                <w:w w:val="92"/>
              </w:rPr>
              <w:t>(2)</w:t>
            </w:r>
          </w:p>
        </w:tc>
        <w:tc>
          <w:tcPr>
            <w:tcW w:w="1640" w:type="dxa"/>
            <w:vAlign w:val="bottom"/>
            <w:tcBorders>
              <w:right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jc w:val="right"/>
              <w:ind w:right="394"/>
              <w:spacing w:after="0"/>
              <w:rPr>
                <w:sz w:val="20"/>
                <w:szCs w:val="20"/>
                <w:color w:val="auto"/>
              </w:rPr>
            </w:pPr>
            <w:r>
              <w:rPr>
                <w:rFonts w:ascii="Arial" w:cs="Arial" w:eastAsia="Arial" w:hAnsi="Arial"/>
                <w:sz w:val="18"/>
                <w:szCs w:val="18"/>
                <w:color w:val="auto"/>
              </w:rPr>
              <w:t>157,000</w:t>
            </w:r>
          </w:p>
        </w:tc>
        <w:tc>
          <w:tcPr>
            <w:tcW w:w="0" w:type="dxa"/>
            <w:vAlign w:val="bottom"/>
          </w:tcPr>
          <w:p>
            <w:pPr>
              <w:spacing w:after="0"/>
              <w:rPr>
                <w:sz w:val="1"/>
                <w:szCs w:val="1"/>
                <w:color w:val="auto"/>
              </w:rPr>
            </w:pPr>
          </w:p>
        </w:tc>
      </w:tr>
      <w:tr>
        <w:trPr>
          <w:trHeight w:val="67"/>
        </w:trPr>
        <w:tc>
          <w:tcPr>
            <w:tcW w:w="2660" w:type="dxa"/>
            <w:vAlign w:val="bottom"/>
            <w:tcBorders>
              <w:left w:val="single" w:sz="8" w:color="auto"/>
              <w:bottom w:val="single" w:sz="8" w:color="auto"/>
              <w:right w:val="single" w:sz="8" w:color="auto"/>
            </w:tcBorders>
            <w:gridSpan w:val="3"/>
            <w:vMerge w:val="continue"/>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660" w:type="dxa"/>
            <w:vAlign w:val="bottom"/>
            <w:tcBorders>
              <w:left w:val="single" w:sz="8" w:color="auto"/>
              <w:right w:val="single" w:sz="8" w:color="auto"/>
            </w:tcBorders>
            <w:gridSpan w:val="3"/>
            <w:vMerge w:val="restart"/>
            <w:shd w:val="clear" w:color="auto" w:fill="C6E5FE"/>
          </w:tcPr>
          <w:p>
            <w:pPr>
              <w:ind w:left="140"/>
              <w:spacing w:after="0"/>
              <w:rPr>
                <w:sz w:val="20"/>
                <w:szCs w:val="20"/>
                <w:color w:val="auto"/>
              </w:rPr>
            </w:pPr>
            <w:r>
              <w:rPr>
                <w:rFonts w:ascii="Arial" w:cs="Arial" w:eastAsia="Arial" w:hAnsi="Arial"/>
                <w:sz w:val="18"/>
                <w:szCs w:val="18"/>
                <w:color w:val="auto"/>
              </w:rPr>
              <w:t>Douglas J. McEachern</w:t>
            </w:r>
          </w:p>
        </w:tc>
        <w:tc>
          <w:tcPr>
            <w:tcW w:w="170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w w:val="92"/>
              </w:rPr>
              <w:t>87,000</w:t>
            </w:r>
            <w:r>
              <w:rPr>
                <w:rFonts w:ascii="Arial" w:cs="Arial" w:eastAsia="Arial" w:hAnsi="Arial"/>
                <w:sz w:val="8"/>
                <w:szCs w:val="8"/>
                <w:color w:val="auto"/>
                <w:w w:val="92"/>
              </w:rPr>
              <w:t>(5)</w:t>
            </w:r>
          </w:p>
        </w:tc>
        <w:tc>
          <w:tcPr>
            <w:tcW w:w="176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w w:val="92"/>
              </w:rPr>
              <w:t>70,000</w:t>
            </w:r>
            <w:r>
              <w:rPr>
                <w:rFonts w:ascii="Arial" w:cs="Arial" w:eastAsia="Arial" w:hAnsi="Arial"/>
                <w:sz w:val="8"/>
                <w:szCs w:val="8"/>
                <w:color w:val="auto"/>
                <w:w w:val="92"/>
              </w:rPr>
              <w:t>(2)</w:t>
            </w:r>
          </w:p>
        </w:tc>
        <w:tc>
          <w:tcPr>
            <w:tcW w:w="1640" w:type="dxa"/>
            <w:vAlign w:val="bottom"/>
            <w:tcBorders>
              <w:right w:val="single" w:sz="8" w:color="auto"/>
            </w:tcBorders>
            <w:shd w:val="clear" w:color="auto" w:fill="C6E5FE"/>
          </w:tcPr>
          <w:p>
            <w:pPr>
              <w:jc w:val="right"/>
              <w:ind w:right="105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shd w:val="clear" w:color="auto" w:fill="C6E5FE"/>
          </w:tcPr>
          <w:p>
            <w:pPr>
              <w:jc w:val="right"/>
              <w:ind w:right="394"/>
              <w:spacing w:after="0"/>
              <w:rPr>
                <w:sz w:val="20"/>
                <w:szCs w:val="20"/>
                <w:color w:val="auto"/>
              </w:rPr>
            </w:pPr>
            <w:r>
              <w:rPr>
                <w:rFonts w:ascii="Arial" w:cs="Arial" w:eastAsia="Arial" w:hAnsi="Arial"/>
                <w:sz w:val="18"/>
                <w:szCs w:val="18"/>
                <w:color w:val="auto"/>
              </w:rPr>
              <w:t>157,000</w:t>
            </w:r>
          </w:p>
        </w:tc>
        <w:tc>
          <w:tcPr>
            <w:tcW w:w="0" w:type="dxa"/>
            <w:vAlign w:val="bottom"/>
          </w:tcPr>
          <w:p>
            <w:pPr>
              <w:spacing w:after="0"/>
              <w:rPr>
                <w:sz w:val="1"/>
                <w:szCs w:val="1"/>
                <w:color w:val="auto"/>
              </w:rPr>
            </w:pPr>
          </w:p>
        </w:tc>
      </w:tr>
      <w:tr>
        <w:trPr>
          <w:trHeight w:val="80"/>
        </w:trPr>
        <w:tc>
          <w:tcPr>
            <w:tcW w:w="2660" w:type="dxa"/>
            <w:vAlign w:val="bottom"/>
            <w:tcBorders>
              <w:left w:val="single" w:sz="8" w:color="auto"/>
              <w:bottom w:val="single" w:sz="8" w:color="auto"/>
              <w:right w:val="single" w:sz="8" w:color="auto"/>
            </w:tcBorders>
            <w:gridSpan w:val="3"/>
            <w:vMerge w:val="continue"/>
            <w:shd w:val="clear" w:color="auto" w:fill="C6E5FE"/>
          </w:tcPr>
          <w:p>
            <w:pPr>
              <w:spacing w:after="0"/>
              <w:rPr>
                <w:sz w:val="6"/>
                <w:szCs w:val="6"/>
                <w:color w:val="auto"/>
              </w:rPr>
            </w:pPr>
          </w:p>
        </w:tc>
        <w:tc>
          <w:tcPr>
            <w:tcW w:w="1700" w:type="dxa"/>
            <w:vAlign w:val="bottom"/>
            <w:tcBorders>
              <w:bottom w:val="single" w:sz="8" w:color="auto"/>
              <w:right w:val="single" w:sz="8" w:color="auto"/>
            </w:tcBorders>
            <w:shd w:val="clear" w:color="auto" w:fill="C6E5FE"/>
          </w:tcPr>
          <w:p>
            <w:pPr>
              <w:spacing w:after="0"/>
              <w:rPr>
                <w:sz w:val="6"/>
                <w:szCs w:val="6"/>
                <w:color w:val="auto"/>
              </w:rPr>
            </w:pPr>
          </w:p>
        </w:tc>
        <w:tc>
          <w:tcPr>
            <w:tcW w:w="1760" w:type="dxa"/>
            <w:vAlign w:val="bottom"/>
            <w:tcBorders>
              <w:bottom w:val="single" w:sz="8" w:color="auto"/>
              <w:right w:val="single" w:sz="8" w:color="auto"/>
            </w:tcBorders>
            <w:shd w:val="clear" w:color="auto" w:fill="C6E5FE"/>
          </w:tcPr>
          <w:p>
            <w:pPr>
              <w:spacing w:after="0"/>
              <w:rPr>
                <w:sz w:val="6"/>
                <w:szCs w:val="6"/>
                <w:color w:val="auto"/>
              </w:rPr>
            </w:pPr>
          </w:p>
        </w:tc>
        <w:tc>
          <w:tcPr>
            <w:tcW w:w="1640" w:type="dxa"/>
            <w:vAlign w:val="bottom"/>
            <w:tcBorders>
              <w:bottom w:val="single" w:sz="8" w:color="auto"/>
              <w:right w:val="single" w:sz="8" w:color="auto"/>
            </w:tcBorders>
            <w:shd w:val="clear" w:color="auto" w:fill="C6E5FE"/>
          </w:tcPr>
          <w:p>
            <w:pPr>
              <w:spacing w:after="0"/>
              <w:rPr>
                <w:sz w:val="6"/>
                <w:szCs w:val="6"/>
                <w:color w:val="auto"/>
              </w:rPr>
            </w:pPr>
          </w:p>
        </w:tc>
        <w:tc>
          <w:tcPr>
            <w:tcW w:w="1560" w:type="dxa"/>
            <w:vAlign w:val="bottom"/>
            <w:tcBorders>
              <w:bottom w:val="single" w:sz="8" w:color="auto"/>
              <w:right w:val="single" w:sz="8" w:color="auto"/>
            </w:tcBorders>
            <w:shd w:val="clear" w:color="auto" w:fill="C6E5FE"/>
          </w:tcPr>
          <w:p>
            <w:pPr>
              <w:spacing w:after="0"/>
              <w:rPr>
                <w:sz w:val="6"/>
                <w:szCs w:val="6"/>
                <w:color w:val="auto"/>
              </w:rPr>
            </w:pPr>
          </w:p>
        </w:tc>
        <w:tc>
          <w:tcPr>
            <w:tcW w:w="0" w:type="dxa"/>
            <w:vAlign w:val="bottom"/>
          </w:tcPr>
          <w:p>
            <w:pPr>
              <w:spacing w:after="0"/>
              <w:rPr>
                <w:sz w:val="1"/>
                <w:szCs w:val="1"/>
                <w:color w:val="auto"/>
              </w:rPr>
            </w:pPr>
          </w:p>
        </w:tc>
      </w:tr>
      <w:tr>
        <w:trPr>
          <w:trHeight w:val="352"/>
        </w:trPr>
        <w:tc>
          <w:tcPr>
            <w:tcW w:w="220" w:type="dxa"/>
            <w:vAlign w:val="bottom"/>
          </w:tcPr>
          <w:p>
            <w:pPr>
              <w:jc w:val="right"/>
              <w:spacing w:after="0"/>
              <w:rPr>
                <w:sz w:val="20"/>
                <w:szCs w:val="20"/>
                <w:color w:val="auto"/>
              </w:rPr>
            </w:pPr>
            <w:r>
              <w:rPr>
                <w:rFonts w:ascii="Arial" w:cs="Arial" w:eastAsia="Arial" w:hAnsi="Arial"/>
                <w:sz w:val="14"/>
                <w:szCs w:val="14"/>
                <w:color w:val="auto"/>
                <w:w w:val="93"/>
              </w:rPr>
              <w:t>(1)</w:t>
            </w:r>
          </w:p>
        </w:tc>
        <w:tc>
          <w:tcPr>
            <w:tcW w:w="9100" w:type="dxa"/>
            <w:vAlign w:val="bottom"/>
            <w:gridSpan w:val="6"/>
          </w:tcPr>
          <w:p>
            <w:pPr>
              <w:ind w:left="120"/>
              <w:spacing w:after="0"/>
              <w:rPr>
                <w:sz w:val="20"/>
                <w:szCs w:val="20"/>
                <w:color w:val="auto"/>
              </w:rPr>
            </w:pPr>
            <w:r>
              <w:rPr>
                <w:rFonts w:ascii="Arial" w:cs="Arial" w:eastAsia="Arial" w:hAnsi="Arial"/>
                <w:sz w:val="16"/>
                <w:szCs w:val="16"/>
                <w:color w:val="auto"/>
              </w:rPr>
              <w:t>Fair value of the award computed in accordance with FASB ASC Topic 718. Awards were issued as RSUs and stock options.</w:t>
            </w:r>
          </w:p>
        </w:tc>
        <w:tc>
          <w:tcPr>
            <w:tcW w:w="0" w:type="dxa"/>
            <w:vAlign w:val="bottom"/>
          </w:tcPr>
          <w:p>
            <w:pPr>
              <w:spacing w:after="0"/>
              <w:rPr>
                <w:sz w:val="1"/>
                <w:szCs w:val="1"/>
                <w:color w:val="auto"/>
              </w:rPr>
            </w:pPr>
          </w:p>
        </w:tc>
      </w:tr>
      <w:tr>
        <w:trPr>
          <w:trHeight w:val="172"/>
        </w:trPr>
        <w:tc>
          <w:tcPr>
            <w:tcW w:w="22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9100" w:type="dxa"/>
            <w:vAlign w:val="bottom"/>
            <w:gridSpan w:val="6"/>
          </w:tcPr>
          <w:p>
            <w:pPr>
              <w:ind w:left="120"/>
              <w:spacing w:after="0" w:line="171" w:lineRule="exact"/>
              <w:rPr>
                <w:sz w:val="20"/>
                <w:szCs w:val="20"/>
                <w:color w:val="auto"/>
              </w:rPr>
            </w:pPr>
            <w:r>
              <w:rPr>
                <w:rFonts w:ascii="Arial" w:cs="Arial" w:eastAsia="Arial" w:hAnsi="Arial"/>
                <w:sz w:val="16"/>
                <w:szCs w:val="16"/>
                <w:color w:val="auto"/>
                <w:w w:val="95"/>
              </w:rPr>
              <w:t>The following table sets forth the number of RSUs granted on December 15, 2022. The RSUs vested on December 15, 2023. These</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4140" w:type="dxa"/>
            <w:vAlign w:val="bottom"/>
            <w:gridSpan w:val="3"/>
          </w:tcPr>
          <w:p>
            <w:pPr>
              <w:ind w:left="120"/>
              <w:spacing w:after="0"/>
              <w:rPr>
                <w:sz w:val="20"/>
                <w:szCs w:val="20"/>
                <w:color w:val="auto"/>
              </w:rPr>
            </w:pPr>
            <w:r>
              <w:rPr>
                <w:rFonts w:ascii="Arial" w:cs="Arial" w:eastAsia="Arial" w:hAnsi="Arial"/>
                <w:sz w:val="16"/>
                <w:szCs w:val="16"/>
                <w:color w:val="auto"/>
              </w:rPr>
              <w:t>RSUs each represent one share of Class A Stock.</w:t>
            </w:r>
          </w:p>
        </w:tc>
        <w:tc>
          <w:tcPr>
            <w:tcW w:w="1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0" w:type="dxa"/>
            <w:vAlign w:val="bottom"/>
            <w:tcBorders>
              <w:bottom w:val="single" w:sz="8" w:color="auto"/>
            </w:tcBorders>
            <w:gridSpan w:val="2"/>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0" w:type="dxa"/>
            <w:vAlign w:val="bottom"/>
            <w:tcBorders>
              <w:left w:val="single" w:sz="8" w:color="auto"/>
            </w:tcBorders>
            <w:gridSpan w:val="2"/>
          </w:tcPr>
          <w:p>
            <w:pPr>
              <w:ind w:left="140"/>
              <w:spacing w:after="0"/>
              <w:rPr>
                <w:sz w:val="20"/>
                <w:szCs w:val="20"/>
                <w:color w:val="auto"/>
              </w:rPr>
            </w:pPr>
            <w:r>
              <w:rPr>
                <w:rFonts w:ascii="Arial" w:cs="Arial" w:eastAsia="Arial" w:hAnsi="Arial"/>
                <w:sz w:val="16"/>
                <w:szCs w:val="16"/>
                <w:color w:val="auto"/>
                <w:w w:val="95"/>
              </w:rPr>
              <w:t>Guy</w:t>
            </w:r>
          </w:p>
        </w:tc>
        <w:tc>
          <w:tcPr>
            <w:tcW w:w="2220" w:type="dxa"/>
            <w:vAlign w:val="bottom"/>
          </w:tcPr>
          <w:p>
            <w:pPr>
              <w:ind w:left="20"/>
              <w:spacing w:after="0"/>
              <w:rPr>
                <w:sz w:val="20"/>
                <w:szCs w:val="20"/>
                <w:color w:val="auto"/>
              </w:rPr>
            </w:pPr>
            <w:r>
              <w:rPr>
                <w:rFonts w:ascii="Arial" w:cs="Arial" w:eastAsia="Arial" w:hAnsi="Arial"/>
                <w:sz w:val="16"/>
                <w:szCs w:val="16"/>
                <w:color w:val="auto"/>
              </w:rPr>
              <w:t>W. Adams</w:t>
            </w:r>
          </w:p>
        </w:tc>
        <w:tc>
          <w:tcPr>
            <w:tcW w:w="1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right"/>
              <w:ind w:right="494"/>
              <w:spacing w:after="0"/>
              <w:rPr>
                <w:sz w:val="20"/>
                <w:szCs w:val="20"/>
                <w:color w:val="auto"/>
              </w:rPr>
            </w:pPr>
            <w:r>
              <w:rPr>
                <w:rFonts w:ascii="Arial" w:cs="Arial" w:eastAsia="Arial" w:hAnsi="Arial"/>
                <w:sz w:val="16"/>
                <w:szCs w:val="16"/>
                <w:color w:val="auto"/>
              </w:rPr>
              <w:t>24,561</w:t>
            </w:r>
          </w:p>
        </w:tc>
        <w:tc>
          <w:tcPr>
            <w:tcW w:w="0" w:type="dxa"/>
            <w:vAlign w:val="bottom"/>
          </w:tcPr>
          <w:p>
            <w:pPr>
              <w:spacing w:after="0"/>
              <w:rPr>
                <w:sz w:val="1"/>
                <w:szCs w:val="1"/>
                <w:color w:val="auto"/>
              </w:rPr>
            </w:pPr>
          </w:p>
        </w:tc>
      </w:tr>
      <w:tr>
        <w:trPr>
          <w:trHeight w:val="23"/>
        </w:trPr>
        <w:tc>
          <w:tcPr>
            <w:tcW w:w="2660" w:type="dxa"/>
            <w:vAlign w:val="bottom"/>
            <w:tcBorders>
              <w:left w:val="single" w:sz="8" w:color="auto"/>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660" w:type="dxa"/>
            <w:vAlign w:val="bottom"/>
            <w:tcBorders>
              <w:left w:val="single" w:sz="8" w:color="auto"/>
              <w:bottom w:val="single" w:sz="8" w:color="auto"/>
              <w:right w:val="single" w:sz="8" w:color="D0E7FC"/>
            </w:tcBorders>
            <w:gridSpan w:val="3"/>
            <w:shd w:val="clear" w:color="auto" w:fill="D0E7FC"/>
          </w:tcPr>
          <w:p>
            <w:pPr>
              <w:ind w:left="140"/>
              <w:spacing w:after="0"/>
              <w:rPr>
                <w:sz w:val="20"/>
                <w:szCs w:val="20"/>
                <w:color w:val="auto"/>
              </w:rPr>
            </w:pPr>
            <w:r>
              <w:rPr>
                <w:rFonts w:ascii="Arial" w:cs="Arial" w:eastAsia="Arial" w:hAnsi="Arial"/>
                <w:sz w:val="16"/>
                <w:szCs w:val="16"/>
                <w:color w:val="auto"/>
              </w:rPr>
              <w:t>Dr. Judy Codding</w:t>
            </w:r>
          </w:p>
        </w:tc>
        <w:tc>
          <w:tcPr>
            <w:tcW w:w="1700" w:type="dxa"/>
            <w:vAlign w:val="bottom"/>
            <w:tcBorders>
              <w:bottom w:val="single" w:sz="8" w:color="auto"/>
              <w:right w:val="single" w:sz="8" w:color="D0E7FC"/>
            </w:tcBorders>
            <w:shd w:val="clear" w:color="auto" w:fill="D0E7FC"/>
          </w:tcPr>
          <w:p>
            <w:pPr>
              <w:spacing w:after="0"/>
              <w:rPr>
                <w:sz w:val="17"/>
                <w:szCs w:val="17"/>
                <w:color w:val="auto"/>
              </w:rPr>
            </w:pPr>
          </w:p>
        </w:tc>
        <w:tc>
          <w:tcPr>
            <w:tcW w:w="1760" w:type="dxa"/>
            <w:vAlign w:val="bottom"/>
            <w:tcBorders>
              <w:bottom w:val="single" w:sz="8" w:color="auto"/>
              <w:right w:val="single" w:sz="8" w:color="D0E7FC"/>
            </w:tcBorders>
            <w:shd w:val="clear" w:color="auto" w:fill="D0E7FC"/>
          </w:tcPr>
          <w:p>
            <w:pPr>
              <w:spacing w:after="0"/>
              <w:rPr>
                <w:sz w:val="17"/>
                <w:szCs w:val="17"/>
                <w:color w:val="auto"/>
              </w:rPr>
            </w:pPr>
          </w:p>
        </w:tc>
        <w:tc>
          <w:tcPr>
            <w:tcW w:w="1640" w:type="dxa"/>
            <w:vAlign w:val="bottom"/>
            <w:tcBorders>
              <w:bottom w:val="single" w:sz="8" w:color="auto"/>
              <w:right w:val="single" w:sz="8" w:color="auto"/>
            </w:tcBorders>
            <w:shd w:val="clear" w:color="auto" w:fill="D0E7FC"/>
          </w:tcPr>
          <w:p>
            <w:pPr>
              <w:spacing w:after="0"/>
              <w:rPr>
                <w:sz w:val="17"/>
                <w:szCs w:val="17"/>
                <w:color w:val="auto"/>
              </w:rPr>
            </w:pPr>
          </w:p>
        </w:tc>
        <w:tc>
          <w:tcPr>
            <w:tcW w:w="1560" w:type="dxa"/>
            <w:vAlign w:val="bottom"/>
            <w:tcBorders>
              <w:bottom w:val="single" w:sz="8" w:color="auto"/>
              <w:right w:val="single" w:sz="8" w:color="auto"/>
            </w:tcBorders>
            <w:shd w:val="clear" w:color="auto" w:fill="D0E7FC"/>
          </w:tcPr>
          <w:p>
            <w:pPr>
              <w:jc w:val="right"/>
              <w:ind w:right="494"/>
              <w:spacing w:after="0"/>
              <w:rPr>
                <w:sz w:val="20"/>
                <w:szCs w:val="20"/>
                <w:color w:val="auto"/>
              </w:rPr>
            </w:pPr>
            <w:r>
              <w:rPr>
                <w:rFonts w:ascii="Arial" w:cs="Arial" w:eastAsia="Arial" w:hAnsi="Arial"/>
                <w:sz w:val="16"/>
                <w:szCs w:val="16"/>
                <w:color w:val="auto"/>
              </w:rPr>
              <w:t>24,561</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6"/>
                <w:szCs w:val="16"/>
                <w:color w:val="auto"/>
              </w:rPr>
              <w:t>Douglas McEachern</w:t>
            </w:r>
          </w:p>
        </w:tc>
        <w:tc>
          <w:tcPr>
            <w:tcW w:w="17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6"/>
                <w:szCs w:val="16"/>
                <w:color w:val="auto"/>
              </w:rPr>
              <w:t>24,561</w:t>
            </w:r>
          </w:p>
        </w:tc>
        <w:tc>
          <w:tcPr>
            <w:tcW w:w="0" w:type="dxa"/>
            <w:vAlign w:val="bottom"/>
          </w:tcPr>
          <w:p>
            <w:pPr>
              <w:spacing w:after="0"/>
              <w:rPr>
                <w:sz w:val="1"/>
                <w:szCs w:val="1"/>
                <w:color w:val="auto"/>
              </w:rPr>
            </w:pPr>
          </w:p>
        </w:tc>
      </w:tr>
      <w:tr>
        <w:trPr>
          <w:trHeight w:val="299"/>
        </w:trPr>
        <w:tc>
          <w:tcPr>
            <w:tcW w:w="9320" w:type="dxa"/>
            <w:vAlign w:val="bottom"/>
            <w:gridSpan w:val="7"/>
          </w:tcPr>
          <w:p>
            <w:pPr>
              <w:jc w:val="right"/>
              <w:ind w:right="894"/>
              <w:spacing w:after="0"/>
              <w:rPr>
                <w:sz w:val="20"/>
                <w:szCs w:val="20"/>
                <w:color w:val="auto"/>
              </w:rPr>
            </w:pPr>
            <w:r>
              <w:rPr>
                <w:rFonts w:ascii="Arial" w:cs="Arial" w:eastAsia="Arial" w:hAnsi="Arial"/>
                <w:sz w:val="16"/>
                <w:szCs w:val="16"/>
                <w:color w:val="auto"/>
                <w:w w:val="92"/>
              </w:rPr>
              <w:t>(3)  Represents payment of Base Director Fee of $50,000, Audit Committee Member Fee of $10,000, Compensation Committee</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5900" w:type="dxa"/>
            <w:vAlign w:val="bottom"/>
            <w:gridSpan w:val="4"/>
          </w:tcPr>
          <w:p>
            <w:pPr>
              <w:ind w:left="20"/>
              <w:spacing w:after="0"/>
              <w:rPr>
                <w:sz w:val="20"/>
                <w:szCs w:val="20"/>
                <w:color w:val="auto"/>
              </w:rPr>
            </w:pPr>
            <w:r>
              <w:rPr>
                <w:rFonts w:ascii="Arial" w:cs="Arial" w:eastAsia="Arial" w:hAnsi="Arial"/>
                <w:sz w:val="16"/>
                <w:szCs w:val="16"/>
                <w:color w:val="auto"/>
                <w:w w:val="95"/>
              </w:rPr>
              <w:t>Member Fee of $7,500 and Lead Technology and Cyber Risk Director Fee of $15,000.</w:t>
            </w: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20" w:type="dxa"/>
            <w:vAlign w:val="bottom"/>
          </w:tcPr>
          <w:p>
            <w:pPr>
              <w:jc w:val="right"/>
              <w:spacing w:after="0" w:line="171" w:lineRule="exact"/>
              <w:rPr>
                <w:sz w:val="20"/>
                <w:szCs w:val="20"/>
                <w:color w:val="auto"/>
              </w:rPr>
            </w:pPr>
            <w:r>
              <w:rPr>
                <w:rFonts w:ascii="Arial" w:cs="Arial" w:eastAsia="Arial" w:hAnsi="Arial"/>
                <w:sz w:val="16"/>
                <w:szCs w:val="16"/>
                <w:color w:val="auto"/>
                <w:w w:val="91"/>
              </w:rPr>
              <w:t>(4)</w:t>
            </w:r>
          </w:p>
        </w:tc>
        <w:tc>
          <w:tcPr>
            <w:tcW w:w="9100" w:type="dxa"/>
            <w:vAlign w:val="bottom"/>
            <w:gridSpan w:val="6"/>
          </w:tcPr>
          <w:p>
            <w:pPr>
              <w:jc w:val="right"/>
              <w:ind w:right="674"/>
              <w:spacing w:after="0" w:line="171" w:lineRule="exact"/>
              <w:rPr>
                <w:sz w:val="20"/>
                <w:szCs w:val="20"/>
                <w:color w:val="auto"/>
              </w:rPr>
            </w:pPr>
            <w:r>
              <w:rPr>
                <w:rFonts w:ascii="Arial" w:cs="Arial" w:eastAsia="Arial" w:hAnsi="Arial"/>
                <w:sz w:val="16"/>
                <w:szCs w:val="16"/>
                <w:color w:val="auto"/>
                <w:w w:val="97"/>
              </w:rPr>
              <w:t>Represents payment of Base Director Fee of $50,000, Compensation Committee Chair Fee of $22,500, Audit Committee</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5900" w:type="dxa"/>
            <w:vAlign w:val="bottom"/>
            <w:gridSpan w:val="4"/>
          </w:tcPr>
          <w:p>
            <w:pPr>
              <w:ind w:left="100"/>
              <w:spacing w:after="0"/>
              <w:rPr>
                <w:sz w:val="20"/>
                <w:szCs w:val="20"/>
                <w:color w:val="auto"/>
              </w:rPr>
            </w:pPr>
            <w:r>
              <w:rPr>
                <w:rFonts w:ascii="Arial" w:cs="Arial" w:eastAsia="Arial" w:hAnsi="Arial"/>
                <w:sz w:val="16"/>
                <w:szCs w:val="16"/>
                <w:color w:val="auto"/>
                <w:w w:val="94"/>
              </w:rPr>
              <w:t>Member Fee of $10,000, and Special Independent Committee Member Fee of $4,500.</w:t>
            </w: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500" w:right="740" w:hanging="323"/>
        <w:spacing w:after="0" w:line="230" w:lineRule="auto"/>
        <w:rPr>
          <w:sz w:val="20"/>
          <w:szCs w:val="20"/>
          <w:color w:val="auto"/>
        </w:rPr>
      </w:pPr>
      <w:r>
        <w:rPr>
          <w:rFonts w:ascii="Arial" w:cs="Arial" w:eastAsia="Arial" w:hAnsi="Arial"/>
          <w:sz w:val="16"/>
          <w:szCs w:val="16"/>
          <w:color w:val="auto"/>
        </w:rPr>
        <w:t>(5) Represents payment of Base Director Fee of $50,000, Audit Committee Chair Fee of $20,000, Compensation Committee Member Fee of $7,500, Special Independent Committee Member Fee of $4,500, and Lead Independent Director Fee of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____________________</w:t>
      </w:r>
    </w:p>
    <w:p>
      <w:pPr>
        <w:spacing w:after="0" w:line="13" w:lineRule="exact"/>
        <w:rPr>
          <w:sz w:val="20"/>
          <w:szCs w:val="20"/>
          <w:color w:val="auto"/>
        </w:rPr>
      </w:pPr>
    </w:p>
    <w:p>
      <w:pPr>
        <w:ind w:left="260" w:hanging="76"/>
        <w:spacing w:after="0"/>
        <w:tabs>
          <w:tab w:leader="none" w:pos="260" w:val="left"/>
        </w:tabs>
        <w:numPr>
          <w:ilvl w:val="0"/>
          <w:numId w:val="20"/>
        </w:numPr>
        <w:rPr>
          <w:rFonts w:ascii="Arial" w:cs="Arial" w:eastAsia="Arial" w:hAnsi="Arial"/>
          <w:sz w:val="14"/>
          <w:szCs w:val="14"/>
          <w:color w:val="auto"/>
          <w:vertAlign w:val="superscript"/>
        </w:rPr>
      </w:pPr>
      <w:r>
        <w:rPr>
          <w:rFonts w:ascii="Arial" w:cs="Arial" w:eastAsia="Arial" w:hAnsi="Arial"/>
          <w:sz w:val="14"/>
          <w:szCs w:val="14"/>
          <w:color w:val="auto"/>
        </w:rPr>
        <w:t>There is no Chair or Vice-Chair Director fee where the position is held by an Executive Officer of the Company.</w:t>
      </w: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480"/>
          </w:cols>
          <w:pgMar w:left="1440" w:top="267" w:right="979" w:bottom="1440" w:gutter="0" w:footer="0" w:header="0"/>
        </w:sectPr>
      </w:pPr>
    </w:p>
    <w:bookmarkStart w:id="23" w:name="page24"/>
    <w:bookmarkEnd w:id="23"/>
    <w:p>
      <w:pPr>
        <w:ind w:left="180"/>
        <w:spacing w:after="0"/>
        <w:rPr>
          <w:sz w:val="20"/>
          <w:szCs w:val="20"/>
          <w:color w:val="auto"/>
        </w:rPr>
      </w:pPr>
      <w:r>
        <w:rPr>
          <w:rFonts w:ascii="Arial" w:cs="Arial" w:eastAsia="Arial" w:hAnsi="Arial"/>
          <w:sz w:val="18"/>
          <w:szCs w:val="18"/>
          <w:b w:val="1"/>
          <w:bCs w:val="1"/>
          <w:color w:val="auto"/>
        </w:rPr>
        <w:t>2022 and Future Outside Director Compensaton</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Compensation Committee periodically reviews, evaluates, revises and recommends the adoption of</w:t>
      </w:r>
    </w:p>
    <w:p>
      <w:pPr>
        <w:spacing w:after="0" w:line="10"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compensation arrangements for executive and management officers and outside directors of our Company. In such matters, since 2021, the Compensation Committee has retained the international compensation consulting firm of AON as its advisor in this process and has also relied on our legal counsel, Greenberg Traurig, LLP.</w:t>
      </w:r>
    </w:p>
    <w:p>
      <w:pPr>
        <w:spacing w:after="0" w:line="135" w:lineRule="exact"/>
        <w:rPr>
          <w:sz w:val="20"/>
          <w:szCs w:val="20"/>
          <w:color w:val="auto"/>
        </w:rPr>
      </w:pPr>
    </w:p>
    <w:p>
      <w:pPr>
        <w:jc w:val="both"/>
        <w:ind w:left="180" w:right="279" w:firstLine="648"/>
        <w:spacing w:after="0" w:line="233" w:lineRule="auto"/>
        <w:rPr>
          <w:sz w:val="20"/>
          <w:szCs w:val="20"/>
          <w:color w:val="auto"/>
        </w:rPr>
      </w:pPr>
      <w:r>
        <w:rPr>
          <w:rFonts w:ascii="Arial" w:cs="Arial" w:eastAsia="Arial" w:hAnsi="Arial"/>
          <w:sz w:val="17"/>
          <w:szCs w:val="17"/>
          <w:color w:val="auto"/>
        </w:rPr>
        <w:t>Our Compensation Committee recommended and our Board authorized that the following annual compensation for our non-employee directors for 2022 through the director terms commencing on December 15,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2022, the date of our 2022 Annual Meeting:</w:t>
      </w:r>
    </w:p>
    <w:p>
      <w:pPr>
        <w:spacing w:after="0" w:line="128" w:lineRule="exact"/>
        <w:rPr>
          <w:sz w:val="20"/>
          <w:szCs w:val="20"/>
          <w:color w:val="auto"/>
        </w:rPr>
      </w:pPr>
    </w:p>
    <w:p>
      <w:pPr>
        <w:ind w:left="2120" w:hanging="316"/>
        <w:spacing w:after="0"/>
        <w:tabs>
          <w:tab w:leader="none" w:pos="212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The Board Base Director fee was $50,000.</w:t>
      </w:r>
    </w:p>
    <w:p>
      <w:pPr>
        <w:spacing w:after="0" w:line="141" w:lineRule="exact"/>
        <w:rPr>
          <w:rFonts w:ascii="Courier New" w:cs="Courier New" w:eastAsia="Courier New" w:hAnsi="Courier New"/>
          <w:sz w:val="18"/>
          <w:szCs w:val="18"/>
          <w:color w:val="auto"/>
        </w:rPr>
      </w:pPr>
    </w:p>
    <w:p>
      <w:pPr>
        <w:ind w:left="2120" w:right="279" w:hanging="316"/>
        <w:spacing w:after="0" w:line="256" w:lineRule="auto"/>
        <w:tabs>
          <w:tab w:leader="none" w:pos="2120" w:val="left"/>
        </w:tabs>
        <w:numPr>
          <w:ilvl w:val="0"/>
          <w:numId w:val="21"/>
        </w:numPr>
        <w:rPr>
          <w:rFonts w:ascii="Courier New" w:cs="Courier New" w:eastAsia="Courier New" w:hAnsi="Courier New"/>
          <w:sz w:val="17"/>
          <w:szCs w:val="17"/>
          <w:color w:val="auto"/>
        </w:rPr>
      </w:pPr>
      <w:r>
        <w:rPr>
          <w:rFonts w:ascii="Arial" w:cs="Arial" w:eastAsia="Arial" w:hAnsi="Arial"/>
          <w:sz w:val="17"/>
          <w:szCs w:val="17"/>
          <w:color w:val="auto"/>
        </w:rPr>
        <w:t>The Committee Chair retainers were $20,000 for our Audit Committee, $22,500 for our Compensation Committee and $2,000 per meeting fee for our Executive Committee.</w:t>
      </w:r>
    </w:p>
    <w:p>
      <w:pPr>
        <w:spacing w:after="0" w:line="92" w:lineRule="exact"/>
        <w:rPr>
          <w:sz w:val="20"/>
          <w:szCs w:val="20"/>
          <w:color w:val="auto"/>
        </w:rPr>
      </w:pPr>
    </w:p>
    <w:p>
      <w:pPr>
        <w:ind w:left="1800"/>
        <w:spacing w:after="0"/>
        <w:tabs>
          <w:tab w:leader="none" w:pos="2100" w:val="left"/>
          <w:tab w:leader="none" w:pos="5800" w:val="left"/>
          <w:tab w:leader="none" w:pos="6140" w:val="left"/>
          <w:tab w:leader="none" w:pos="6540" w:val="left"/>
          <w:tab w:leader="none" w:pos="7080" w:val="left"/>
          <w:tab w:leader="none" w:pos="822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Arial" w:cs="Arial" w:eastAsia="Arial" w:hAnsi="Arial"/>
          <w:sz w:val="18"/>
          <w:szCs w:val="18"/>
          <w:color w:val="auto"/>
        </w:rPr>
        <w:t>The  committee  member  fees  were  $10,000</w:t>
        <w:tab/>
        <w:t>for</w:t>
        <w:tab/>
        <w:t>our</w:t>
        <w:tab/>
        <w:t>Audit</w:t>
        <w:tab/>
        <w:t>Committee,</w:t>
      </w:r>
      <w:r>
        <w:rPr>
          <w:sz w:val="20"/>
          <w:szCs w:val="20"/>
          <w:color w:val="auto"/>
        </w:rPr>
        <w:tab/>
      </w:r>
      <w:r>
        <w:rPr>
          <w:rFonts w:ascii="Arial" w:cs="Arial" w:eastAsia="Arial" w:hAnsi="Arial"/>
          <w:sz w:val="16"/>
          <w:szCs w:val="16"/>
          <w:color w:val="auto"/>
        </w:rPr>
        <w:t>$7,500</w:t>
      </w:r>
    </w:p>
    <w:p>
      <w:pPr>
        <w:spacing w:after="0" w:line="13" w:lineRule="exact"/>
        <w:rPr>
          <w:sz w:val="20"/>
          <w:szCs w:val="20"/>
          <w:color w:val="auto"/>
        </w:rPr>
      </w:pPr>
    </w:p>
    <w:p>
      <w:pPr>
        <w:ind w:left="2120" w:right="279"/>
        <w:spacing w:after="0" w:line="226" w:lineRule="auto"/>
        <w:rPr>
          <w:sz w:val="20"/>
          <w:szCs w:val="20"/>
          <w:color w:val="auto"/>
        </w:rPr>
      </w:pPr>
      <w:r>
        <w:rPr>
          <w:rFonts w:ascii="Arial" w:cs="Arial" w:eastAsia="Arial" w:hAnsi="Arial"/>
          <w:sz w:val="18"/>
          <w:szCs w:val="18"/>
          <w:color w:val="auto"/>
        </w:rPr>
        <w:t>Compensation Committee and a $1,500 per meeting fee for our Executive Committee and Special Independent Committee.</w:t>
      </w:r>
    </w:p>
    <w:p>
      <w:pPr>
        <w:spacing w:after="0" w:line="121" w:lineRule="exact"/>
        <w:rPr>
          <w:sz w:val="20"/>
          <w:szCs w:val="20"/>
          <w:color w:val="auto"/>
        </w:rPr>
      </w:pPr>
    </w:p>
    <w:p>
      <w:pPr>
        <w:ind w:left="2120" w:hanging="316"/>
        <w:spacing w:after="0"/>
        <w:tabs>
          <w:tab w:leader="none" w:pos="2120" w:val="left"/>
        </w:tabs>
        <w:numPr>
          <w:ilvl w:val="0"/>
          <w:numId w:val="22"/>
        </w:numPr>
        <w:rPr>
          <w:rFonts w:ascii="Courier New" w:cs="Courier New" w:eastAsia="Courier New" w:hAnsi="Courier New"/>
          <w:sz w:val="18"/>
          <w:szCs w:val="18"/>
          <w:color w:val="auto"/>
        </w:rPr>
      </w:pPr>
      <w:r>
        <w:rPr>
          <w:rFonts w:ascii="Arial" w:cs="Arial" w:eastAsia="Arial" w:hAnsi="Arial"/>
          <w:sz w:val="18"/>
          <w:szCs w:val="18"/>
          <w:color w:val="auto"/>
        </w:rPr>
        <w:t>The Lead Independent Director fee was $5,000.</w:t>
      </w:r>
    </w:p>
    <w:p>
      <w:pPr>
        <w:spacing w:after="0" w:line="141" w:lineRule="exact"/>
        <w:rPr>
          <w:rFonts w:ascii="Courier New" w:cs="Courier New" w:eastAsia="Courier New" w:hAnsi="Courier New"/>
          <w:sz w:val="18"/>
          <w:szCs w:val="18"/>
          <w:color w:val="auto"/>
        </w:rPr>
      </w:pPr>
    </w:p>
    <w:p>
      <w:pPr>
        <w:ind w:left="2120" w:hanging="316"/>
        <w:spacing w:after="0"/>
        <w:tabs>
          <w:tab w:leader="none" w:pos="2120" w:val="left"/>
        </w:tabs>
        <w:numPr>
          <w:ilvl w:val="0"/>
          <w:numId w:val="22"/>
        </w:numPr>
        <w:rPr>
          <w:rFonts w:ascii="Courier New" w:cs="Courier New" w:eastAsia="Courier New" w:hAnsi="Courier New"/>
          <w:sz w:val="18"/>
          <w:szCs w:val="18"/>
          <w:color w:val="auto"/>
        </w:rPr>
      </w:pPr>
      <w:r>
        <w:rPr>
          <w:rFonts w:ascii="Arial" w:cs="Arial" w:eastAsia="Arial" w:hAnsi="Arial"/>
          <w:sz w:val="18"/>
          <w:szCs w:val="18"/>
          <w:color w:val="auto"/>
        </w:rPr>
        <w:t>The Lead Technology and Cyber Risk Director fee was $15,000.</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Vote Required</w:t>
      </w:r>
    </w:p>
    <w:p>
      <w:pPr>
        <w:spacing w:after="0" w:line="151" w:lineRule="exact"/>
        <w:rPr>
          <w:sz w:val="20"/>
          <w:szCs w:val="20"/>
          <w:color w:val="auto"/>
        </w:rPr>
      </w:pPr>
    </w:p>
    <w:p>
      <w:pPr>
        <w:jc w:val="both"/>
        <w:ind w:left="180" w:right="279" w:firstLine="648"/>
        <w:spacing w:after="0" w:line="235" w:lineRule="auto"/>
        <w:rPr>
          <w:sz w:val="20"/>
          <w:szCs w:val="20"/>
          <w:color w:val="auto"/>
        </w:rPr>
      </w:pPr>
      <w:r>
        <w:rPr>
          <w:rFonts w:ascii="Arial" w:cs="Arial" w:eastAsia="Arial" w:hAnsi="Arial"/>
          <w:sz w:val="18"/>
          <w:szCs w:val="18"/>
          <w:color w:val="auto"/>
        </w:rPr>
        <w:t>The five (5) nominees receiving the greatest number of votes cast at our Annual Meeting will be elected to the Board.</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The Board has nominated each of the nominees discussed above to hold office until our 2024 Annual Meeting of stockholders and thereafter until his or her respective successor has been duly elected and qualified. Each</w:t>
      </w:r>
    </w:p>
    <w:p>
      <w:pPr>
        <w:jc w:val="both"/>
        <w:ind w:left="180" w:right="279"/>
        <w:spacing w:after="0" w:line="268" w:lineRule="auto"/>
        <w:rPr>
          <w:sz w:val="20"/>
          <w:szCs w:val="20"/>
          <w:color w:val="auto"/>
        </w:rPr>
      </w:pPr>
      <w:r>
        <w:rPr>
          <w:rFonts w:ascii="Arial" w:cs="Arial" w:eastAsia="Arial" w:hAnsi="Arial"/>
          <w:sz w:val="16"/>
          <w:szCs w:val="16"/>
          <w:color w:val="auto"/>
        </w:rPr>
        <w:t>nominee has agreed to be nominated and, if elected, to serve as a director of our Company. The Board has no reason to believe that any nominee will be unable or to serve and all nominees named have consented to serve if elected.</w:t>
      </w:r>
    </w:p>
    <w:p>
      <w:pPr>
        <w:spacing w:after="0" w:line="113"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Chair Margaret Cotter and Vice-Chair Ellen Cotter, who hold, in the aggregate, voting control over 1,208,988 shares, or approximately 72% of our outstanding Class B Stock, have informed the Board that they intend to vote these shares in favor of the nominees named in this Proxy Statement for election to the Board discussed under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Proposal 1 (the Election of Directors).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Recommendaton of the Board</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BOARD OF DIRECTORS RECOMMENDS A VOTE “FOR” EACH OF THE DIRECTOR</w:t>
      </w:r>
    </w:p>
    <w:p>
      <w:pPr>
        <w:spacing w:after="0" w:line="2" w:lineRule="exact"/>
        <w:rPr>
          <w:sz w:val="20"/>
          <w:szCs w:val="20"/>
          <w:color w:val="auto"/>
        </w:rPr>
      </w:pPr>
    </w:p>
    <w:p>
      <w:pPr>
        <w:jc w:val="right"/>
        <w:ind w:right="4039"/>
        <w:spacing w:after="0"/>
        <w:rPr>
          <w:sz w:val="20"/>
          <w:szCs w:val="20"/>
          <w:color w:val="auto"/>
        </w:rPr>
      </w:pPr>
      <w:r>
        <w:rPr>
          <w:rFonts w:ascii="Arial" w:cs="Arial" w:eastAsia="Arial" w:hAnsi="Arial"/>
          <w:sz w:val="18"/>
          <w:szCs w:val="18"/>
          <w:b w:val="1"/>
          <w:bCs w:val="1"/>
          <w:color w:val="auto"/>
        </w:rPr>
        <w:t>NOMINEES.</w:t>
      </w:r>
    </w:p>
    <w:p>
      <w:pPr>
        <w:spacing w:after="0" w:line="169"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4" w:name="page25"/>
    <w:bookmarkEnd w:id="24"/>
    <w:p>
      <w:pPr>
        <w:ind w:left="2160"/>
        <w:spacing w:after="0"/>
        <w:rPr>
          <w:sz w:val="20"/>
          <w:szCs w:val="20"/>
          <w:color w:val="auto"/>
        </w:rPr>
      </w:pPr>
      <w:r>
        <w:rPr>
          <w:rFonts w:ascii="Arial" w:cs="Arial" w:eastAsia="Arial" w:hAnsi="Arial"/>
          <w:sz w:val="18"/>
          <w:szCs w:val="18"/>
          <w:b w:val="1"/>
          <w:bCs w:val="1"/>
          <w:color w:val="auto"/>
        </w:rPr>
        <w:t>PROPOSAL 2: RATIFICATION OF APPOINTMENT OF</w:t>
      </w:r>
    </w:p>
    <w:p>
      <w:pPr>
        <w:ind w:left="192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42" w:lineRule="exact"/>
        <w:rPr>
          <w:sz w:val="20"/>
          <w:szCs w:val="20"/>
          <w:color w:val="auto"/>
        </w:rPr>
      </w:pPr>
    </w:p>
    <w:p>
      <w:pPr>
        <w:jc w:val="both"/>
        <w:ind w:left="180" w:right="279" w:firstLine="324"/>
        <w:spacing w:after="0" w:line="233" w:lineRule="auto"/>
        <w:rPr>
          <w:sz w:val="20"/>
          <w:szCs w:val="20"/>
          <w:color w:val="auto"/>
        </w:rPr>
      </w:pPr>
      <w:r>
        <w:rPr>
          <w:rFonts w:ascii="Arial" w:cs="Arial" w:eastAsia="Arial" w:hAnsi="Arial"/>
          <w:sz w:val="17"/>
          <w:szCs w:val="17"/>
          <w:color w:val="auto"/>
        </w:rPr>
        <w:t>The Audit Committee has appointed Grant Thornton LLP (“Grant Thornton”) as our Company’s independent registered public accounting firm to audit the consolidated financial statements and internal control over financial</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reporting of our Company for the year ending December 31, 2023. Grant Thornton was engaged as our independent registered public accounting firm for the years ended December 31, 2011 thru December 31, 2023. Our Company is seeking stockholder ratification of the appointment of Grant Thornton as our independent registered public accounting</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firm for year ending December 31, 2023.</w:t>
      </w:r>
    </w:p>
    <w:p>
      <w:pPr>
        <w:spacing w:after="0" w:line="126" w:lineRule="exact"/>
        <w:rPr>
          <w:sz w:val="20"/>
          <w:szCs w:val="20"/>
          <w:color w:val="auto"/>
        </w:rPr>
      </w:pPr>
    </w:p>
    <w:p>
      <w:pPr>
        <w:ind w:left="500"/>
        <w:spacing w:after="0"/>
        <w:tabs>
          <w:tab w:leader="none" w:pos="1500" w:val="left"/>
          <w:tab w:leader="none" w:pos="2440" w:val="left"/>
          <w:tab w:leader="none" w:pos="2740" w:val="left"/>
          <w:tab w:leader="none" w:pos="3100" w:val="left"/>
          <w:tab w:leader="none" w:pos="4140" w:val="left"/>
          <w:tab w:leader="none" w:pos="4440" w:val="left"/>
          <w:tab w:leader="none" w:pos="5000" w:val="left"/>
          <w:tab w:leader="none" w:pos="5820" w:val="left"/>
          <w:tab w:leader="none" w:pos="6080" w:val="left"/>
          <w:tab w:leader="none" w:pos="6460" w:val="left"/>
          <w:tab w:leader="none" w:pos="7200" w:val="left"/>
          <w:tab w:leader="none" w:pos="7520" w:val="left"/>
          <w:tab w:leader="none" w:pos="7920" w:val="left"/>
          <w:tab w:leader="none" w:pos="8580" w:val="left"/>
        </w:tabs>
        <w:rPr>
          <w:sz w:val="20"/>
          <w:szCs w:val="20"/>
          <w:color w:val="auto"/>
        </w:rPr>
      </w:pPr>
      <w:r>
        <w:rPr>
          <w:rFonts w:ascii="Arial" w:cs="Arial" w:eastAsia="Arial" w:hAnsi="Arial"/>
          <w:sz w:val="18"/>
          <w:szCs w:val="18"/>
          <w:color w:val="auto"/>
        </w:rPr>
        <w:t>Stockholder</w:t>
        <w:tab/>
        <w:t>ratification</w:t>
        <w:tab/>
        <w:t>of</w:t>
        <w:tab/>
        <w:t>the</w:t>
        <w:tab/>
        <w:t>appointment</w:t>
        <w:tab/>
        <w:t>of</w:t>
        <w:tab/>
        <w:t>Grant</w:t>
        <w:tab/>
        <w:t>Thornton</w:t>
        <w:tab/>
        <w:t>is</w:t>
        <w:tab/>
        <w:t>not</w:t>
        <w:tab/>
        <w:t>required</w:t>
        <w:tab/>
        <w:t>by</w:t>
        <w:tab/>
        <w:t>our</w:t>
        <w:tab/>
        <w:t>bylaws</w:t>
      </w:r>
      <w:r>
        <w:rPr>
          <w:sz w:val="20"/>
          <w:szCs w:val="20"/>
          <w:color w:val="auto"/>
        </w:rPr>
        <w:tab/>
      </w:r>
      <w:r>
        <w:rPr>
          <w:rFonts w:ascii="Arial" w:cs="Arial" w:eastAsia="Arial" w:hAnsi="Arial"/>
          <w:sz w:val="15"/>
          <w:szCs w:val="15"/>
          <w:color w:val="auto"/>
        </w:rPr>
        <w:t>or</w:t>
      </w:r>
    </w:p>
    <w:p>
      <w:pPr>
        <w:jc w:val="both"/>
        <w:ind w:left="180" w:right="279"/>
        <w:spacing w:after="0" w:line="221" w:lineRule="auto"/>
        <w:rPr>
          <w:sz w:val="20"/>
          <w:szCs w:val="20"/>
          <w:color w:val="auto"/>
        </w:rPr>
      </w:pPr>
      <w:r>
        <w:rPr>
          <w:rFonts w:ascii="Arial" w:cs="Arial" w:eastAsia="Arial" w:hAnsi="Arial"/>
          <w:sz w:val="17"/>
          <w:szCs w:val="17"/>
          <w:color w:val="auto"/>
        </w:rPr>
        <w:t>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w:t>
      </w:r>
    </w:p>
    <w:p>
      <w:pPr>
        <w:jc w:val="both"/>
        <w:ind w:left="180" w:right="279"/>
        <w:spacing w:after="0" w:line="226" w:lineRule="auto"/>
        <w:rPr>
          <w:sz w:val="20"/>
          <w:szCs w:val="20"/>
          <w:color w:val="auto"/>
        </w:rPr>
      </w:pPr>
      <w:r>
        <w:rPr>
          <w:rFonts w:ascii="Arial" w:cs="Arial" w:eastAsia="Arial" w:hAnsi="Arial"/>
          <w:sz w:val="18"/>
          <w:szCs w:val="18"/>
          <w:color w:val="auto"/>
        </w:rPr>
        <w:t>direct the appointment of a different independent registered public accounting firm at any time during the year if it determines that such a change would be in the best interest of our Company and stockholders.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Vote Required</w:t>
      </w:r>
    </w:p>
    <w:p>
      <w:pPr>
        <w:spacing w:after="0" w:line="164" w:lineRule="exact"/>
        <w:rPr>
          <w:sz w:val="20"/>
          <w:szCs w:val="20"/>
          <w:color w:val="auto"/>
        </w:rPr>
      </w:pPr>
    </w:p>
    <w:p>
      <w:pPr>
        <w:jc w:val="both"/>
        <w:ind w:left="180" w:right="279" w:firstLine="324"/>
        <w:spacing w:after="0" w:line="261"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r>
        <w:rPr>
          <w:rFonts w:ascii="Arial" w:cs="Arial" w:eastAsia="Arial" w:hAnsi="Arial"/>
          <w:sz w:val="21"/>
          <w:szCs w:val="21"/>
          <w:color w:val="auto"/>
        </w:rPr>
        <w:t>.</w:t>
      </w:r>
    </w:p>
    <w:p>
      <w:pPr>
        <w:spacing w:after="0" w:line="52" w:lineRule="exact"/>
        <w:rPr>
          <w:sz w:val="20"/>
          <w:szCs w:val="20"/>
          <w:color w:val="auto"/>
        </w:rPr>
      </w:pPr>
    </w:p>
    <w:p>
      <w:pPr>
        <w:jc w:val="both"/>
        <w:ind w:left="180" w:right="279" w:firstLine="324"/>
        <w:spacing w:after="0" w:line="233" w:lineRule="auto"/>
        <w:rPr>
          <w:sz w:val="20"/>
          <w:szCs w:val="20"/>
          <w:color w:val="auto"/>
        </w:rPr>
      </w:pPr>
      <w:r>
        <w:rPr>
          <w:rFonts w:ascii="Arial" w:cs="Arial" w:eastAsia="Arial" w:hAnsi="Arial"/>
          <w:sz w:val="17"/>
          <w:szCs w:val="17"/>
          <w:color w:val="auto"/>
        </w:rPr>
        <w:t>Chair Margaret Cotter and Vice-Chair Ellen Cotter, who hold, in the aggregate, voting control over 1,208,988 shares, or approximately 72% of our outstanding Class B Stock, have informed the Board that they intend to vote</w:t>
      </w:r>
    </w:p>
    <w:p>
      <w:pPr>
        <w:spacing w:after="0" w:line="1" w:lineRule="exact"/>
        <w:rPr>
          <w:sz w:val="20"/>
          <w:szCs w:val="20"/>
          <w:color w:val="auto"/>
        </w:rPr>
      </w:pPr>
    </w:p>
    <w:p>
      <w:pPr>
        <w:jc w:val="both"/>
        <w:ind w:left="180" w:right="279"/>
        <w:spacing w:after="0" w:line="239" w:lineRule="auto"/>
        <w:rPr>
          <w:sz w:val="20"/>
          <w:szCs w:val="20"/>
          <w:color w:val="auto"/>
        </w:rPr>
      </w:pPr>
      <w:r>
        <w:rPr>
          <w:rFonts w:ascii="Arial" w:cs="Arial" w:eastAsia="Arial" w:hAnsi="Arial"/>
          <w:sz w:val="17"/>
          <w:szCs w:val="17"/>
          <w:color w:val="auto"/>
        </w:rPr>
        <w:t>these shares in favor of the ratification of appointment of Grant Thornton as our Company’s registered independent public accounting firm discussed under Proposal 2 (the Independent Auditor Ratification Proposal).</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Recommendaton of the Board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BOARD OF DIRECTORS RECOMMENDS A VOTE “FOR” APPROVAL OF THE INDEPENDENT</w:t>
      </w:r>
    </w:p>
    <w:p>
      <w:pPr>
        <w:ind w:left="2820"/>
        <w:spacing w:after="0"/>
        <w:rPr>
          <w:sz w:val="20"/>
          <w:szCs w:val="20"/>
          <w:color w:val="auto"/>
        </w:rPr>
      </w:pPr>
      <w:r>
        <w:rPr>
          <w:rFonts w:ascii="Arial" w:cs="Arial" w:eastAsia="Arial" w:hAnsi="Arial"/>
          <w:sz w:val="18"/>
          <w:szCs w:val="18"/>
          <w:b w:val="1"/>
          <w:bCs w:val="1"/>
          <w:color w:val="auto"/>
        </w:rPr>
        <w:t>AUDITOR RATIFICATION PROPOSAL.</w:t>
      </w:r>
    </w:p>
    <w:p>
      <w:pPr>
        <w:spacing w:after="0" w:line="1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420" w:right="1440" w:bottom="1440" w:gutter="0" w:footer="0" w:header="0"/>
        </w:sectPr>
      </w:pPr>
    </w:p>
    <w:bookmarkStart w:id="25" w:name="page26"/>
    <w:bookmarkEnd w:id="25"/>
    <w:p>
      <w:pPr>
        <w:jc w:val="center"/>
        <w:ind w:right="-180"/>
        <w:spacing w:after="0"/>
        <w:rPr>
          <w:sz w:val="20"/>
          <w:szCs w:val="20"/>
          <w:color w:val="auto"/>
        </w:rPr>
      </w:pPr>
      <w:r>
        <w:rPr>
          <w:rFonts w:ascii="Arial" w:cs="Arial" w:eastAsia="Arial" w:hAnsi="Arial"/>
          <w:sz w:val="18"/>
          <w:szCs w:val="18"/>
          <w:b w:val="1"/>
          <w:bCs w:val="1"/>
          <w:color w:val="auto"/>
        </w:rPr>
        <w:t>PROPOSAL 3: ADVISORY VOTE ON EXECUTIVE OFFICER COMPENSATION</w:t>
      </w:r>
    </w:p>
    <w:p>
      <w:pPr>
        <w:spacing w:after="0" w:line="94"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these individuals is set out below under the heading, “Executive Compensation.”</w:t>
      </w:r>
    </w:p>
    <w:p>
      <w:pPr>
        <w:spacing w:after="0" w:line="61"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We believe that our compensation policies for the named executive officers are designed to attract, motivate, and retain talented executive officers and are aligned with the long-term interests of our stockholders. This advisory</w:t>
      </w:r>
    </w:p>
    <w:p>
      <w:pPr>
        <w:jc w:val="both"/>
        <w:ind w:left="180" w:right="279"/>
        <w:spacing w:after="0" w:line="231" w:lineRule="auto"/>
        <w:rPr>
          <w:sz w:val="20"/>
          <w:szCs w:val="20"/>
          <w:color w:val="auto"/>
        </w:rPr>
      </w:pPr>
      <w:r>
        <w:rPr>
          <w:rFonts w:ascii="Arial" w:cs="Arial" w:eastAsia="Arial" w:hAnsi="Arial"/>
          <w:sz w:val="17"/>
          <w:szCs w:val="17"/>
          <w:color w:val="auto"/>
        </w:rPr>
        <w:t>stockholder vote, commonly referred to as a “say-on-pay” vote, gives our stockholders the opportunity to approve or not approve the compensation of each of the named executive officers that is disclosed in this Proxy Statement by voting for or against the following resolution (or by abstaining with respect to the resolution).</w:t>
      </w:r>
    </w:p>
    <w:p>
      <w:pPr>
        <w:spacing w:after="0" w:line="68"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At our Annual Meeting of stockholders held on December 15, 2022, we held an advisory vote on executive compensation. Our stockholders voted in favor of our Company’s executive compensation. Our Board and our Compensation Committee reviewed the results of the advisory vote on executive compensation in 2022 and, as the</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vote approved our executive compensation for 2022, we did not make any changes to our compensation based on the results of the vote.</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required by Section 14A of the Securities Exchange Act of 1934, this proposal seeks a stockholder advisory</w:t>
      </w:r>
    </w:p>
    <w:p>
      <w:pPr>
        <w:spacing w:after="0" w:line="2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vote on the compensation of our named executive officers as disclosed pursuant to Item 402 of Regulation S-K through the following resolution:</w:t>
      </w:r>
    </w:p>
    <w:p>
      <w:pPr>
        <w:spacing w:after="0" w:line="5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“RESOLVED, that the holders of the Company’s Class B Stock approve, on an advisory basis,</w:t>
      </w:r>
    </w:p>
    <w:p>
      <w:pPr>
        <w:jc w:val="both"/>
        <w:ind w:left="840" w:right="1179"/>
        <w:spacing w:after="0" w:line="231" w:lineRule="auto"/>
        <w:rPr>
          <w:sz w:val="20"/>
          <w:szCs w:val="20"/>
          <w:color w:val="auto"/>
        </w:rPr>
      </w:pPr>
      <w:r>
        <w:rPr>
          <w:rFonts w:ascii="Arial" w:cs="Arial" w:eastAsia="Arial" w:hAnsi="Arial"/>
          <w:sz w:val="17"/>
          <w:szCs w:val="17"/>
          <w:color w:val="auto"/>
        </w:rPr>
        <w:t>the compensation paid to the Company’s named executive officers, as disclosed in the Company’s Proxy Statement for the 2023 Annual Meeting of stockholders pursuant to Item 402 of Regulation S-K, including the compensation tables and related narrative disclosures.”</w:t>
      </w:r>
    </w:p>
    <w:p>
      <w:pPr>
        <w:spacing w:after="0" w:line="68" w:lineRule="exact"/>
        <w:rPr>
          <w:sz w:val="20"/>
          <w:szCs w:val="20"/>
          <w:color w:val="auto"/>
        </w:rPr>
      </w:pPr>
    </w:p>
    <w:p>
      <w:pPr>
        <w:jc w:val="both"/>
        <w:ind w:left="180" w:right="279" w:firstLine="324"/>
        <w:spacing w:after="0" w:line="227" w:lineRule="auto"/>
        <w:rPr>
          <w:sz w:val="20"/>
          <w:szCs w:val="20"/>
          <w:color w:val="auto"/>
        </w:rPr>
      </w:pPr>
      <w:r>
        <w:rPr>
          <w:rFonts w:ascii="Arial" w:cs="Arial" w:eastAsia="Arial" w:hAnsi="Arial"/>
          <w:sz w:val="17"/>
          <w:szCs w:val="17"/>
          <w:color w:val="auto"/>
        </w:rPr>
        <w:t>This vote is advisory in nature and therefore is not binding on our Board or our Compensation Committee. However, our Board and our Compensation Committee will take into account the outcome of the stockholder vote on this proposal when considering future executive compensation arrangements. Furthermore, this</w:t>
      </w:r>
    </w:p>
    <w:p>
      <w:pPr>
        <w:spacing w:after="0" w:line="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vote is not intended to address any specific item of compensation, but rather the overall compensation of our “named executive officers” and our general compensation policies and practices.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Vote Required</w:t>
      </w:r>
    </w:p>
    <w:p>
      <w:pPr>
        <w:spacing w:after="0" w:line="164" w:lineRule="exact"/>
        <w:rPr>
          <w:sz w:val="20"/>
          <w:szCs w:val="20"/>
          <w:color w:val="auto"/>
        </w:rPr>
      </w:pPr>
    </w:p>
    <w:p>
      <w:pPr>
        <w:jc w:val="both"/>
        <w:ind w:left="180" w:right="279" w:firstLine="324"/>
        <w:spacing w:after="0" w:line="261"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r>
        <w:rPr>
          <w:rFonts w:ascii="Arial" w:cs="Arial" w:eastAsia="Arial" w:hAnsi="Arial"/>
          <w:sz w:val="21"/>
          <w:szCs w:val="21"/>
          <w:color w:val="auto"/>
        </w:rPr>
        <w:t>.</w:t>
      </w:r>
    </w:p>
    <w:p>
      <w:pPr>
        <w:spacing w:after="0" w:line="52"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Chair Margaret Cotter and Vice-Chair Ellen Cotter, who hold, in the aggregate, voting control over an aggregate of 1,208,988 shares, or approximately 72% of our outstanding Class B Stock, have informed the Board that they</w:t>
      </w:r>
    </w:p>
    <w:p>
      <w:pPr>
        <w:jc w:val="both"/>
        <w:ind w:left="180" w:right="279"/>
        <w:spacing w:after="0" w:line="226" w:lineRule="auto"/>
        <w:rPr>
          <w:sz w:val="20"/>
          <w:szCs w:val="20"/>
          <w:color w:val="auto"/>
        </w:rPr>
      </w:pPr>
      <w:r>
        <w:rPr>
          <w:rFonts w:ascii="Arial" w:cs="Arial" w:eastAsia="Arial" w:hAnsi="Arial"/>
          <w:sz w:val="18"/>
          <w:szCs w:val="18"/>
          <w:color w:val="auto"/>
        </w:rPr>
        <w:t>intend to vote these shares in favor of the advisory vote on the “say on pay” for our “named executive officers” discussed under Proposal 3 (the Advisory Vote on Executive Officer Compensation Proposal).</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Recommendaton of the Board</w:t>
      </w:r>
    </w:p>
    <w:p>
      <w:pPr>
        <w:spacing w:after="0" w:line="160" w:lineRule="exact"/>
        <w:rPr>
          <w:sz w:val="20"/>
          <w:szCs w:val="20"/>
          <w:color w:val="auto"/>
        </w:rPr>
      </w:pPr>
    </w:p>
    <w:p>
      <w:pPr>
        <w:jc w:val="center"/>
        <w:ind w:left="180" w:right="279"/>
        <w:spacing w:after="0" w:line="297" w:lineRule="auto"/>
        <w:rPr>
          <w:sz w:val="20"/>
          <w:szCs w:val="20"/>
          <w:color w:val="auto"/>
        </w:rPr>
      </w:pPr>
      <w:r>
        <w:rPr>
          <w:rFonts w:ascii="Arial" w:cs="Arial" w:eastAsia="Arial" w:hAnsi="Arial"/>
          <w:sz w:val="18"/>
          <w:szCs w:val="18"/>
          <w:b w:val="1"/>
          <w:bCs w:val="1"/>
          <w:color w:val="auto"/>
        </w:rPr>
        <w:t>THE BOARD OF DIRECTORS RECOMMENDS A VOTE “FOR” THE APPROVAL OF THE ADVISORY VOTE ON EXECUTIVE OFFICER COMPENSATION PROPOSAL.</w:t>
      </w:r>
    </w:p>
    <w:p>
      <w:pPr>
        <w:spacing w:after="0" w:line="14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6" w:name="page27"/>
    <w:bookmarkEnd w:id="26"/>
    <w:p>
      <w:pPr>
        <w:jc w:val="center"/>
        <w:ind w:right="-220"/>
        <w:spacing w:after="0"/>
        <w:rPr>
          <w:sz w:val="20"/>
          <w:szCs w:val="20"/>
          <w:color w:val="auto"/>
        </w:rPr>
      </w:pPr>
      <w:r>
        <w:rPr>
          <w:rFonts w:ascii="Arial" w:cs="Arial" w:eastAsia="Arial" w:hAnsi="Arial"/>
          <w:sz w:val="18"/>
          <w:szCs w:val="18"/>
          <w:b w:val="1"/>
          <w:bCs w:val="1"/>
          <w:color w:val="auto"/>
        </w:rPr>
        <w:t>PROPOSAL 4: ADVISORY VOTE ON THE EXECUTIVE COMPENSATION VOTE FREQUENCY</w:t>
      </w:r>
    </w:p>
    <w:p>
      <w:pPr>
        <w:spacing w:after="0" w:line="94" w:lineRule="exact"/>
        <w:rPr>
          <w:sz w:val="20"/>
          <w:szCs w:val="20"/>
          <w:color w:val="auto"/>
        </w:rPr>
      </w:pPr>
    </w:p>
    <w:p>
      <w:pPr>
        <w:jc w:val="both"/>
        <w:ind w:left="180" w:right="279" w:firstLine="324"/>
        <w:spacing w:after="0" w:line="224" w:lineRule="auto"/>
        <w:rPr>
          <w:sz w:val="20"/>
          <w:szCs w:val="20"/>
          <w:color w:val="auto"/>
        </w:rPr>
      </w:pPr>
      <w:r>
        <w:rPr>
          <w:rFonts w:ascii="Arial" w:cs="Arial" w:eastAsia="Arial" w:hAnsi="Arial"/>
          <w:sz w:val="18"/>
          <w:szCs w:val="18"/>
          <w:color w:val="auto"/>
        </w:rPr>
        <w:t>The Dodd-Frank Wall Street Reform and Consumer Protection Act of 2010 (the "Dodd-Frank Act") requires that our stockholders have the opportunity to cast a non-binding, advisory vote regarding the frequency we should conduct say-on-pay (similar to Proposal 3 above).</w:t>
      </w:r>
    </w:p>
    <w:p>
      <w:pPr>
        <w:spacing w:after="0" w:line="68"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We are required to hold a vote on the frequency of say-on-pay proposal at least once every six (6) years. As a result, we are again asking stockholders to vote on whether they would prefer an advisory vote every one, two or three years or you may abstain. The Board has determined that an advisory vote on executive compensation every year is</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the best approach for the Company. This recommendation is based on a number of considerations, including the following:</w:t>
      </w:r>
    </w:p>
    <w:p>
      <w:pPr>
        <w:spacing w:after="0" w:line="53" w:lineRule="exact"/>
        <w:rPr>
          <w:sz w:val="20"/>
          <w:szCs w:val="20"/>
          <w:color w:val="auto"/>
        </w:rPr>
      </w:pPr>
    </w:p>
    <w:p>
      <w:pPr>
        <w:ind w:left="1480" w:right="279" w:hanging="324"/>
        <w:spacing w:after="0" w:line="246"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Company has implemented a number of corporate governance best practices and this recommendation is in keeping with that direction; and</w:t>
      </w:r>
    </w:p>
    <w:p>
      <w:pPr>
        <w:spacing w:after="0" w:line="129" w:lineRule="exact"/>
        <w:rPr>
          <w:rFonts w:ascii="Arial" w:cs="Arial" w:eastAsia="Arial" w:hAnsi="Arial"/>
          <w:sz w:val="18"/>
          <w:szCs w:val="18"/>
          <w:color w:val="auto"/>
        </w:rPr>
      </w:pPr>
    </w:p>
    <w:p>
      <w:pPr>
        <w:ind w:left="1480" w:right="279" w:hanging="324"/>
        <w:spacing w:after="0" w:line="235"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cycle will provide our stockholders the opportunity to continue to make a non-binding vote on our executive compensation on an annual basis; and</w:t>
      </w:r>
    </w:p>
    <w:p>
      <w:pPr>
        <w:spacing w:after="0" w:line="134" w:lineRule="exact"/>
        <w:rPr>
          <w:rFonts w:ascii="Arial" w:cs="Arial" w:eastAsia="Arial" w:hAnsi="Arial"/>
          <w:sz w:val="18"/>
          <w:szCs w:val="18"/>
          <w:color w:val="auto"/>
        </w:rPr>
      </w:pPr>
    </w:p>
    <w:p>
      <w:pPr>
        <w:ind w:left="1480" w:right="279" w:hanging="324"/>
        <w:spacing w:after="0" w:line="235"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believes that it and its Compensation Committee benefit from getting this annual feedback from our stockholders.</w:t>
      </w:r>
    </w:p>
    <w:p>
      <w:pPr>
        <w:spacing w:after="0" w:line="135" w:lineRule="exact"/>
        <w:rPr>
          <w:sz w:val="20"/>
          <w:szCs w:val="20"/>
          <w:color w:val="auto"/>
        </w:rPr>
      </w:pPr>
    </w:p>
    <w:p>
      <w:pPr>
        <w:ind w:left="180" w:right="839" w:firstLine="324"/>
        <w:spacing w:after="0" w:line="348" w:lineRule="auto"/>
        <w:rPr>
          <w:sz w:val="20"/>
          <w:szCs w:val="20"/>
          <w:color w:val="auto"/>
        </w:rPr>
      </w:pPr>
      <w:r>
        <w:rPr>
          <w:rFonts w:ascii="Arial" w:cs="Arial" w:eastAsia="Arial" w:hAnsi="Arial"/>
          <w:sz w:val="18"/>
          <w:szCs w:val="18"/>
          <w:color w:val="auto"/>
        </w:rPr>
        <w:t xml:space="preserve">This vote is advisory in nature and therefore is not binding on our Board or our Compensation Committee. </w:t>
      </w:r>
      <w:r>
        <w:rPr>
          <w:rFonts w:ascii="Arial" w:cs="Arial" w:eastAsia="Arial" w:hAnsi="Arial"/>
          <w:sz w:val="18"/>
          <w:szCs w:val="18"/>
          <w:b w:val="1"/>
          <w:bCs w:val="1"/>
          <w:color w:val="auto"/>
        </w:rPr>
        <w:t>Vote Required</w:t>
      </w:r>
    </w:p>
    <w:p>
      <w:pPr>
        <w:spacing w:after="0" w:line="34"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The option receiving the greatest number of votes (every one, two or three years) will be considered the frequency approved by our stockholders. Although the vote is non-binding, the Board and our Compensation Committee intends to take into account the outcome of the stockholder vote on this proposal when making future decisions about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frequency for holding an advisory vote on executive compensation.</w:t>
      </w:r>
    </w:p>
    <w:p>
      <w:pPr>
        <w:spacing w:after="0" w:line="6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Chair Margaret Cotter and Vice-Chair Ellen Cotter, who hold, in the aggregate, voting control over an aggregate of 1,208,988 shares, or approximately 72% of our outstanding Class B Stock, have informed the Board that they intend to vote these shares in favor of one year when voting on the frequency of the advisory vote on the “say on pay”</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for our “named executive officers” discussed under Proposal 4 (the Advisory Vote on Executive Compensation Vote Frequency Proposal).</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Recommendaton of the Board</w:t>
      </w:r>
    </w:p>
    <w:p>
      <w:pPr>
        <w:spacing w:after="0" w:line="160" w:lineRule="exact"/>
        <w:rPr>
          <w:sz w:val="20"/>
          <w:szCs w:val="20"/>
          <w:color w:val="auto"/>
        </w:rPr>
      </w:pPr>
    </w:p>
    <w:p>
      <w:pPr>
        <w:ind w:left="700" w:right="659" w:hanging="123"/>
        <w:spacing w:after="0" w:line="297" w:lineRule="auto"/>
        <w:rPr>
          <w:sz w:val="20"/>
          <w:szCs w:val="20"/>
          <w:color w:val="auto"/>
        </w:rPr>
      </w:pPr>
      <w:r>
        <w:rPr>
          <w:rFonts w:ascii="Arial" w:cs="Arial" w:eastAsia="Arial" w:hAnsi="Arial"/>
          <w:sz w:val="18"/>
          <w:szCs w:val="18"/>
          <w:b w:val="1"/>
          <w:bCs w:val="1"/>
          <w:color w:val="auto"/>
        </w:rPr>
        <w:t>THE BOARD OF DIRECTORS RECOMMENDS A VOTE “FOR” ONE YEAR REGARDING THE FREQUENCY OF THE ADVISORY VOTE ON EXECUTIVE COMPENSATION PROPOSAL.</w:t>
      </w:r>
    </w:p>
    <w:p>
      <w:pPr>
        <w:spacing w:after="0" w:line="14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7" w:name="page28"/>
    <w:bookmarkEnd w:id="27"/>
    <w:p>
      <w:pPr>
        <w:ind w:left="540"/>
        <w:spacing w:after="0"/>
        <w:rPr>
          <w:sz w:val="20"/>
          <w:szCs w:val="20"/>
          <w:color w:val="auto"/>
        </w:rPr>
      </w:pPr>
      <w:r>
        <w:rPr>
          <w:rFonts w:ascii="Arial" w:cs="Arial" w:eastAsia="Arial" w:hAnsi="Arial"/>
          <w:sz w:val="18"/>
          <w:szCs w:val="18"/>
          <w:b w:val="1"/>
          <w:bCs w:val="1"/>
          <w:color w:val="auto"/>
        </w:rPr>
        <w:t>PROPOSAL 5: APPROVAL OF AN AMENDMENT TO THE READING INTERNATIONAL, INC. 2020</w:t>
      </w:r>
    </w:p>
    <w:p>
      <w:pPr>
        <w:ind w:left="200"/>
        <w:spacing w:after="0" w:line="205" w:lineRule="auto"/>
        <w:rPr>
          <w:sz w:val="20"/>
          <w:szCs w:val="20"/>
          <w:color w:val="auto"/>
        </w:rPr>
      </w:pPr>
      <w:r>
        <w:rPr>
          <w:rFonts w:ascii="Arial" w:cs="Arial" w:eastAsia="Arial" w:hAnsi="Arial"/>
          <w:sz w:val="18"/>
          <w:szCs w:val="18"/>
          <w:b w:val="1"/>
          <w:bCs w:val="1"/>
          <w:color w:val="auto"/>
        </w:rPr>
        <w:t>STOCK INCENTIVE PLAN TO INCREASE THE NUMBER OF SHARES OF CLASS A COMMON STOCK</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RESERVED FOR ISSUANCE THEREUNDER</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ind w:left="180" w:right="279" w:firstLine="324"/>
        <w:spacing w:after="0" w:line="259" w:lineRule="auto"/>
        <w:rPr>
          <w:sz w:val="20"/>
          <w:szCs w:val="20"/>
          <w:color w:val="auto"/>
        </w:rPr>
      </w:pPr>
      <w:r>
        <w:rPr>
          <w:rFonts w:ascii="Arial" w:cs="Arial" w:eastAsia="Arial" w:hAnsi="Arial"/>
          <w:sz w:val="16"/>
          <w:szCs w:val="16"/>
          <w:color w:val="auto"/>
        </w:rPr>
        <w:t>At the Annual Meeting, our stockholders will be asked to approve an amendment (the “Stock Plan Amendment”) to the Reading International, Inc. 2020 Stock Incentive Plan (the “2020 Stock Plan”) to increase the number of shares of Class A Stock reserved for issuance under the 2020 Stock Plan by an additional 971,807 shares of Class A Stock.</w:t>
      </w:r>
    </w:p>
    <w:p>
      <w:pPr>
        <w:spacing w:after="0" w:line="52"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As of October 18, 2023, there were 278,193 shares of Class A Stock remaining available for issuance under the 2020 Stock Plan and available for future grants or awards. The purpose of the amendment is to ensure that we will continue to have a sufficient reserve of Common Stock available under the 2020 Stock Plan and will be able to</w:t>
      </w:r>
    </w:p>
    <w:p>
      <w:pPr>
        <w:spacing w:after="0" w:line="2"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maintain our equity incentive compensation program. Subject to the approval of stockholders, our Board adopted the amendment to the 2020 Stock Plan on October 26, 2023, to increase the number of shares of Class A Stock remaining available for issuance under the 2020 Stock Plan by 971,807 shares of Class A Stock.</w:t>
      </w:r>
    </w:p>
    <w:p>
      <w:pPr>
        <w:spacing w:after="0" w:line="68"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We strongly believe that the approval of the amendment to the 2020 Stock Plan is essential to our continued success. Our Board and management believe that equity awards motivate high levels of performance, align the interests of our employees and stockholders by giving directors, employees and consultants the perspective of owners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with an equity stake in our Company, and provide an effective means of recognizing their contributions to the success of our Company. Our Board and management believe that equity awards are necessary to remain competitive in our industry and are essential to recruiting and retaining the highly qualified employees who help us meet our goals. Our</w:t>
      </w:r>
    </w:p>
    <w:p>
      <w:pPr>
        <w:spacing w:after="0" w:line="2" w:lineRule="exact"/>
        <w:rPr>
          <w:sz w:val="20"/>
          <w:szCs w:val="20"/>
          <w:color w:val="auto"/>
        </w:rPr>
      </w:pPr>
    </w:p>
    <w:p>
      <w:pPr>
        <w:ind w:left="180" w:right="979"/>
        <w:spacing w:after="0" w:line="314" w:lineRule="auto"/>
        <w:rPr>
          <w:sz w:val="20"/>
          <w:szCs w:val="20"/>
          <w:color w:val="auto"/>
        </w:rPr>
      </w:pPr>
      <w:r>
        <w:rPr>
          <w:rFonts w:ascii="Arial" w:cs="Arial" w:eastAsia="Arial" w:hAnsi="Arial"/>
          <w:sz w:val="18"/>
          <w:szCs w:val="18"/>
          <w:color w:val="auto"/>
        </w:rPr>
        <w:t xml:space="preserve">Board and management believe that the ability to grant equity awards will be important to our future success. </w:t>
      </w:r>
      <w:r>
        <w:rPr>
          <w:rFonts w:ascii="Arial" w:cs="Arial" w:eastAsia="Arial" w:hAnsi="Arial"/>
          <w:sz w:val="18"/>
          <w:szCs w:val="18"/>
          <w:b w:val="1"/>
          <w:bCs w:val="1"/>
          <w:u w:val="single" w:color="auto"/>
          <w:color w:val="auto"/>
        </w:rPr>
        <w:t>New Plan Benefts</w:t>
      </w:r>
    </w:p>
    <w:p>
      <w:pPr>
        <w:spacing w:after="0" w:line="63" w:lineRule="exact"/>
        <w:rPr>
          <w:sz w:val="20"/>
          <w:szCs w:val="20"/>
          <w:color w:val="auto"/>
        </w:rPr>
      </w:pPr>
    </w:p>
    <w:p>
      <w:pPr>
        <w:jc w:val="both"/>
        <w:ind w:left="180" w:right="279" w:firstLine="324"/>
        <w:spacing w:after="0" w:line="224" w:lineRule="auto"/>
        <w:rPr>
          <w:sz w:val="20"/>
          <w:szCs w:val="20"/>
          <w:color w:val="auto"/>
        </w:rPr>
      </w:pPr>
      <w:r>
        <w:rPr>
          <w:rFonts w:ascii="Arial" w:cs="Arial" w:eastAsia="Arial" w:hAnsi="Arial"/>
          <w:sz w:val="18"/>
          <w:szCs w:val="18"/>
          <w:color w:val="auto"/>
        </w:rPr>
        <w:t>Awards granted under the 2020 Stock Plan, as amended, will be subject to our Board’s discretion, and our Board has not determined future awards or who might receive them. As a result, as of the Record Date the benefits that will be awarded or paid under the 2020 Stock Plan, as amended, are not determinable.</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SUMMARY OF 2020 STOCK INCENTIVE PLAN, AS AMENDED</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The 2020 Stock was adopted by the Board on November 4, 2020, and approved by the stockholders at the 2020 Annual Meeting. The following is a summary of the material features of the 2020 Stock Plan, as amended by the Stock Incentive Plan Amendment, which does not purport to be complete and is qualified by the specific provisions of</w:t>
      </w:r>
    </w:p>
    <w:p>
      <w:pPr>
        <w:spacing w:after="0" w:line="2"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the Stock Incentive Plan and the Stock Incentive Plan Amendment. A copy of the 2020 Stock Plan is included as Appendix A to the Company’s Proxy Statement filed with the Securities and Exchange Commission on November 6, 2020. Please also see Appendix A for a copy of the Stock Incentive Plan Amendment.</w:t>
      </w:r>
    </w:p>
    <w:p>
      <w:pPr>
        <w:spacing w:after="0" w:line="68" w:lineRule="exact"/>
        <w:rPr>
          <w:sz w:val="20"/>
          <w:szCs w:val="20"/>
          <w:color w:val="auto"/>
        </w:rPr>
      </w:pPr>
    </w:p>
    <w:p>
      <w:pPr>
        <w:jc w:val="both"/>
        <w:ind w:left="180" w:right="279" w:firstLine="324"/>
        <w:spacing w:after="0" w:line="286" w:lineRule="auto"/>
        <w:rPr>
          <w:sz w:val="20"/>
          <w:szCs w:val="20"/>
          <w:color w:val="auto"/>
        </w:rPr>
      </w:pPr>
      <w:r>
        <w:rPr>
          <w:rFonts w:ascii="Arial" w:cs="Arial" w:eastAsia="Arial" w:hAnsi="Arial"/>
          <w:sz w:val="16"/>
          <w:szCs w:val="16"/>
          <w:color w:val="auto"/>
        </w:rPr>
        <w:t>The material terms of the 2020 Stock Plan are summarized below. This summary is qualified in its entirety by reference to the full text of the 2020 Stock Plan, a copy of which is set forth as Appendix A to this Proxy Statement.</w:t>
      </w:r>
    </w:p>
    <w:p>
      <w:pPr>
        <w:ind w:left="180"/>
        <w:spacing w:after="0"/>
        <w:rPr>
          <w:sz w:val="20"/>
          <w:szCs w:val="20"/>
          <w:color w:val="auto"/>
        </w:rPr>
      </w:pPr>
      <w:r>
        <w:rPr>
          <w:rFonts w:ascii="Arial" w:cs="Arial" w:eastAsia="Arial" w:hAnsi="Arial"/>
          <w:sz w:val="18"/>
          <w:szCs w:val="18"/>
          <w:b w:val="1"/>
          <w:bCs w:val="1"/>
          <w:color w:val="auto"/>
        </w:rPr>
        <w:t>General</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2020 Stock Plan provides for awards of incentive stock options, nonstatutory stock options, stock bonuses,</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rights to acquire restricted stock, stock appreciation rights (“SARs”) and restricted stock units (“RSUs”). Incentive stock options granted under the 2020 Stock Plan are intended to qualify as “incentive stock options” within the meaning of Section 422 of the Internal Revenue Code of 1986, as amended (the “Code”). Nonstatutory stock options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granted under the 2020 Stock Plan are not intended to qualify as incentive stock options under the Code. RSUs under the 2020 Stock Plan may be earned upon the passage of time or the attainment of performance criteria established by our Board. See “Federal Income Tax Information” for a discussion of the principal federal income tax consequences of</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under the 2020 Stock Plan.</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Purpose</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Our Board adopted the 2020 Stock Plan to provide a means by which employees, directors and consultants of Reading and our affiliates may be given an opportunity to benefit from increases in value of our Common Stock, to assist in attracting and retaining the services of such persons, to bind the interests of eligible recipients more closely to</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Plan.</w:t>
      </w:r>
    </w:p>
    <w:p>
      <w:pPr>
        <w:spacing w:after="0" w:line="17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8" w:name="page29"/>
    <w:bookmarkEnd w:id="28"/>
    <w:p>
      <w:pPr>
        <w:ind w:left="180"/>
        <w:spacing w:after="0"/>
        <w:rPr>
          <w:sz w:val="20"/>
          <w:szCs w:val="20"/>
          <w:color w:val="auto"/>
        </w:rPr>
      </w:pPr>
      <w:r>
        <w:rPr>
          <w:rFonts w:ascii="Arial" w:cs="Arial" w:eastAsia="Arial" w:hAnsi="Arial"/>
          <w:sz w:val="18"/>
          <w:szCs w:val="18"/>
          <w:b w:val="1"/>
          <w:bCs w:val="1"/>
          <w:color w:val="auto"/>
        </w:rPr>
        <w:t>Administraton</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it delegates administration to a committee as described below, our Board will administer the 2020 Stock</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Plan. Subject to the provisions of the 2020 Stock Incentive Plan, our Board has the power to construe and interpret the 2020 Stock Plan and to determine the persons to whom and the dates on which awards will be granted, what types or combinations of types of awards will be granted, the number of shares of Common Stock to be subject to each award,</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the time or times during the term of each award within which all or a portion of such award may be exercised, the exercise price or purchase price of each award, the types of consideration permitted to exercise or purchase each award and other terms of the awards. Our Board has the power to delegate administration of the 2020 Stock Plan to a</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committee. In the discretion of the Board, a committee may consist solely of two or more “Non-Employee Directors” (as such terms are defined in the 2020 Stock Plan). Within the scope of such authority, the committee may delegate to the Chairperson of the Board the authority to grant awards to eligible persons who are not then subject to Section 16</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 the Securities Exchange Act of 1934 and are not “covered employees” as defined in the 2020 Stock Plan.</w:t>
      </w:r>
    </w:p>
    <w:p>
      <w:pPr>
        <w:spacing w:after="0" w:line="72"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Our Board has delegated administration of the 2020 Stock Plan to the Compensation and Stock Options Committee of our Board, and has delegated to our Chairperson the authority to grant awards to eligible persons who</w:t>
      </w:r>
    </w:p>
    <w:p>
      <w:pPr>
        <w:jc w:val="both"/>
        <w:ind w:left="180" w:right="279"/>
        <w:spacing w:after="0" w:line="234" w:lineRule="auto"/>
        <w:rPr>
          <w:sz w:val="20"/>
          <w:szCs w:val="20"/>
          <w:color w:val="auto"/>
        </w:rPr>
      </w:pPr>
      <w:r>
        <w:rPr>
          <w:rFonts w:ascii="Arial" w:cs="Arial" w:eastAsia="Arial" w:hAnsi="Arial"/>
          <w:sz w:val="16"/>
          <w:szCs w:val="16"/>
          <w:color w:val="auto"/>
        </w:rPr>
        <w:t>are not then subject to Section 16 of the Securities and Exchange Act of 1934 and are not “covered employees” as defined in the 2020 Stock Plan. As used in this section with respect to the 2020 Stock Plan, references to the Board include the Compensation and Stock Options Committee of our Board or any other committee to which our Board has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delegated administration of the 2020 Stock Plan.</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Stock Subject to the 2020 Stock Incentve Plan</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Subject to the provisions of subsection 11(a) of the 2020 Stock Plan relating to adjustments upon changes in common stock, an aggregate of 2,221,807 shares of Class A Stock and 200,000 shares of Class B Stock will initially be reserved for issuance under the 2020 Stock Plan. If any awards that were outstanding under the 2010 Plan as of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day before the date on which the Board approved the 2020 Stock Plan are subsequently forfeited or if the related shares are repurchased, a corresponding number of shares will automatically become available for issuance under the 2020 Stock Plan, thus resulting in an increase in the number of shares available for issuance under the 2020 Stock</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Plan. If all awards outstanding under the 2010 Plan as of the day before the date on which the Board approved the 2020 Stock Plan were forfeited, the maximum number of shares of Common Stock that may be issued pursuant to stock awards under the 2020 Stock Plan would be 3,074,811 shares of Class A Stock, and 200,000 shares of Class B</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Stock. If awards granted under the 2020 Stock Plan or the 2010 Plan expire or otherwise terminate without being exercised in full, the shares of Common Stock not acquired pursuant to such awards will again become available for issuance under the 2020 Stock Plan. If shares of Common Stock issued pursuant to awards under the 2020 Stock Plan</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are forfeited to or repurchased by us, the forfeited or repurchased stock will again become available for issuance under the 2020 Stock Plan. If shares of Common Stock subject to an award under the 2020 Stock Plan or the 2010 Plan are not delivered to a participant because such shares are withheld for payment of taxes incurred in connection with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exercise of an award, or because the award is exercised through a reduction of shares subject to the award (“net exercised”), in the case of awards under the 2020 Stock Incentive Plan the undelivered shares will no longer be available for issuance under the 2020 Stock Plan and in the case of awards under the 2010 Plan will not result in an</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increase in the number of shares available for issuance under the 2020 Stock Plan. If the exercise price of any award is satisfied by the tender of shares of Common Stock to us, in the case of awards under the 2020 Stock Plan the shares tendered will not be available for issuance under the 2020 Stock Plan and in the case of awards under the 2010 Plan</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the shares tendered will not result in an increase in the number of shares available for issuance under the 2020 Stock Plan. The maximum number of shares that may be issued upon the exercise of Incentive Stock Options shall not exceed 3,074,811 shares of Class A Stock and 200,000 shares of Class B Stock.</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Eligibility</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Incentive stock options may be granted under the 2020 Stock Incentive Plan only to employees of the Company and its affiliates. Employees, directors and consultants of the Company and its affiliates are eligible to receive all other types of awards under the 2020 Stock Incentive Plan. No incentive stock option may be granted under the 2020 Stock</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Incentive Plan to any person who, at the time of the grant, owns (or is deemed to own) stock possessing more than 10% of the total combined voting power of the Company or any affiliate of the Company, unless the exercise price is at least 110% of the fair market value of the stock subject to the option on the date of grant and the term of the option</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does not exceed five years from the date of grant. In addition, to the extent the aggregate fair market value, determined at the time of grant, of the shares of Common Stock with respect to which incentive stock options are exercisable for the first time by any option holder during any calendar year (under the 2020 Stock Incentive Plan and any other such</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plans of the Company and its affiliates) exceeds $100,000, then the options which exceed such limit</w:t>
      </w:r>
    </w:p>
    <w:p>
      <w:pPr>
        <w:spacing w:after="0" w:line="1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9" w:name="page30"/>
    <w:bookmarkEnd w:id="29"/>
    <w:p>
      <w:pPr>
        <w:jc w:val="both"/>
        <w:ind w:left="180" w:right="279"/>
        <w:spacing w:after="0" w:line="246" w:lineRule="auto"/>
        <w:rPr>
          <w:sz w:val="20"/>
          <w:szCs w:val="20"/>
          <w:color w:val="auto"/>
        </w:rPr>
      </w:pPr>
      <w:r>
        <w:rPr>
          <w:rFonts w:ascii="Arial" w:cs="Arial" w:eastAsia="Arial" w:hAnsi="Arial"/>
          <w:sz w:val="18"/>
          <w:szCs w:val="18"/>
          <w:color w:val="auto"/>
        </w:rPr>
        <w:t>are treated as nonstatutory stock options. As of the record date, the Company and its subsidiaries had approximately 439 employees, and 5 non-employee directors.</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Terms of Optons</w:t>
      </w:r>
    </w:p>
    <w:p>
      <w:pPr>
        <w:spacing w:after="0" w:line="151"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Options may be granted under the 2020 Stock Incentive Plan pursuant to stock option agreements. The following is a description of the permissible terms of options under the 2020 Stock Incentive Plan. Individual option grants may</w:t>
      </w:r>
    </w:p>
    <w:p>
      <w:pPr>
        <w:ind w:left="180"/>
        <w:spacing w:after="0"/>
        <w:rPr>
          <w:sz w:val="20"/>
          <w:szCs w:val="20"/>
          <w:color w:val="auto"/>
        </w:rPr>
      </w:pPr>
      <w:r>
        <w:rPr>
          <w:rFonts w:ascii="Arial" w:cs="Arial" w:eastAsia="Arial" w:hAnsi="Arial"/>
          <w:sz w:val="18"/>
          <w:szCs w:val="18"/>
          <w:color w:val="auto"/>
        </w:rPr>
        <w:t>be more restrictive as to any or all of the permissible terms described below.</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Exercise Price; Payment</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The exercise price of incentive stock options may not be less than the fair market value of the Common Stock subject to the option on the date of the grant and, in some cases (see “Eligibility” above), may not be less than 110% of such fair market value. The exercise price of nonstatutory options may not be less than the fair market value of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Common Stock on the date of grant. The exercise price of options granted under the 2020 Stock Incentive Plan must be paid, at the election of the option holder, either (i) in cash at the time the option is exercised, (ii) by delivery of other Company Common Stock, (iii) pursuant to a net exercise arrangement, (iv) pursuant to a cashless exercise, or (v)</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any other form of legal consideration acceptable to our Board.</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Vestng</w:t>
      </w:r>
    </w:p>
    <w:p>
      <w:pPr>
        <w:spacing w:after="0" w:line="151"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Options granted under the 2020 Stock Incentive Plan may become exercisable in cumulative increments, or “vest,” as determined by the Board. Our Board has the power to accelerate the time as of which an option may vest or</w:t>
      </w:r>
    </w:p>
    <w:p>
      <w:pPr>
        <w:ind w:left="180"/>
        <w:spacing w:after="0"/>
        <w:rPr>
          <w:sz w:val="20"/>
          <w:szCs w:val="20"/>
          <w:color w:val="auto"/>
        </w:rPr>
      </w:pPr>
      <w:r>
        <w:rPr>
          <w:rFonts w:ascii="Arial" w:cs="Arial" w:eastAsia="Arial" w:hAnsi="Arial"/>
          <w:sz w:val="18"/>
          <w:szCs w:val="18"/>
          <w:color w:val="auto"/>
        </w:rPr>
        <w:t>be exercised.</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Withholding</w:t>
      </w:r>
    </w:p>
    <w:p>
      <w:pPr>
        <w:spacing w:after="0" w:line="151" w:lineRule="exact"/>
        <w:rPr>
          <w:sz w:val="20"/>
          <w:szCs w:val="20"/>
          <w:color w:val="auto"/>
        </w:rPr>
      </w:pPr>
    </w:p>
    <w:p>
      <w:pPr>
        <w:jc w:val="both"/>
        <w:ind w:left="180" w:right="279" w:firstLine="324"/>
        <w:spacing w:after="0" w:line="233" w:lineRule="auto"/>
        <w:rPr>
          <w:sz w:val="20"/>
          <w:szCs w:val="20"/>
          <w:color w:val="auto"/>
        </w:rPr>
      </w:pPr>
      <w:r>
        <w:rPr>
          <w:rFonts w:ascii="Arial" w:cs="Arial" w:eastAsia="Arial" w:hAnsi="Arial"/>
          <w:sz w:val="17"/>
          <w:szCs w:val="17"/>
          <w:color w:val="auto"/>
        </w:rPr>
        <w:t>To the extent provided by the terms of an option, a participant may satisfy any federal, state or local tax withholding obligation relating to the exercise of such option by a cash payment upon exercise, by authorizing the</w:t>
      </w:r>
    </w:p>
    <w:p>
      <w:pPr>
        <w:spacing w:after="0" w:line="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Company to withhold a portion of the stock otherwise issuable to the participant, by delivering already-owned the Company common stock or by a combination of these means.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Term</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maximum term of options under the 2020 Stock Incentive Plan is ten years, except that in certain cases (see</w:t>
      </w:r>
    </w:p>
    <w:p>
      <w:pPr>
        <w:spacing w:after="0" w:line="21" w:lineRule="exact"/>
        <w:rPr>
          <w:sz w:val="20"/>
          <w:szCs w:val="20"/>
          <w:color w:val="auto"/>
        </w:rPr>
      </w:pPr>
    </w:p>
    <w:p>
      <w:pPr>
        <w:jc w:val="both"/>
        <w:ind w:left="180" w:right="279"/>
        <w:spacing w:after="0" w:line="233" w:lineRule="auto"/>
        <w:rPr>
          <w:sz w:val="20"/>
          <w:szCs w:val="20"/>
          <w:color w:val="auto"/>
        </w:rPr>
      </w:pPr>
      <w:r>
        <w:rPr>
          <w:rFonts w:ascii="Arial" w:cs="Arial" w:eastAsia="Arial" w:hAnsi="Arial"/>
          <w:sz w:val="16"/>
          <w:szCs w:val="16"/>
          <w:color w:val="auto"/>
        </w:rPr>
        <w:t>“Eligibility”) the maximum term is five years. Options awarded under the 2020 Stock Incentive Plan generally will terminate three months after termination of the participant’s service unless: (i) such termination is due to the participant’s permanent and total disability (as defined in the Code), in which case the option may, but need not, provide that it may be exercised (to the extent the option was exercisable at the time of the termination of service) at</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any time within 12 months of such termination; (ii) the participant dies before the participant's service has terminated or within the period (if any) specified in the stock option agreement after termination of such service for a reason other than death, in which case the option may, but need not, provide that it may be exercised (to the extent the option was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exercisable at the time of the participant’s death) within 12 months following the participant’s death by the person or persons to whom the rights to such option pass by will or by the laws of descent and distribution; or (iii) the option, by its terms, specifically provides otherwise. A participant may designate a beneficiary who may exercise the option</w:t>
      </w:r>
    </w:p>
    <w:p>
      <w:pPr>
        <w:spacing w:after="0" w:line="2" w:lineRule="exact"/>
        <w:rPr>
          <w:sz w:val="20"/>
          <w:szCs w:val="20"/>
          <w:color w:val="auto"/>
        </w:rPr>
      </w:pPr>
    </w:p>
    <w:p>
      <w:pPr>
        <w:jc w:val="both"/>
        <w:ind w:left="180" w:right="279"/>
        <w:spacing w:after="0" w:line="221" w:lineRule="auto"/>
        <w:rPr>
          <w:sz w:val="20"/>
          <w:szCs w:val="20"/>
          <w:color w:val="auto"/>
        </w:rPr>
      </w:pPr>
      <w:r>
        <w:rPr>
          <w:rFonts w:ascii="Arial" w:cs="Arial" w:eastAsia="Arial" w:hAnsi="Arial"/>
          <w:sz w:val="17"/>
          <w:szCs w:val="17"/>
          <w:color w:val="auto"/>
        </w:rPr>
        <w:t>following the participant’s death. Individual option grants by their terms may provide for exercise within a longer period of time following termination of service. A participant’s option agreement may provide that if the exercise of the option following the termination of the participant’s service would be prohibited because the issuance of stock</w:t>
      </w:r>
    </w:p>
    <w:p>
      <w:pPr>
        <w:jc w:val="both"/>
        <w:ind w:left="180" w:right="279"/>
        <w:spacing w:after="0" w:line="218" w:lineRule="auto"/>
        <w:rPr>
          <w:sz w:val="20"/>
          <w:szCs w:val="20"/>
          <w:color w:val="auto"/>
        </w:rPr>
      </w:pPr>
      <w:r>
        <w:rPr>
          <w:rFonts w:ascii="Arial" w:cs="Arial" w:eastAsia="Arial" w:hAnsi="Arial"/>
          <w:sz w:val="18"/>
          <w:szCs w:val="18"/>
          <w:color w:val="auto"/>
        </w:rPr>
        <w:t>would violate the registration requirements under the Securities Act of 1933, then the option will terminate on the earlier of (i) the expiration of the term of the option or (ii) three months after the first date on which the exercise of the option would not be in violation of such registration requirements.</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Restrictons on Transfer</w:t>
      </w:r>
    </w:p>
    <w:p>
      <w:pPr>
        <w:spacing w:after="0" w:line="151" w:lineRule="exact"/>
        <w:rPr>
          <w:sz w:val="20"/>
          <w:szCs w:val="20"/>
          <w:color w:val="auto"/>
        </w:rPr>
      </w:pPr>
    </w:p>
    <w:p>
      <w:pPr>
        <w:jc w:val="both"/>
        <w:ind w:left="180" w:right="279" w:firstLine="324"/>
        <w:spacing w:after="0" w:line="259" w:lineRule="auto"/>
        <w:rPr>
          <w:sz w:val="20"/>
          <w:szCs w:val="20"/>
          <w:color w:val="auto"/>
        </w:rPr>
      </w:pPr>
      <w:r>
        <w:rPr>
          <w:rFonts w:ascii="Arial" w:cs="Arial" w:eastAsia="Arial" w:hAnsi="Arial"/>
          <w:sz w:val="16"/>
          <w:szCs w:val="16"/>
          <w:color w:val="auto"/>
        </w:rPr>
        <w:t>The participant may not transfer an incentive stock option otherwise than by will or by the laws of descent and distribution. During the lifetime of the participant, only the participant may exercise an incentive stock option. The Board may grant nonstatutory stock options that are transferable to the extent provided in the stock option agreement.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Terms of Stock Bonus Awards, Restricted Stock Awards, SARs, and RSUs</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Stock bonus awards may be granted under the 2020 Stock Incentive Plan pursuant to stock bonus agreements. Restricted stock awards may be granted under the 2020 Stock Incentive Plan pursuant to restricted stock purchase agreements. SARs may be granted under the 2020 Stock Incentive Plan pursuant to stock appreciation right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agreements. RSUs may be granted under the 2020 Stock Incentive Plan pursuant to restricted stock unit agreements.</w:t>
      </w:r>
    </w:p>
    <w:p>
      <w:pPr>
        <w:spacing w:after="0" w:line="19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0" w:name="page31"/>
    <w:bookmarkEnd w:id="30"/>
    <w:p>
      <w:pPr>
        <w:ind w:left="180"/>
        <w:spacing w:after="0"/>
        <w:rPr>
          <w:sz w:val="20"/>
          <w:szCs w:val="20"/>
          <w:color w:val="auto"/>
        </w:rPr>
      </w:pPr>
      <w:r>
        <w:rPr>
          <w:rFonts w:ascii="Arial" w:cs="Arial" w:eastAsia="Arial" w:hAnsi="Arial"/>
          <w:sz w:val="18"/>
          <w:szCs w:val="18"/>
          <w:b w:val="1"/>
          <w:bCs w:val="1"/>
          <w:color w:val="auto"/>
        </w:rPr>
        <w:t>Payment</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Board determines the purchase price under a restricted stock purchase agreement, but the purchase price may</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not be less than the par value, if any, of the Common Stock on the date such award is made or at the time the purchase is consummated. Our Board may award stock bonuses in consideration of past services without a purchase payment. The purchase price of SARs must be at a “strike price” of not less than the fair market value of the stock on the date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the SAR is awarded. The purchase price of stock acquired pursuant to a restricted stock purchase agreement or SARs under the 2020 Stock Incentive Plan must be paid either in cash at the time of purchase, in shares of Common Stock or in any other form of legal consideration acceptable to the Board. An RSU may be awarded upon the passage of time,</w:t>
      </w:r>
    </w:p>
    <w:p>
      <w:pPr>
        <w:spacing w:after="0" w:line="2" w:lineRule="exact"/>
        <w:rPr>
          <w:sz w:val="20"/>
          <w:szCs w:val="20"/>
          <w:color w:val="auto"/>
        </w:rPr>
      </w:pPr>
    </w:p>
    <w:p>
      <w:pPr>
        <w:ind w:left="180" w:right="399"/>
        <w:spacing w:after="0" w:line="314" w:lineRule="auto"/>
        <w:rPr>
          <w:sz w:val="20"/>
          <w:szCs w:val="20"/>
          <w:color w:val="auto"/>
        </w:rPr>
      </w:pPr>
      <w:r>
        <w:rPr>
          <w:rFonts w:ascii="Arial" w:cs="Arial" w:eastAsia="Arial" w:hAnsi="Arial"/>
          <w:sz w:val="18"/>
          <w:szCs w:val="18"/>
          <w:color w:val="auto"/>
        </w:rPr>
        <w:t xml:space="preserve">the attainment of performance criteria or the satisfaction or occurrence of such other events established by the Board. </w:t>
      </w:r>
      <w:r>
        <w:rPr>
          <w:rFonts w:ascii="Arial" w:cs="Arial" w:eastAsia="Arial" w:hAnsi="Arial"/>
          <w:sz w:val="18"/>
          <w:szCs w:val="18"/>
          <w:b w:val="1"/>
          <w:bCs w:val="1"/>
          <w:color w:val="auto"/>
        </w:rPr>
        <w:t>Vestng</w:t>
      </w:r>
    </w:p>
    <w:p>
      <w:pPr>
        <w:spacing w:after="0" w:line="63"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Shares of stock awarded under a stock bonus agreement may, but need not, be subject to a repurchase option in favor of the Company in accordance with a vesting schedule as determined by the Board. Unless the stock bonus agreement provides otherwise, all shares subject to the agreement will become fully vested upon the occurrence of a</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“Corporate Transaction” (as such term is defined in the 2020 Stock Incentive Plan) pursuant to subsection 11(c) of the 2020 Stock Incentive Plan. Shares of stock acquired under the restricted stock purchase agreement may, but need not, be subject to forfeiture to the Company or be subject to other restrictions that will lapse in accordance with a vesting</w:t>
      </w:r>
    </w:p>
    <w:p>
      <w:pPr>
        <w:spacing w:after="0" w:line="2" w:lineRule="exact"/>
        <w:rPr>
          <w:sz w:val="20"/>
          <w:szCs w:val="20"/>
          <w:color w:val="auto"/>
        </w:rPr>
      </w:pPr>
    </w:p>
    <w:p>
      <w:pPr>
        <w:ind w:left="180" w:right="639"/>
        <w:spacing w:after="0" w:line="314" w:lineRule="auto"/>
        <w:rPr>
          <w:sz w:val="20"/>
          <w:szCs w:val="20"/>
          <w:color w:val="auto"/>
        </w:rPr>
      </w:pPr>
      <w:r>
        <w:rPr>
          <w:rFonts w:ascii="Arial" w:cs="Arial" w:eastAsia="Arial" w:hAnsi="Arial"/>
          <w:sz w:val="18"/>
          <w:szCs w:val="18"/>
          <w:color w:val="auto"/>
        </w:rPr>
        <w:t xml:space="preserve">schedule to be determined by the Board. SARs and RSUs may be subject to vesting at the discretion of the Board. </w:t>
      </w:r>
      <w:r>
        <w:rPr>
          <w:rFonts w:ascii="Arial" w:cs="Arial" w:eastAsia="Arial" w:hAnsi="Arial"/>
          <w:sz w:val="18"/>
          <w:szCs w:val="18"/>
          <w:b w:val="1"/>
          <w:bCs w:val="1"/>
          <w:color w:val="auto"/>
        </w:rPr>
        <w:t>Terminaton of Service</w:t>
      </w:r>
    </w:p>
    <w:p>
      <w:pPr>
        <w:spacing w:after="0" w:line="63"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Upon termination of a participant’s service, the Company may reacquire any shares of stock that have not vested as of such termination under the terms of the stock bonus agreement. The Company will not exercise its repurchase</w:t>
      </w:r>
    </w:p>
    <w:p>
      <w:pPr>
        <w:jc w:val="both"/>
        <w:ind w:left="180" w:right="279"/>
        <w:spacing w:after="0" w:line="221" w:lineRule="auto"/>
        <w:rPr>
          <w:sz w:val="20"/>
          <w:szCs w:val="20"/>
          <w:color w:val="auto"/>
        </w:rPr>
      </w:pPr>
      <w:r>
        <w:rPr>
          <w:rFonts w:ascii="Arial" w:cs="Arial" w:eastAsia="Arial" w:hAnsi="Arial"/>
          <w:sz w:val="17"/>
          <w:szCs w:val="17"/>
          <w:color w:val="auto"/>
        </w:rPr>
        <w:t>option until at least six months (or such longer or shorter period of time required to avoid a change to earnings for financial accounting purposes) have elapsed following receipt of the stock bonus unless otherwise specifically provided in the stock bonus agreement. Upon termination of a participant’s service, any or all of the shares of</w:t>
      </w:r>
    </w:p>
    <w:p>
      <w:pPr>
        <w:jc w:val="both"/>
        <w:ind w:left="180" w:right="279"/>
        <w:spacing w:after="0" w:line="234" w:lineRule="auto"/>
        <w:rPr>
          <w:sz w:val="20"/>
          <w:szCs w:val="20"/>
          <w:color w:val="auto"/>
        </w:rPr>
      </w:pPr>
      <w:r>
        <w:rPr>
          <w:rFonts w:ascii="Arial" w:cs="Arial" w:eastAsia="Arial" w:hAnsi="Arial"/>
          <w:sz w:val="16"/>
          <w:szCs w:val="16"/>
          <w:color w:val="auto"/>
        </w:rPr>
        <w:t>Common Stock held by the participant that have not vested as of the date of termination under the terms of a restricted stock purchase agreement will be forfeited to the Company in accordance with the restricted stock purchase agreement. Upon termination of a participant’s service, any SARs that have not vested as of the date of termination</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will be forfeited. SARs awarded under the 2020 Stock Incentive Plan generally will terminate three months after termination of the participant’s service unless: (i) such termination is due to the participant’s permanent and total disability (as defined in the Code), in which case the SAR may, but need not, provide that it may be exercised (to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extent the SAR was exercisable at the time of the termination of service) at any time within 12 months of such termination; (ii) the participant dies before the participant's service has terminated or within the period (if any) specified in the SAR agreement after termination of such service for a reason other than death, in which case the SAR</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may, but need not, provide that it may be exercised (to the extent the SAR was exercisable at the time of the participant’s death) within 12 months following the participant’s death by the person or persons to whom the rights to such SAR pass by will or by the laws of descent and distribution; or (iii) the SAR, by its terms, specifically provides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otherwise. A participant may designate a beneficiary who may exercise the SAR following the participant’s death. Individual SAR grants by their terms may provide for exercise within a longer period of time following termination of service. Upon termination of a participant’s service, any RSUs that have not vested as of the date of termination will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 forfeited to the Company.</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Restrictons on Transfer</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Rights under a stock bonus agreement or restricted stock purchase agreement may not be transferred except where such transfer is expressly authorized by the terms of the applicable stock bonus agreement or restricted stock purchase agreement. An RSU is subject to similar transfer restrictions as awards of restricted stock, except that no shares are</w:t>
      </w:r>
    </w:p>
    <w:p>
      <w:pPr>
        <w:spacing w:after="0" w:line="2" w:lineRule="exact"/>
        <w:rPr>
          <w:sz w:val="20"/>
          <w:szCs w:val="20"/>
          <w:color w:val="auto"/>
        </w:rPr>
      </w:pPr>
    </w:p>
    <w:p>
      <w:pPr>
        <w:jc w:val="both"/>
        <w:ind w:left="180" w:right="279"/>
        <w:spacing w:after="0" w:line="268" w:lineRule="auto"/>
        <w:rPr>
          <w:sz w:val="20"/>
          <w:szCs w:val="20"/>
          <w:color w:val="auto"/>
        </w:rPr>
      </w:pPr>
      <w:r>
        <w:rPr>
          <w:rFonts w:ascii="Arial" w:cs="Arial" w:eastAsia="Arial" w:hAnsi="Arial"/>
          <w:sz w:val="16"/>
          <w:szCs w:val="16"/>
          <w:color w:val="auto"/>
        </w:rPr>
        <w:t>actually awarded to a participant who is granted RSUs on the date of grant, and such participant has no rights of a stockholder with respect to such RSUs until the restrictions set forth in the restricted stock unit agreement have lapsed.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Adjustment Provisions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any change is made to the outstanding shares of Common Stock without the Company’s receipt of</w:t>
      </w:r>
    </w:p>
    <w:p>
      <w:pPr>
        <w:jc w:val="both"/>
        <w:ind w:left="180" w:right="279"/>
        <w:spacing w:after="0" w:line="248" w:lineRule="auto"/>
        <w:rPr>
          <w:sz w:val="20"/>
          <w:szCs w:val="20"/>
          <w:color w:val="auto"/>
        </w:rPr>
      </w:pPr>
      <w:r>
        <w:rPr>
          <w:rFonts w:ascii="Arial" w:cs="Arial" w:eastAsia="Arial" w:hAnsi="Arial"/>
          <w:sz w:val="16"/>
          <w:szCs w:val="16"/>
          <w:color w:val="auto"/>
        </w:rPr>
        <w:t>consideration (whether through merger, consolidation, reorganization, stock dividend or stock split, or other specified change in the capital structure of the Company), appropriate adjustments will be made to the class and maximum number of shares of Common Stock subject to the 2020 Stock Incentive Plan and the class and maximum number of</w:t>
      </w:r>
    </w:p>
    <w:p>
      <w:pPr>
        <w:spacing w:after="0" w:line="1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1" w:name="page32"/>
    <w:bookmarkEnd w:id="31"/>
    <w:p>
      <w:pPr>
        <w:ind w:left="180"/>
        <w:spacing w:after="0"/>
        <w:rPr>
          <w:sz w:val="20"/>
          <w:szCs w:val="20"/>
          <w:color w:val="auto"/>
        </w:rPr>
      </w:pPr>
      <w:r>
        <w:rPr>
          <w:rFonts w:ascii="Arial" w:cs="Arial" w:eastAsia="Arial" w:hAnsi="Arial"/>
          <w:sz w:val="17"/>
          <w:szCs w:val="17"/>
          <w:color w:val="auto"/>
        </w:rPr>
        <w:t>shares of Common Stock that may be issued upon the exercise of incentive stock options under the 2020 Stock</w:t>
      </w:r>
    </w:p>
    <w:p>
      <w:pPr>
        <w:spacing w:after="0" w:line="10"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Incentive Plan. In that event, outstanding awards will also be adjusted in the class, number of shares and price per share of Common Stock subject to such awards.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Efect of Certain Corporate Events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event of a “Corporate Transaction” (as defined in the 2020 Stock Incentive Plan), any surviving or</w:t>
      </w:r>
    </w:p>
    <w:p>
      <w:pPr>
        <w:jc w:val="both"/>
        <w:ind w:left="180" w:right="279"/>
        <w:spacing w:after="0" w:line="234" w:lineRule="auto"/>
        <w:rPr>
          <w:sz w:val="20"/>
          <w:szCs w:val="20"/>
          <w:color w:val="auto"/>
        </w:rPr>
      </w:pPr>
      <w:r>
        <w:rPr>
          <w:rFonts w:ascii="Arial" w:cs="Arial" w:eastAsia="Arial" w:hAnsi="Arial"/>
          <w:sz w:val="16"/>
          <w:szCs w:val="16"/>
          <w:color w:val="auto"/>
        </w:rPr>
        <w:t>acquiring corporation may assume awards outstanding under the 2020 Stock Incentive Plan or may substitute similar awards. Unless the stock award agreement provides otherwise, in the event any surviving or acquiring corporation does not assume such awards or substitute similar awards, then the awards will terminate if not exercised at or prior to</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such event. The 2020 Stock Incentive Plan provides that, in the event of a dissolution or liquidation of the Company, all outstanding awards under the 2020 Stock Incentive Plan will terminate prior to such event and shares of bonus stock and restricted stock subject to the Company’s repurchase option or to forfeiture may be repurchased by the</w:t>
      </w:r>
    </w:p>
    <w:p>
      <w:pPr>
        <w:spacing w:after="0" w:line="2" w:lineRule="exact"/>
        <w:rPr>
          <w:sz w:val="20"/>
          <w:szCs w:val="20"/>
          <w:color w:val="auto"/>
        </w:rPr>
      </w:pPr>
    </w:p>
    <w:p>
      <w:pPr>
        <w:ind w:left="180" w:right="559"/>
        <w:spacing w:after="0" w:line="314" w:lineRule="auto"/>
        <w:rPr>
          <w:sz w:val="20"/>
          <w:szCs w:val="20"/>
          <w:color w:val="auto"/>
        </w:rPr>
      </w:pPr>
      <w:r>
        <w:rPr>
          <w:rFonts w:ascii="Arial" w:cs="Arial" w:eastAsia="Arial" w:hAnsi="Arial"/>
          <w:sz w:val="18"/>
          <w:szCs w:val="18"/>
          <w:color w:val="auto"/>
        </w:rPr>
        <w:t xml:space="preserve">Company or forfeited, notwithstanding whether the holder of such stock is still providing services to the Company. </w:t>
      </w:r>
      <w:r>
        <w:rPr>
          <w:rFonts w:ascii="Arial" w:cs="Arial" w:eastAsia="Arial" w:hAnsi="Arial"/>
          <w:sz w:val="18"/>
          <w:szCs w:val="18"/>
          <w:b w:val="1"/>
          <w:bCs w:val="1"/>
          <w:color w:val="auto"/>
        </w:rPr>
        <w:t>Duraton, Amendment and Terminaton</w:t>
      </w:r>
    </w:p>
    <w:p>
      <w:pPr>
        <w:spacing w:after="0" w:line="63"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The Board may suspend or terminate the 2020 Stock Incentive Plan without stockholder approval or ratification at any time or from time to time. Unless sooner terminated, the 2020 Stock Incentive Plan will terminate on November 4, 2030. The Board may also amend the 2020 Stock Incentive Plan at any time, and from time to time. However, except</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as provided in Section 11 of the 2020 Stock Incentive Plan relating to adjustments upon changes in common stock, no amendment will be effective unless approved by our stockholders to the extent stockholder approval is necessary to satisfy the requirements of Section 422 of the Code, Rule 16b-3 under the Securities Exchange Act of 1934 or any</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securities exchange listing requirements. Our Board may submit any other amendment to the 2020 Stock Incentive Plan for stockholder approval.</w:t>
      </w:r>
    </w:p>
    <w:p>
      <w:pPr>
        <w:spacing w:after="0" w:line="16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2" w:name="page33"/>
    <w:bookmarkEnd w:id="32"/>
    <w:p>
      <w:pPr>
        <w:ind w:left="180"/>
        <w:spacing w:after="0"/>
        <w:rPr>
          <w:sz w:val="20"/>
          <w:szCs w:val="20"/>
          <w:color w:val="auto"/>
        </w:rPr>
      </w:pPr>
      <w:r>
        <w:rPr>
          <w:rFonts w:ascii="Arial" w:cs="Arial" w:eastAsia="Arial" w:hAnsi="Arial"/>
          <w:sz w:val="18"/>
          <w:szCs w:val="18"/>
          <w:b w:val="1"/>
          <w:bCs w:val="1"/>
          <w:color w:val="auto"/>
        </w:rPr>
        <w:t>Clawback of Certain Benefts</w:t>
      </w:r>
    </w:p>
    <w:p>
      <w:pPr>
        <w:spacing w:after="0" w:line="151"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All stock awards issued under the 2020 Stock Incentive Plan are subject to reduction, cancellation, forfeiture and recoupment to the extent necessary to comply with applicable law or the NASDAQ Listing Rules. An acceptance of a</w:t>
      </w:r>
    </w:p>
    <w:p>
      <w:pPr>
        <w:jc w:val="both"/>
        <w:ind w:left="180" w:right="279"/>
        <w:spacing w:after="0" w:line="226" w:lineRule="auto"/>
        <w:rPr>
          <w:sz w:val="20"/>
          <w:szCs w:val="20"/>
          <w:color w:val="auto"/>
        </w:rPr>
      </w:pPr>
      <w:r>
        <w:rPr>
          <w:rFonts w:ascii="Arial" w:cs="Arial" w:eastAsia="Arial" w:hAnsi="Arial"/>
          <w:sz w:val="18"/>
          <w:szCs w:val="18"/>
          <w:color w:val="auto"/>
        </w:rPr>
        <w:t>stock award under the 2020 Stock Incentive Plan is an agreement by the participant to be bound by any such laws or rules.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Federal Income Tax Informaton</w:t>
      </w:r>
    </w:p>
    <w:p>
      <w:pPr>
        <w:spacing w:after="0" w:line="151"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The following is a summary of the principal United States federal income tax consequences to the participant and us with respect to participation in the 2020 Stock Incentive Plan. This summary is not intended to be exhaustive, and</w:t>
      </w:r>
    </w:p>
    <w:p>
      <w:pPr>
        <w:ind w:left="180" w:right="859"/>
        <w:spacing w:after="0" w:line="314" w:lineRule="auto"/>
        <w:rPr>
          <w:sz w:val="20"/>
          <w:szCs w:val="20"/>
          <w:color w:val="auto"/>
        </w:rPr>
      </w:pPr>
      <w:r>
        <w:rPr>
          <w:rFonts w:ascii="Arial" w:cs="Arial" w:eastAsia="Arial" w:hAnsi="Arial"/>
          <w:sz w:val="18"/>
          <w:szCs w:val="18"/>
          <w:color w:val="auto"/>
        </w:rPr>
        <w:t xml:space="preserve">does not discuss the income tax laws of any city, state or foreign jurisdiction in which a participant may reside. </w:t>
      </w:r>
      <w:r>
        <w:rPr>
          <w:rFonts w:ascii="Arial" w:cs="Arial" w:eastAsia="Arial" w:hAnsi="Arial"/>
          <w:sz w:val="18"/>
          <w:szCs w:val="18"/>
          <w:b w:val="1"/>
          <w:bCs w:val="1"/>
          <w:i w:val="1"/>
          <w:iCs w:val="1"/>
          <w:color w:val="auto"/>
        </w:rPr>
        <w:t>Incentve Stock Optons</w:t>
      </w:r>
    </w:p>
    <w:p>
      <w:pPr>
        <w:spacing w:after="0" w:line="63"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There will be no federal income tax consequences to either us or the participant upon the grant of an incentive stock option. Upon exercise of the option, the excess of the fair market value of the stock over the exercise price, or</w:t>
      </w:r>
    </w:p>
    <w:p>
      <w:pPr>
        <w:jc w:val="both"/>
        <w:ind w:left="180" w:right="279"/>
        <w:spacing w:after="0" w:line="234" w:lineRule="auto"/>
        <w:rPr>
          <w:sz w:val="20"/>
          <w:szCs w:val="20"/>
          <w:color w:val="auto"/>
        </w:rPr>
      </w:pPr>
      <w:r>
        <w:rPr>
          <w:rFonts w:ascii="Arial" w:cs="Arial" w:eastAsia="Arial" w:hAnsi="Arial"/>
          <w:sz w:val="16"/>
          <w:szCs w:val="16"/>
          <w:color w:val="auto"/>
        </w:rPr>
        <w:t>the “spread,” will be added to the alternative minimum tax base of the participant unless a disqualifying disposition is made in the year of exercise. A disqualifying disposition is the sale of the stock prior to the expiration of two years from the date of grant of the option and one year from the date of exercise of the option. If the shares of Common</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Stock are disposed of in a disqualifying disposition, the participant will realize taxable ordinary income in an amount equal to the spread at the time of exercise, and we will be entitled (subject to the requirement of reasonableness, the provisions of Section 162(m) of the Code and the satisfaction of a tax reporting obligation) to a federal income tax</w:t>
      </w:r>
    </w:p>
    <w:p>
      <w:pPr>
        <w:spacing w:after="0" w:line="2"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deduction equal to such amount. If the participant sells the shares of Common Stock after the specified periods, the gain or loss on the sale of the shares will be long-term capital gain or loss and we will not be entitled to a federal income tax deduction.</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Nonstatutory Stock Optons and Restricted Stock Purchase Awards</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Nonstatutory stock options and restricted stock purchase awards granted under the 2020 Stock Incentive Plan generally have the following federal income tax consequences. With respect to nonstatutory stock options, there are no tax consequences to the participant or us by reason of the grant. With respect to restricted stock purchase awards and</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the exercise of nonstatutory stock options, upon acquisition of the stock, the participant will recognize taxable ordinary income equal to the excess, if any, of the stock’s fair market value on the acquisition date over the purchase price. However, to the extent the stock is subject to “a substantial risk of forfeiture” (as defined in Section 83 of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Code), the taxable event will be delayed until the forfeiture provision lapses unless the participant elects to be taxed on receipt of the stock by making a Section 83(b) election within 30 days of receipt of the stock. If such election is not made, the participant generally will recognize income as and when the forfeiture provision lapses, and the income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recognized will be based on the fair market value of the stock on such future date. On that date, the participant’s holding period for purposes of determining the long-term or short-term nature of any capital gain or loss recognized on a subsequent disposition of the stock will begin. If a participant makes a Section 83(b) election, the participant will</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recognize ordinary income upon receipt of the stock equal to the difference between the stock’s fair market value as of the date of receipt of the stock and the purchase price, if any, as of the date of receipt and the holding period for purposes of characterizing as long-term or short-term any subsequent gain or loss will begin at the date of receipt. If</w:t>
      </w:r>
    </w:p>
    <w:p>
      <w:pPr>
        <w:spacing w:after="0" w:line="2" w:lineRule="exact"/>
        <w:rPr>
          <w:sz w:val="20"/>
          <w:szCs w:val="20"/>
          <w:color w:val="auto"/>
        </w:rPr>
      </w:pPr>
    </w:p>
    <w:p>
      <w:pPr>
        <w:jc w:val="both"/>
        <w:ind w:left="180" w:right="279"/>
        <w:spacing w:after="0" w:line="233" w:lineRule="auto"/>
        <w:rPr>
          <w:sz w:val="20"/>
          <w:szCs w:val="20"/>
          <w:color w:val="auto"/>
        </w:rPr>
      </w:pPr>
      <w:r>
        <w:rPr>
          <w:rFonts w:ascii="Arial" w:cs="Arial" w:eastAsia="Arial" w:hAnsi="Arial"/>
          <w:sz w:val="16"/>
          <w:szCs w:val="16"/>
          <w:color w:val="auto"/>
        </w:rPr>
        <w:t>stock underlying an award for which an 83(b) election was made does not vest and is forfeited, the award recipient does not recognize a deduction for the loss but does recognize a capital loss in an amount equal to the ordinary income recognized as a result of the 83(b) election less any amount recouped by the participant as a result of the forfeiture. With respect to employees, we are generally required to withhold from regular wages or supplemental wage payments</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stock, the participant will recognize a capital gain or loss equal to the difference between the selling price and the sum of the amount paid for such stock plus any amount recognized as ordinary income upon issuance (or vesting) with respect to the stock. Such gain or loss will be long-term or short-term depending on whether the stock has been held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more than one year.</w:t>
      </w:r>
    </w:p>
    <w:p>
      <w:pPr>
        <w:spacing w:after="0" w:line="1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33" w:name="page34"/>
    <w:bookmarkEnd w:id="33"/>
    <w:p>
      <w:pPr>
        <w:ind w:left="180"/>
        <w:spacing w:after="0"/>
        <w:rPr>
          <w:sz w:val="20"/>
          <w:szCs w:val="20"/>
          <w:color w:val="auto"/>
        </w:rPr>
      </w:pPr>
      <w:r>
        <w:rPr>
          <w:rFonts w:ascii="Arial" w:cs="Arial" w:eastAsia="Arial" w:hAnsi="Arial"/>
          <w:sz w:val="18"/>
          <w:szCs w:val="18"/>
          <w:b w:val="1"/>
          <w:bCs w:val="1"/>
          <w:i w:val="1"/>
          <w:iCs w:val="1"/>
          <w:color w:val="auto"/>
        </w:rPr>
        <w:t>Stock Bonus Awards</w:t>
      </w:r>
    </w:p>
    <w:p>
      <w:pPr>
        <w:spacing w:after="0" w:line="151"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Upon receipt of a stock bonus award, if the shares are not subject to a “substantial risk of forfeiture” the participant will recognize ordinary income equal to the excess, if any, of the fair market value of the shares on the date</w:t>
      </w:r>
    </w:p>
    <w:p>
      <w:pPr>
        <w:jc w:val="both"/>
        <w:ind w:left="180" w:right="279"/>
        <w:spacing w:after="0" w:line="234" w:lineRule="auto"/>
        <w:rPr>
          <w:sz w:val="20"/>
          <w:szCs w:val="20"/>
          <w:color w:val="auto"/>
        </w:rPr>
      </w:pPr>
      <w:r>
        <w:rPr>
          <w:rFonts w:ascii="Arial" w:cs="Arial" w:eastAsia="Arial" w:hAnsi="Arial"/>
          <w:sz w:val="16"/>
          <w:szCs w:val="16"/>
          <w:color w:val="auto"/>
        </w:rPr>
        <w:t>of issuance over the purchase price, if any, paid for those shares. We will be entitled (subject to the requirement of reasonableness, the provisions of Section 162(m) of the Code, and the satisfaction of a tax reporting obligation) to a corresponding income tax deduction in the tax year in which such ordinary income is recognized by the participant.</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However, if the shares issued upon the grant of a stock bonus award are subject to a “substantial risk of forfeiture”, the participant will not recognize any taxable income at the time of issuance, but will have to report as ordinary income, as and when the “substantial risk of forfeiture” lapses, in an amount equal to the excess of the fair market value of the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shares on the date the risk of forfeiture lapses over the purchase price, if any, paid for the shares. The participant may, however, elect under Section 83(b) of the Code to include as ordinary income in the year of issuance an amount equal to the excess of the fair market value of the shares on the date of issuance over the purchase price, if any, paid for such</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shares. If the Section 83(b) election is made, the participant will not recognize any additional income, nor we will be entitled to a deduction, as and when the risk of forfeiture lapses. With respect to employees, we are generally required to withhold from regular wages or supplemental wage payments an amount based on the ordinary income recognized.</w:t>
      </w:r>
    </w:p>
    <w:p>
      <w:pPr>
        <w:spacing w:after="0" w:line="2" w:lineRule="exact"/>
        <w:rPr>
          <w:sz w:val="20"/>
          <w:szCs w:val="20"/>
          <w:color w:val="auto"/>
        </w:rPr>
      </w:pPr>
    </w:p>
    <w:p>
      <w:pPr>
        <w:jc w:val="both"/>
        <w:ind w:left="180" w:right="279"/>
        <w:spacing w:after="0" w:line="233" w:lineRule="auto"/>
        <w:rPr>
          <w:sz w:val="20"/>
          <w:szCs w:val="20"/>
          <w:color w:val="auto"/>
        </w:rPr>
      </w:pPr>
      <w:r>
        <w:rPr>
          <w:rFonts w:ascii="Arial" w:cs="Arial" w:eastAsia="Arial" w:hAnsi="Arial"/>
          <w:sz w:val="16"/>
          <w:szCs w:val="16"/>
          <w:color w:val="auto"/>
        </w:rPr>
        <w:t>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the stock acquired upon the receipt of a stock bonus award, the participant will recognize a capital gain or loss equal to the difference between the selling price and the sum of the</w:t>
      </w:r>
    </w:p>
    <w:p>
      <w:pPr>
        <w:ind w:left="180"/>
        <w:spacing w:after="0" w:line="230" w:lineRule="auto"/>
        <w:rPr>
          <w:sz w:val="20"/>
          <w:szCs w:val="20"/>
          <w:color w:val="auto"/>
        </w:rPr>
      </w:pPr>
      <w:r>
        <w:rPr>
          <w:rFonts w:ascii="Arial" w:cs="Arial" w:eastAsia="Arial" w:hAnsi="Arial"/>
          <w:sz w:val="16"/>
          <w:szCs w:val="16"/>
          <w:color w:val="auto"/>
        </w:rPr>
        <w:t>amount paid for such stock plus any amount recognized as ordinary income upon issuance (or vesting) of the stock.</w:t>
      </w:r>
    </w:p>
    <w:p>
      <w:pPr>
        <w:ind w:left="180"/>
        <w:spacing w:after="0"/>
        <w:rPr>
          <w:sz w:val="20"/>
          <w:szCs w:val="20"/>
          <w:color w:val="auto"/>
        </w:rPr>
      </w:pPr>
      <w:r>
        <w:rPr>
          <w:rFonts w:ascii="Arial" w:cs="Arial" w:eastAsia="Arial" w:hAnsi="Arial"/>
          <w:sz w:val="16"/>
          <w:szCs w:val="16"/>
          <w:color w:val="auto"/>
        </w:rPr>
        <w:t>Such gain or loss will be long-term or short-term depending on whether the stock was held for more than one year.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Restricted stock unit awards granted under the 2020 Stock Incentive Plan generally have the following federal</w:t>
      </w:r>
    </w:p>
    <w:p>
      <w:pPr>
        <w:spacing w:after="0" w:line="10"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income tax consequences. There are no tax consequences to the participant or us by reason of the grant. Upon settlement of the award, the participant will recognize taxable ordinary income equal to the amount of cash received upon settlement or, if the award is settled in stock, the stock’s fair market value on the acquisition date. With respect to</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expense deduction equal to the taxable ordinary income realized by the participant. Upon disposition of any stock issued upon settlement of the award, the participant will recognize a capital gain or loss equal to the difference between the selling price and the amount recognized as ordinary income upon issuance of the stock. Such gain or loss</w:t>
      </w:r>
    </w:p>
    <w:p>
      <w:pPr>
        <w:spacing w:after="0" w:line="2" w:lineRule="exact"/>
        <w:rPr>
          <w:sz w:val="20"/>
          <w:szCs w:val="20"/>
          <w:color w:val="auto"/>
        </w:rPr>
      </w:pPr>
    </w:p>
    <w:p>
      <w:pPr>
        <w:ind w:left="180" w:right="1519"/>
        <w:spacing w:after="0" w:line="314" w:lineRule="auto"/>
        <w:rPr>
          <w:sz w:val="20"/>
          <w:szCs w:val="20"/>
          <w:color w:val="auto"/>
        </w:rPr>
      </w:pPr>
      <w:r>
        <w:rPr>
          <w:rFonts w:ascii="Arial" w:cs="Arial" w:eastAsia="Arial" w:hAnsi="Arial"/>
          <w:sz w:val="18"/>
          <w:szCs w:val="18"/>
          <w:color w:val="auto"/>
        </w:rPr>
        <w:t xml:space="preserve">will be long-term or short-term depending on whether the stock has been held for more than one year. </w:t>
      </w:r>
      <w:r>
        <w:rPr>
          <w:rFonts w:ascii="Arial" w:cs="Arial" w:eastAsia="Arial" w:hAnsi="Arial"/>
          <w:sz w:val="18"/>
          <w:szCs w:val="18"/>
          <w:b w:val="1"/>
          <w:bCs w:val="1"/>
          <w:i w:val="1"/>
          <w:iCs w:val="1"/>
          <w:color w:val="auto"/>
        </w:rPr>
        <w:t>Potental Limitaton on Company Deductons</w:t>
      </w:r>
    </w:p>
    <w:p>
      <w:pPr>
        <w:spacing w:after="0" w:line="63" w:lineRule="exact"/>
        <w:rPr>
          <w:sz w:val="20"/>
          <w:szCs w:val="20"/>
          <w:color w:val="auto"/>
        </w:rPr>
      </w:pPr>
    </w:p>
    <w:p>
      <w:pPr>
        <w:jc w:val="both"/>
        <w:ind w:left="180" w:right="279" w:firstLine="324"/>
        <w:spacing w:after="0" w:line="248" w:lineRule="auto"/>
        <w:rPr>
          <w:sz w:val="20"/>
          <w:szCs w:val="20"/>
          <w:color w:val="auto"/>
        </w:rPr>
      </w:pPr>
      <w:r>
        <w:rPr>
          <w:rFonts w:ascii="Arial" w:cs="Arial" w:eastAsia="Arial" w:hAnsi="Arial"/>
          <w:sz w:val="16"/>
          <w:szCs w:val="16"/>
          <w:color w:val="auto"/>
        </w:rPr>
        <w:t>Section 162(m) of the Code denies a deduction to any publicly held corporation for compensation paid to a covered employee in a taxable year to the extent that compensation to such covered employee exceeds $1,000,000. It</w:t>
      </w:r>
    </w:p>
    <w:p>
      <w:pPr>
        <w:jc w:val="both"/>
        <w:ind w:left="180" w:right="279"/>
        <w:spacing w:after="0" w:line="234" w:lineRule="auto"/>
        <w:rPr>
          <w:sz w:val="20"/>
          <w:szCs w:val="20"/>
          <w:color w:val="auto"/>
        </w:rPr>
      </w:pPr>
      <w:r>
        <w:rPr>
          <w:rFonts w:ascii="Arial" w:cs="Arial" w:eastAsia="Arial" w:hAnsi="Arial"/>
          <w:sz w:val="16"/>
          <w:szCs w:val="16"/>
          <w:color w:val="auto"/>
        </w:rPr>
        <w:t>is possible that compensation attributable to awards, when combined with all other types of compensation received by a covered employee from Reading, may cause this limitation to be exceeded in any particular year. A covered employee for a given taxable year is any individual who meets any of the following requirements: (i) is or was our</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principal executive officer or principal financial officer, or was acting in such a capacity, at any time during the taxable year, (ii) is one of our three most highly compensated officers whose compensation we are required to report to our stockholders pursuant to the Securities Exchange Act of 1934 for such year (excluding individuals described in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clause (i)), or (iii) was a covered employee for any taxable year beginning after December 31, 2016.</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Parachute Payments</w:t>
      </w:r>
    </w:p>
    <w:p>
      <w:pPr>
        <w:spacing w:after="0" w:line="151" w:lineRule="exact"/>
        <w:rPr>
          <w:sz w:val="20"/>
          <w:szCs w:val="20"/>
          <w:color w:val="auto"/>
        </w:rPr>
      </w:pPr>
    </w:p>
    <w:p>
      <w:pPr>
        <w:jc w:val="both"/>
        <w:ind w:left="180" w:right="279" w:firstLine="324"/>
        <w:spacing w:after="0" w:line="241" w:lineRule="auto"/>
        <w:rPr>
          <w:sz w:val="20"/>
          <w:szCs w:val="20"/>
          <w:color w:val="auto"/>
        </w:rPr>
      </w:pPr>
      <w:r>
        <w:rPr>
          <w:rFonts w:ascii="Arial" w:cs="Arial" w:eastAsia="Arial" w:hAnsi="Arial"/>
          <w:sz w:val="16"/>
          <w:szCs w:val="16"/>
          <w:color w:val="auto"/>
        </w:rPr>
        <w:t>Section 280G of the Code and Section 4999 of the Code impose certain adverse tax consequences on payments or benefits paid to employees or other service providers that are deemed to be contingent upon a change in control of a corporation. In the event of a change in control of us, if there are any payments or benefits (including vesting) with</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respect to awards issuable under the 2020 Stock Incentive Plan that constitute “parachute payments” under Section 280G of the Code (which will depend upon the amount or value of such payments or vesting and the other income of the participant), the participant may be subject to an excise tax (in addition to ordinary income tax) on a portion of the</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compensation attributable to the awards and we may be disallowed a deduction for a portion of the compensation attributable to the awards.</w:t>
      </w:r>
    </w:p>
    <w:p>
      <w:pPr>
        <w:spacing w:after="0" w:line="16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34" w:name="page35"/>
    <w:bookmarkEnd w:id="34"/>
    <w:p>
      <w:pPr>
        <w:ind w:left="180"/>
        <w:spacing w:after="0"/>
        <w:rPr>
          <w:sz w:val="20"/>
          <w:szCs w:val="20"/>
          <w:color w:val="auto"/>
        </w:rPr>
      </w:pPr>
      <w:r>
        <w:rPr>
          <w:rFonts w:ascii="Arial" w:cs="Arial" w:eastAsia="Arial" w:hAnsi="Arial"/>
          <w:sz w:val="18"/>
          <w:szCs w:val="18"/>
          <w:b w:val="1"/>
          <w:bCs w:val="1"/>
          <w:i w:val="1"/>
          <w:iCs w:val="1"/>
          <w:color w:val="auto"/>
        </w:rPr>
        <w:t>Secton 409A</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Section 409A of the Code addresses the federal income tax treatment of all amounts that are nonqualified deferred</w:t>
      </w:r>
    </w:p>
    <w:p>
      <w:pPr>
        <w:spacing w:after="0" w:line="2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compensation. The Company intends that awards granted under the 2020 Stock Incentive Plan comply with, or otherwise be exempt from, Section 409A of the Code, but makes no representation or warranty to that effect. If the 2020 Stock Incentive Plan or the terms of an award fail to meet the requirements of Section 409A with respect to an</w:t>
      </w:r>
    </w:p>
    <w:p>
      <w:pPr>
        <w:spacing w:after="0" w:line="2"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award, then such award shall remain in effect and be subject to taxation in accordance with Section 409A, which results in accelerated income recognition to the participant, an excise tax (in addition to ordinary income tax) and penalty interest tax to the participant and accelerated tax withholding and reporting obligations to us.</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Vote Required</w:t>
      </w:r>
    </w:p>
    <w:p>
      <w:pPr>
        <w:spacing w:after="0" w:line="137" w:lineRule="exact"/>
        <w:rPr>
          <w:sz w:val="20"/>
          <w:szCs w:val="20"/>
          <w:color w:val="auto"/>
        </w:rPr>
      </w:pPr>
    </w:p>
    <w:p>
      <w:pPr>
        <w:jc w:val="both"/>
        <w:ind w:left="180" w:right="279" w:firstLine="324"/>
        <w:spacing w:after="0" w:line="246"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p>
    <w:p>
      <w:pPr>
        <w:spacing w:after="0" w:line="48" w:lineRule="exact"/>
        <w:rPr>
          <w:sz w:val="20"/>
          <w:szCs w:val="20"/>
          <w:color w:val="auto"/>
        </w:rPr>
      </w:pPr>
    </w:p>
    <w:p>
      <w:pPr>
        <w:jc w:val="both"/>
        <w:ind w:left="180" w:right="279" w:firstLine="324"/>
        <w:spacing w:after="0" w:line="233" w:lineRule="auto"/>
        <w:rPr>
          <w:sz w:val="20"/>
          <w:szCs w:val="20"/>
          <w:color w:val="auto"/>
        </w:rPr>
      </w:pPr>
      <w:r>
        <w:rPr>
          <w:rFonts w:ascii="Arial" w:cs="Arial" w:eastAsia="Arial" w:hAnsi="Arial"/>
          <w:sz w:val="17"/>
          <w:szCs w:val="17"/>
          <w:color w:val="auto"/>
        </w:rPr>
        <w:t>Chair Cotter and Vice-Chair Cotter, who hold, in the aggregate, voting control over an aggregate of 1,208,988 shares, or approximately 72% of our outstanding Class B Stock, have informed the Board that they intend to vote</w:t>
      </w:r>
    </w:p>
    <w:p>
      <w:pPr>
        <w:spacing w:after="0" w:line="1"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these shares in favor of the Stock Incentive Plan Amendment discussed under Proposal 5 (the Increase to Share Reserve under the 2020 Stock Incentive Plan Proposal).</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Recommendaton of the Board</w:t>
      </w:r>
    </w:p>
    <w:p>
      <w:pPr>
        <w:spacing w:after="0" w:line="160" w:lineRule="exact"/>
        <w:rPr>
          <w:sz w:val="20"/>
          <w:szCs w:val="20"/>
          <w:color w:val="auto"/>
        </w:rPr>
      </w:pPr>
    </w:p>
    <w:p>
      <w:pPr>
        <w:jc w:val="center"/>
        <w:ind w:left="180" w:right="279"/>
        <w:spacing w:after="0" w:line="297" w:lineRule="auto"/>
        <w:rPr>
          <w:sz w:val="20"/>
          <w:szCs w:val="20"/>
          <w:color w:val="auto"/>
        </w:rPr>
      </w:pPr>
      <w:r>
        <w:rPr>
          <w:rFonts w:ascii="Arial" w:cs="Arial" w:eastAsia="Arial" w:hAnsi="Arial"/>
          <w:sz w:val="18"/>
          <w:szCs w:val="18"/>
          <w:b w:val="1"/>
          <w:bCs w:val="1"/>
          <w:color w:val="auto"/>
        </w:rPr>
        <w:t>THE BOARD OF DIRECTORS RECOMMENDS A VOTE “FOR” THE APPROVAL OF THE 2020 STOCK INCENTIVE PLAN AMENDMENT.</w:t>
      </w:r>
    </w:p>
    <w:p>
      <w:pPr>
        <w:spacing w:after="0" w:line="14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94042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5" w:name="page36"/>
    <w:bookmarkEnd w:id="35"/>
    <w:p>
      <w:pPr>
        <w:jc w:val="center"/>
        <w:ind w:right="-640"/>
        <w:spacing w:after="0"/>
        <w:rPr>
          <w:sz w:val="20"/>
          <w:szCs w:val="20"/>
          <w:color w:val="auto"/>
        </w:rPr>
      </w:pPr>
      <w:r>
        <w:rPr>
          <w:rFonts w:ascii="Arial" w:cs="Arial" w:eastAsia="Arial" w:hAnsi="Arial"/>
          <w:sz w:val="18"/>
          <w:szCs w:val="18"/>
          <w:b w:val="1"/>
          <w:bCs w:val="1"/>
          <w:color w:val="auto"/>
        </w:rPr>
        <w:t>REPORT OF THE AUDIT COMMITTEE</w:t>
      </w:r>
    </w:p>
    <w:p>
      <w:pPr>
        <w:spacing w:after="0" w:line="151" w:lineRule="exact"/>
        <w:rPr>
          <w:sz w:val="20"/>
          <w:szCs w:val="20"/>
          <w:color w:val="auto"/>
        </w:rPr>
      </w:pPr>
    </w:p>
    <w:p>
      <w:pPr>
        <w:jc w:val="both"/>
        <w:ind w:left="180" w:right="299" w:firstLine="648"/>
        <w:spacing w:after="0" w:line="246" w:lineRule="auto"/>
        <w:rPr>
          <w:sz w:val="20"/>
          <w:szCs w:val="20"/>
          <w:color w:val="auto"/>
        </w:rPr>
      </w:pPr>
      <w:r>
        <w:rPr>
          <w:rFonts w:ascii="Arial" w:cs="Arial" w:eastAsia="Arial" w:hAnsi="Arial"/>
          <w:sz w:val="18"/>
          <w:szCs w:val="18"/>
          <w:color w:val="auto"/>
        </w:rPr>
        <w:t>The following is the report of the Audit Committee of our Board with respect to our audited financial statements for the fiscal year ended December 31, 2022.</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information contained in this report shall not be deemed to be “soliciting material” or “filed” with the</w:t>
      </w:r>
    </w:p>
    <w:p>
      <w:pPr>
        <w:spacing w:after="0" w:line="10" w:lineRule="exact"/>
        <w:rPr>
          <w:sz w:val="20"/>
          <w:szCs w:val="20"/>
          <w:color w:val="auto"/>
        </w:rPr>
      </w:pPr>
    </w:p>
    <w:p>
      <w:pPr>
        <w:jc w:val="both"/>
        <w:ind w:left="180" w:right="279"/>
        <w:spacing w:after="0" w:line="218" w:lineRule="auto"/>
        <w:rPr>
          <w:sz w:val="20"/>
          <w:szCs w:val="20"/>
          <w:color w:val="auto"/>
        </w:rPr>
      </w:pPr>
      <w:r>
        <w:rPr>
          <w:rFonts w:ascii="Arial" w:cs="Arial" w:eastAsia="Arial" w:hAnsi="Arial"/>
          <w:sz w:val="18"/>
          <w:szCs w:val="18"/>
          <w:color w:val="auto"/>
        </w:rPr>
        <w:t>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The purpose of the Audit Committee is to assist our Board in its general oversight of our financial reporting, internal controls and audit functions. The Audit Committee operates under a written charter adopted by our</w:t>
      </w:r>
    </w:p>
    <w:p>
      <w:pPr>
        <w:jc w:val="both"/>
        <w:ind w:left="180" w:right="279"/>
        <w:spacing w:after="0" w:line="226" w:lineRule="auto"/>
        <w:rPr>
          <w:sz w:val="20"/>
          <w:szCs w:val="20"/>
          <w:color w:val="auto"/>
        </w:rPr>
      </w:pPr>
      <w:r>
        <w:rPr>
          <w:rFonts w:ascii="Arial" w:cs="Arial" w:eastAsia="Arial" w:hAnsi="Arial"/>
          <w:sz w:val="18"/>
          <w:szCs w:val="18"/>
          <w:color w:val="auto"/>
        </w:rPr>
        <w:t>Board. The charter is reviewed periodically and subject to change, as appropriate. The Audit Committee charter describes in greater detail the full responsibilities of the Audit Committee.</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w:t>
      </w:r>
    </w:p>
    <w:p>
      <w:pPr>
        <w:spacing w:after="0" w:line="2" w:lineRule="exact"/>
        <w:rPr>
          <w:sz w:val="20"/>
          <w:szCs w:val="20"/>
          <w:color w:val="auto"/>
        </w:rPr>
      </w:pPr>
    </w:p>
    <w:p>
      <w:pPr>
        <w:jc w:val="both"/>
        <w:ind w:left="180" w:right="279"/>
        <w:spacing w:after="0" w:line="233" w:lineRule="auto"/>
        <w:rPr>
          <w:sz w:val="20"/>
          <w:szCs w:val="20"/>
          <w:color w:val="auto"/>
        </w:rPr>
      </w:pPr>
      <w:r>
        <w:rPr>
          <w:rFonts w:ascii="Arial" w:cs="Arial" w:eastAsia="Arial" w:hAnsi="Arial"/>
          <w:sz w:val="16"/>
          <w:szCs w:val="16"/>
          <w:color w:val="auto"/>
        </w:rPr>
        <w:t>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w:t>
      </w:r>
    </w:p>
    <w:p>
      <w:pPr>
        <w:spacing w:after="0" w:line="1"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America, as well as an opinion on (i) management’s assessment of the effectiveness of internal control over financial reporting and (ii) the effectiveness of internal control over financial reporting.</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w:t>
      </w:r>
    </w:p>
    <w:p>
      <w:pPr>
        <w:spacing w:after="0" w:line="2"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Based on their review of the consolidated financial statements and discussions with and representations from management and Grant Thornton LLP referred to above, the Audit Committee recommended to our Board that the</w:t>
      </w:r>
    </w:p>
    <w:p>
      <w:pPr>
        <w:jc w:val="both"/>
        <w:ind w:left="180" w:right="279"/>
        <w:spacing w:after="0" w:line="226" w:lineRule="auto"/>
        <w:rPr>
          <w:sz w:val="20"/>
          <w:szCs w:val="20"/>
          <w:color w:val="auto"/>
        </w:rPr>
      </w:pPr>
      <w:r>
        <w:rPr>
          <w:rFonts w:ascii="Arial" w:cs="Arial" w:eastAsia="Arial" w:hAnsi="Arial"/>
          <w:sz w:val="18"/>
          <w:szCs w:val="18"/>
          <w:color w:val="auto"/>
        </w:rPr>
        <w:t>audited financial statements be included in our Annual Report on Form 10-K for the year ended December 31, 2022 for filing with the SEC.</w:t>
      </w:r>
    </w:p>
    <w:p>
      <w:pPr>
        <w:spacing w:after="0" w:line="134" w:lineRule="exact"/>
        <w:rPr>
          <w:sz w:val="20"/>
          <w:szCs w:val="20"/>
          <w:color w:val="auto"/>
        </w:rPr>
      </w:pPr>
    </w:p>
    <w:p>
      <w:pPr>
        <w:jc w:val="both"/>
        <w:ind w:left="180" w:right="279" w:firstLine="648"/>
        <w:spacing w:after="0" w:line="237" w:lineRule="auto"/>
        <w:rPr>
          <w:sz w:val="20"/>
          <w:szCs w:val="20"/>
          <w:color w:val="auto"/>
        </w:rPr>
      </w:pPr>
      <w:r>
        <w:rPr>
          <w:rFonts w:ascii="Arial" w:cs="Arial" w:eastAsia="Arial" w:hAnsi="Arial"/>
          <w:sz w:val="17"/>
          <w:szCs w:val="17"/>
          <w:color w:val="auto"/>
        </w:rPr>
        <w:t>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w:t>
      </w:r>
    </w:p>
    <w:p>
      <w:pPr>
        <w:spacing w:after="0" w:line="136"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In giving its recommendation to our Board, the Audit Committee relied on (1) management’s representation that such financial statements have been prepared with integrity and objectivity and in conformity with accounting</w:t>
      </w:r>
    </w:p>
    <w:p>
      <w:pPr>
        <w:jc w:val="both"/>
        <w:ind w:left="180" w:right="279"/>
        <w:spacing w:after="0" w:line="226" w:lineRule="auto"/>
        <w:rPr>
          <w:sz w:val="20"/>
          <w:szCs w:val="20"/>
          <w:color w:val="auto"/>
        </w:rPr>
      </w:pPr>
      <w:r>
        <w:rPr>
          <w:rFonts w:ascii="Arial" w:cs="Arial" w:eastAsia="Arial" w:hAnsi="Arial"/>
          <w:sz w:val="18"/>
          <w:szCs w:val="18"/>
          <w:color w:val="auto"/>
        </w:rPr>
        <w:t>principles generally accepted in the United States and (2) the report of our independent registered public accounting firm with respect to such financial statements.</w:t>
      </w:r>
    </w:p>
    <w:p>
      <w:pPr>
        <w:spacing w:after="0" w:line="1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Respectfully submitted by the Audit Committee.</w:t>
      </w:r>
    </w:p>
    <w:p>
      <w:pPr>
        <w:ind w:left="4820"/>
        <w:spacing w:after="0" w:line="203" w:lineRule="auto"/>
        <w:rPr>
          <w:sz w:val="20"/>
          <w:szCs w:val="20"/>
          <w:color w:val="auto"/>
        </w:rPr>
      </w:pPr>
      <w:r>
        <w:rPr>
          <w:rFonts w:ascii="Arial" w:cs="Arial" w:eastAsia="Arial" w:hAnsi="Arial"/>
          <w:sz w:val="18"/>
          <w:szCs w:val="18"/>
          <w:color w:val="auto"/>
        </w:rPr>
        <w:t>Douglas J. McEachern, Chair</w:t>
      </w:r>
    </w:p>
    <w:p>
      <w:pPr>
        <w:ind w:left="4820"/>
        <w:spacing w:after="0" w:line="219" w:lineRule="auto"/>
        <w:rPr>
          <w:sz w:val="20"/>
          <w:szCs w:val="20"/>
          <w:color w:val="auto"/>
        </w:rPr>
      </w:pPr>
      <w:r>
        <w:rPr>
          <w:rFonts w:ascii="Arial" w:cs="Arial" w:eastAsia="Arial" w:hAnsi="Arial"/>
          <w:sz w:val="18"/>
          <w:szCs w:val="18"/>
          <w:color w:val="auto"/>
        </w:rPr>
        <w:t>Dr. Judy Codding</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Guy Adams</w:t>
      </w:r>
    </w:p>
    <w:p>
      <w:pPr>
        <w:spacing w:after="0" w:line="1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6" w:name="page37"/>
    <w:bookmarkEnd w:id="36"/>
    <w:p>
      <w:pPr>
        <w:ind w:left="2580"/>
        <w:spacing w:after="0"/>
        <w:rPr>
          <w:sz w:val="20"/>
          <w:szCs w:val="20"/>
          <w:color w:val="auto"/>
        </w:rPr>
      </w:pPr>
      <w:r>
        <w:rPr>
          <w:rFonts w:ascii="Arial" w:cs="Arial" w:eastAsia="Arial" w:hAnsi="Arial"/>
          <w:sz w:val="18"/>
          <w:szCs w:val="18"/>
          <w:b w:val="1"/>
          <w:bCs w:val="1"/>
          <w:color w:val="auto"/>
        </w:rPr>
        <w:t>BENEFICIAL OWNERSHIP OF SECURITIES</w:t>
      </w:r>
    </w:p>
    <w:p>
      <w:pPr>
        <w:spacing w:after="0" w:line="148" w:lineRule="exact"/>
        <w:rPr>
          <w:sz w:val="20"/>
          <w:szCs w:val="20"/>
          <w:color w:val="auto"/>
        </w:rPr>
      </w:pPr>
    </w:p>
    <w:p>
      <w:pPr>
        <w:ind w:left="180" w:right="760" w:firstLine="648"/>
        <w:spacing w:after="0" w:line="246" w:lineRule="auto"/>
        <w:rPr>
          <w:sz w:val="20"/>
          <w:szCs w:val="20"/>
          <w:color w:val="auto"/>
        </w:rPr>
      </w:pPr>
      <w:r>
        <w:rPr>
          <w:rFonts w:ascii="Arial" w:cs="Arial" w:eastAsia="Arial" w:hAnsi="Arial"/>
          <w:sz w:val="18"/>
          <w:szCs w:val="18"/>
          <w:color w:val="auto"/>
        </w:rPr>
        <w:t>Except as described below, the following table sets forth the shares of Class A Stock and Class B Stock beneficially owned on the Record Date (October 18, 2023) by:</w:t>
      </w:r>
    </w:p>
    <w:p>
      <w:pPr>
        <w:spacing w:after="0" w:line="100" w:lineRule="exact"/>
        <w:rPr>
          <w:sz w:val="20"/>
          <w:szCs w:val="20"/>
          <w:color w:val="auto"/>
        </w:rPr>
      </w:pPr>
    </w:p>
    <w:p>
      <w:pPr>
        <w:ind w:left="1480" w:hanging="324"/>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Directors;</w:t>
      </w:r>
    </w:p>
    <w:p>
      <w:pPr>
        <w:ind w:left="1480" w:right="760" w:hanging="324"/>
        <w:spacing w:after="0" w:line="211"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current named executive officers (“NEOs”) set forth in the Summary Compensation Table of this Proxy Statement;</w:t>
      </w:r>
    </w:p>
    <w:p>
      <w:pPr>
        <w:ind w:left="1480" w:hanging="324"/>
        <w:spacing w:after="0" w:line="203"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Class B Stock; and</w:t>
      </w:r>
    </w:p>
    <w:p>
      <w:pPr>
        <w:ind w:left="1480" w:hanging="324"/>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42" w:lineRule="exact"/>
        <w:rPr>
          <w:sz w:val="20"/>
          <w:szCs w:val="20"/>
          <w:color w:val="auto"/>
        </w:rPr>
      </w:pPr>
    </w:p>
    <w:p>
      <w:pPr>
        <w:jc w:val="both"/>
        <w:ind w:left="180" w:right="760" w:firstLine="648"/>
        <w:spacing w:after="0" w:line="224" w:lineRule="auto"/>
        <w:rPr>
          <w:sz w:val="20"/>
          <w:szCs w:val="20"/>
          <w:color w:val="auto"/>
        </w:rPr>
      </w:pPr>
      <w:r>
        <w:rPr>
          <w:rFonts w:ascii="Arial" w:cs="Arial" w:eastAsia="Arial" w:hAnsi="Arial"/>
          <w:sz w:val="18"/>
          <w:szCs w:val="18"/>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333"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322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4860" w:type="dxa"/>
            <w:vAlign w:val="bottom"/>
            <w:tcBorders>
              <w:top w:val="single" w:sz="8" w:color="auto"/>
              <w:bottom w:val="single" w:sz="8" w:color="auto"/>
            </w:tcBorders>
            <w:gridSpan w:val="4"/>
          </w:tcPr>
          <w:p>
            <w:pPr>
              <w:ind w:left="1240"/>
              <w:spacing w:after="0" w:line="189" w:lineRule="exact"/>
              <w:rPr>
                <w:sz w:val="20"/>
                <w:szCs w:val="20"/>
                <w:color w:val="auto"/>
              </w:rPr>
            </w:pPr>
            <w:r>
              <w:rPr>
                <w:rFonts w:ascii="Arial" w:cs="Arial" w:eastAsia="Arial" w:hAnsi="Arial"/>
                <w:sz w:val="18"/>
                <w:szCs w:val="18"/>
                <w:b w:val="1"/>
                <w:bCs w:val="1"/>
                <w:color w:val="auto"/>
                <w:w w:val="91"/>
              </w:rPr>
              <w:t xml:space="preserve">Amount and Nature of Beneficial Ownership </w:t>
            </w:r>
            <w:r>
              <w:rPr>
                <w:rFonts w:ascii="Arial" w:cs="Arial" w:eastAsia="Arial" w:hAnsi="Arial"/>
                <w:sz w:val="8"/>
                <w:szCs w:val="8"/>
                <w:b w:val="1"/>
                <w:bCs w:val="1"/>
                <w:color w:val="auto"/>
                <w:w w:val="91"/>
              </w:rPr>
              <w:t>(1)</w:t>
            </w:r>
          </w:p>
        </w:tc>
        <w:tc>
          <w:tcPr>
            <w:tcW w:w="1240" w:type="dxa"/>
            <w:vAlign w:val="bottom"/>
            <w:tcBorders>
              <w:top w:val="single" w:sz="8" w:color="auto"/>
              <w:bottom w:val="single" w:sz="8" w:color="auto"/>
              <w:right w:val="single" w:sz="8" w:color="auto"/>
            </w:tcBorders>
          </w:tcPr>
          <w:p>
            <w:pPr>
              <w:spacing w:after="0"/>
              <w:rPr>
                <w:sz w:val="16"/>
                <w:szCs w:val="16"/>
                <w:color w:val="auto"/>
              </w:rPr>
            </w:pPr>
          </w:p>
        </w:tc>
      </w:tr>
      <w:tr>
        <w:trPr>
          <w:trHeight w:val="169"/>
        </w:trPr>
        <w:tc>
          <w:tcPr>
            <w:tcW w:w="3220" w:type="dxa"/>
            <w:vAlign w:val="bottom"/>
            <w:tcBorders>
              <w:left w:val="single" w:sz="8" w:color="auto"/>
              <w:bottom w:val="single" w:sz="8" w:color="auto"/>
              <w:right w:val="single" w:sz="8" w:color="auto"/>
            </w:tcBorders>
          </w:tcPr>
          <w:p>
            <w:pPr>
              <w:spacing w:after="0"/>
              <w:rPr>
                <w:sz w:val="14"/>
                <w:szCs w:val="14"/>
                <w:color w:val="auto"/>
              </w:rPr>
            </w:pPr>
          </w:p>
        </w:tc>
        <w:tc>
          <w:tcPr>
            <w:tcW w:w="3280" w:type="dxa"/>
            <w:vAlign w:val="bottom"/>
            <w:tcBorders>
              <w:bottom w:val="single" w:sz="8" w:color="auto"/>
              <w:right w:val="single" w:sz="8" w:color="auto"/>
            </w:tcBorders>
            <w:gridSpan w:val="2"/>
          </w:tcPr>
          <w:p>
            <w:pPr>
              <w:jc w:val="right"/>
              <w:ind w:right="531"/>
              <w:spacing w:after="0" w:line="169" w:lineRule="exact"/>
              <w:rPr>
                <w:sz w:val="20"/>
                <w:szCs w:val="20"/>
                <w:color w:val="auto"/>
              </w:rPr>
            </w:pPr>
            <w:r>
              <w:rPr>
                <w:rFonts w:ascii="Arial" w:cs="Arial" w:eastAsia="Arial" w:hAnsi="Arial"/>
                <w:sz w:val="18"/>
                <w:szCs w:val="18"/>
                <w:b w:val="1"/>
                <w:bCs w:val="1"/>
                <w:color w:val="auto"/>
              </w:rPr>
              <w:t>Class A Stock (non-voting)</w:t>
            </w:r>
          </w:p>
        </w:tc>
        <w:tc>
          <w:tcPr>
            <w:tcW w:w="2820" w:type="dxa"/>
            <w:vAlign w:val="bottom"/>
            <w:tcBorders>
              <w:bottom w:val="single" w:sz="8" w:color="auto"/>
              <w:right w:val="single" w:sz="8" w:color="auto"/>
            </w:tcBorders>
            <w:gridSpan w:val="3"/>
          </w:tcPr>
          <w:p>
            <w:pPr>
              <w:jc w:val="right"/>
              <w:ind w:right="491"/>
              <w:spacing w:after="0" w:line="169" w:lineRule="exact"/>
              <w:rPr>
                <w:sz w:val="20"/>
                <w:szCs w:val="20"/>
                <w:color w:val="auto"/>
              </w:rPr>
            </w:pPr>
            <w:r>
              <w:rPr>
                <w:rFonts w:ascii="Arial" w:cs="Arial" w:eastAsia="Arial" w:hAnsi="Arial"/>
                <w:sz w:val="18"/>
                <w:szCs w:val="18"/>
                <w:b w:val="1"/>
                <w:bCs w:val="1"/>
                <w:color w:val="auto"/>
              </w:rPr>
              <w:t>Class B Stock (voting)</w:t>
            </w:r>
          </w:p>
        </w:tc>
      </w:tr>
      <w:tr>
        <w:trPr>
          <w:trHeight w:val="142"/>
        </w:trPr>
        <w:tc>
          <w:tcPr>
            <w:tcW w:w="3220" w:type="dxa"/>
            <w:vAlign w:val="bottom"/>
            <w:tcBorders>
              <w:left w:val="single" w:sz="8" w:color="auto"/>
              <w:right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Name and Address of</w:t>
            </w:r>
          </w:p>
        </w:tc>
        <w:tc>
          <w:tcPr>
            <w:tcW w:w="21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ind w:right="91"/>
              <w:spacing w:after="0" w:line="142" w:lineRule="exact"/>
              <w:rPr>
                <w:sz w:val="20"/>
                <w:szCs w:val="20"/>
                <w:color w:val="auto"/>
              </w:rPr>
            </w:pPr>
            <w:r>
              <w:rPr>
                <w:rFonts w:ascii="Arial" w:cs="Arial" w:eastAsia="Arial" w:hAnsi="Arial"/>
                <w:sz w:val="16"/>
                <w:szCs w:val="16"/>
                <w:b w:val="1"/>
                <w:bCs w:val="1"/>
                <w:color w:val="auto"/>
              </w:rPr>
              <w:t>Percentage</w:t>
            </w:r>
          </w:p>
        </w:tc>
        <w:tc>
          <w:tcPr>
            <w:tcW w:w="1460" w:type="dxa"/>
            <w:vAlign w:val="bottom"/>
            <w:tcBorders>
              <w:right w:val="single" w:sz="8" w:color="auto"/>
            </w:tcBorders>
          </w:tcPr>
          <w:p>
            <w:pPr>
              <w:jc w:val="right"/>
              <w:ind w:right="231"/>
              <w:spacing w:after="0" w:line="142" w:lineRule="exact"/>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2"/>
                <w:szCs w:val="12"/>
                <w:color w:val="auto"/>
              </w:rPr>
            </w:pPr>
          </w:p>
        </w:tc>
        <w:tc>
          <w:tcPr>
            <w:tcW w:w="1240" w:type="dxa"/>
            <w:vAlign w:val="bottom"/>
            <w:tcBorders>
              <w:right w:val="single" w:sz="8" w:color="auto"/>
            </w:tcBorders>
          </w:tcPr>
          <w:p>
            <w:pPr>
              <w:jc w:val="right"/>
              <w:ind w:right="91"/>
              <w:spacing w:after="0" w:line="142" w:lineRule="exact"/>
              <w:rPr>
                <w:sz w:val="20"/>
                <w:szCs w:val="20"/>
                <w:color w:val="auto"/>
              </w:rPr>
            </w:pPr>
            <w:r>
              <w:rPr>
                <w:rFonts w:ascii="Arial" w:cs="Arial" w:eastAsia="Arial" w:hAnsi="Arial"/>
                <w:sz w:val="16"/>
                <w:szCs w:val="16"/>
                <w:b w:val="1"/>
                <w:bCs w:val="1"/>
                <w:color w:val="auto"/>
                <w:w w:val="98"/>
              </w:rPr>
              <w:t>Percentage of</w:t>
            </w:r>
          </w:p>
        </w:tc>
      </w:tr>
      <w:tr>
        <w:trPr>
          <w:trHeight w:val="216"/>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Beneficial Owner</w:t>
            </w:r>
          </w:p>
        </w:tc>
        <w:tc>
          <w:tcPr>
            <w:tcW w:w="212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Number of Shares</w:t>
            </w:r>
          </w:p>
        </w:tc>
        <w:tc>
          <w:tcPr>
            <w:tcW w:w="1160" w:type="dxa"/>
            <w:vAlign w:val="bottom"/>
            <w:tcBorders>
              <w:bottom w:val="single" w:sz="8" w:color="auto"/>
              <w:right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of Stock</w:t>
            </w:r>
          </w:p>
        </w:tc>
        <w:tc>
          <w:tcPr>
            <w:tcW w:w="1460" w:type="dxa"/>
            <w:vAlign w:val="bottom"/>
            <w:tcBorders>
              <w:bottom w:val="single" w:sz="8" w:color="auto"/>
              <w:right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Stock</w:t>
            </w:r>
          </w:p>
        </w:tc>
      </w:tr>
      <w:tr>
        <w:trPr>
          <w:trHeight w:val="232"/>
        </w:trPr>
        <w:tc>
          <w:tcPr>
            <w:tcW w:w="3220" w:type="dxa"/>
            <w:vAlign w:val="bottom"/>
            <w:tcBorders>
              <w:left w:val="single" w:sz="8" w:color="auto"/>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Directors and NEOs</w:t>
            </w:r>
          </w:p>
        </w:tc>
        <w:tc>
          <w:tcPr>
            <w:tcW w:w="2120" w:type="dxa"/>
            <w:vAlign w:val="bottom"/>
            <w:tcBorders>
              <w:bottom w:val="single" w:sz="8" w:color="auto"/>
              <w:right w:val="single" w:sz="8" w:color="CCEEFF"/>
            </w:tcBorders>
            <w:shd w:val="clear" w:color="auto" w:fill="CCEEFF"/>
          </w:tcPr>
          <w:p>
            <w:pPr>
              <w:spacing w:after="0"/>
              <w:rPr>
                <w:sz w:val="20"/>
                <w:szCs w:val="20"/>
                <w:color w:val="auto"/>
              </w:rPr>
            </w:pPr>
          </w:p>
        </w:tc>
        <w:tc>
          <w:tcPr>
            <w:tcW w:w="1160" w:type="dxa"/>
            <w:vAlign w:val="bottom"/>
            <w:tcBorders>
              <w:bottom w:val="single" w:sz="8" w:color="auto"/>
              <w:right w:val="single" w:sz="8" w:color="CCEEFF"/>
            </w:tcBorders>
            <w:shd w:val="clear" w:color="auto" w:fill="CCEEFF"/>
          </w:tcPr>
          <w:p>
            <w:pPr>
              <w:spacing w:after="0"/>
              <w:rPr>
                <w:sz w:val="20"/>
                <w:szCs w:val="20"/>
                <w:color w:val="auto"/>
              </w:rPr>
            </w:pPr>
          </w:p>
        </w:tc>
        <w:tc>
          <w:tcPr>
            <w:tcW w:w="1460" w:type="dxa"/>
            <w:vAlign w:val="bottom"/>
            <w:tcBorders>
              <w:bottom w:val="single" w:sz="8" w:color="auto"/>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34"/>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Margaret Cotter (2) (5)</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2,488,743</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1,158,988</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36"/>
        </w:trPr>
        <w:tc>
          <w:tcPr>
            <w:tcW w:w="32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Ellen M. Cotter (3) (5)</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2,552,215</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457,166</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7"/>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Guy W. Adams</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78,148</w:t>
            </w:r>
          </w:p>
        </w:tc>
        <w:tc>
          <w:tcPr>
            <w:tcW w:w="11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36"/>
        </w:trPr>
        <w:tc>
          <w:tcPr>
            <w:tcW w:w="32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Dr. Judy Codding</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62,630</w:t>
            </w:r>
          </w:p>
        </w:tc>
        <w:tc>
          <w:tcPr>
            <w:tcW w:w="116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3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Douglas J. McEachern</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91,448</w:t>
            </w:r>
          </w:p>
        </w:tc>
        <w:tc>
          <w:tcPr>
            <w:tcW w:w="11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36"/>
        </w:trPr>
        <w:tc>
          <w:tcPr>
            <w:tcW w:w="32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 Craig Tompkins (4)</w:t>
            </w:r>
          </w:p>
        </w:tc>
        <w:tc>
          <w:tcPr>
            <w:tcW w:w="2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96,155</w:t>
            </w:r>
          </w:p>
        </w:tc>
        <w:tc>
          <w:tcPr>
            <w:tcW w:w="116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3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38"/>
        </w:trPr>
        <w:tc>
          <w:tcPr>
            <w:tcW w:w="3220" w:type="dxa"/>
            <w:vAlign w:val="bottom"/>
            <w:tcBorders>
              <w:left w:val="single" w:sz="8" w:color="auto"/>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Greater than 5% Stockholders</w:t>
            </w:r>
          </w:p>
        </w:tc>
        <w:tc>
          <w:tcPr>
            <w:tcW w:w="2120" w:type="dxa"/>
            <w:vAlign w:val="bottom"/>
            <w:tcBorders>
              <w:bottom w:val="single" w:sz="8" w:color="auto"/>
              <w:right w:val="single" w:sz="8" w:color="CCEEFF"/>
            </w:tcBorders>
            <w:shd w:val="clear" w:color="auto" w:fill="CCEEFF"/>
          </w:tcPr>
          <w:p>
            <w:pPr>
              <w:spacing w:after="0"/>
              <w:rPr>
                <w:sz w:val="20"/>
                <w:szCs w:val="20"/>
                <w:color w:val="auto"/>
              </w:rPr>
            </w:pPr>
          </w:p>
        </w:tc>
        <w:tc>
          <w:tcPr>
            <w:tcW w:w="1160" w:type="dxa"/>
            <w:vAlign w:val="bottom"/>
            <w:tcBorders>
              <w:bottom w:val="single" w:sz="8" w:color="auto"/>
              <w:right w:val="single" w:sz="8" w:color="CCEEFF"/>
            </w:tcBorders>
            <w:shd w:val="clear" w:color="auto" w:fill="CCEEFF"/>
          </w:tcPr>
          <w:p>
            <w:pPr>
              <w:spacing w:after="0"/>
              <w:rPr>
                <w:sz w:val="20"/>
                <w:szCs w:val="20"/>
                <w:color w:val="auto"/>
              </w:rPr>
            </w:pPr>
          </w:p>
        </w:tc>
        <w:tc>
          <w:tcPr>
            <w:tcW w:w="1460" w:type="dxa"/>
            <w:vAlign w:val="bottom"/>
            <w:tcBorders>
              <w:bottom w:val="single" w:sz="8" w:color="auto"/>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0"/>
        </w:trPr>
        <w:tc>
          <w:tcPr>
            <w:tcW w:w="3220" w:type="dxa"/>
            <w:vAlign w:val="bottom"/>
            <w:tcBorders>
              <w:left w:val="single" w:sz="8" w:color="auto"/>
              <w:right w:val="single" w:sz="8" w:color="auto"/>
            </w:tcBorders>
          </w:tcPr>
          <w:p>
            <w:pPr>
              <w:ind w:left="140"/>
              <w:spacing w:after="0" w:line="160" w:lineRule="exact"/>
              <w:rPr>
                <w:sz w:val="20"/>
                <w:szCs w:val="20"/>
                <w:color w:val="auto"/>
              </w:rPr>
            </w:pPr>
            <w:r>
              <w:rPr>
                <w:rFonts w:ascii="Arial" w:cs="Arial" w:eastAsia="Arial" w:hAnsi="Arial"/>
                <w:sz w:val="18"/>
                <w:szCs w:val="18"/>
                <w:color w:val="auto"/>
              </w:rPr>
              <w:t>James J. Cotter Living Trust (5)</w:t>
            </w:r>
          </w:p>
        </w:tc>
        <w:tc>
          <w:tcPr>
            <w:tcW w:w="212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8"/>
                <w:szCs w:val="18"/>
                <w:color w:val="auto"/>
              </w:rPr>
              <w:t>1,163,649</w:t>
            </w:r>
          </w:p>
        </w:tc>
        <w:tc>
          <w:tcPr>
            <w:tcW w:w="116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8"/>
                <w:szCs w:val="18"/>
                <w:color w:val="auto"/>
              </w:rPr>
              <w:t>5.7%</w:t>
            </w:r>
          </w:p>
        </w:tc>
        <w:tc>
          <w:tcPr>
            <w:tcW w:w="1460" w:type="dxa"/>
            <w:vAlign w:val="bottom"/>
            <w:tcBorders>
              <w:right w:val="single" w:sz="8" w:color="auto"/>
            </w:tcBorders>
          </w:tcPr>
          <w:p>
            <w:pPr>
              <w:jc w:val="right"/>
              <w:ind w:right="51"/>
              <w:spacing w:after="0" w:line="16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240" w:type="dxa"/>
            <w:vAlign w:val="bottom"/>
            <w:tcBorders>
              <w:right w:val="single" w:sz="8" w:color="auto"/>
            </w:tcBorders>
          </w:tcPr>
          <w:p>
            <w:pPr>
              <w:jc w:val="right"/>
              <w:ind w:right="51"/>
              <w:spacing w:after="0" w:line="160" w:lineRule="exact"/>
              <w:rPr>
                <w:sz w:val="20"/>
                <w:szCs w:val="20"/>
                <w:color w:val="auto"/>
              </w:rPr>
            </w:pPr>
            <w:r>
              <w:rPr>
                <w:rFonts w:ascii="Arial" w:cs="Arial" w:eastAsia="Arial" w:hAnsi="Arial"/>
                <w:sz w:val="18"/>
                <w:szCs w:val="18"/>
                <w:color w:val="auto"/>
              </w:rPr>
              <w:t>--</w:t>
            </w:r>
          </w:p>
        </w:tc>
      </w:tr>
      <w:tr>
        <w:trPr>
          <w:trHeight w:val="175"/>
        </w:trPr>
        <w:tc>
          <w:tcPr>
            <w:tcW w:w="3220" w:type="dxa"/>
            <w:vAlign w:val="bottom"/>
            <w:tcBorders>
              <w:left w:val="single" w:sz="8" w:color="auto"/>
              <w:right w:val="single" w:sz="8" w:color="auto"/>
            </w:tcBorders>
          </w:tcPr>
          <w:p>
            <w:pPr>
              <w:ind w:left="140"/>
              <w:spacing w:after="0" w:line="175" w:lineRule="exact"/>
              <w:rPr>
                <w:sz w:val="20"/>
                <w:szCs w:val="20"/>
                <w:color w:val="auto"/>
              </w:rPr>
            </w:pPr>
            <w:r>
              <w:rPr>
                <w:rFonts w:ascii="Arial" w:cs="Arial" w:eastAsia="Arial" w:hAnsi="Arial"/>
                <w:sz w:val="18"/>
                <w:szCs w:val="18"/>
                <w:color w:val="auto"/>
              </w:rPr>
              <w:t>c/o Reading International, Inc.</w:t>
            </w:r>
          </w:p>
        </w:tc>
        <w:tc>
          <w:tcPr>
            <w:tcW w:w="21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176"/>
        </w:trPr>
        <w:tc>
          <w:tcPr>
            <w:tcW w:w="322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5995 Sepulveda Blvd.</w:t>
            </w:r>
          </w:p>
        </w:tc>
        <w:tc>
          <w:tcPr>
            <w:tcW w:w="21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03"/>
        </w:trPr>
        <w:tc>
          <w:tcPr>
            <w:tcW w:w="3220" w:type="dxa"/>
            <w:vAlign w:val="bottom"/>
            <w:tcBorders>
              <w:left w:val="single" w:sz="8" w:color="auto"/>
              <w:bottom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Culver City, California 90230</w:t>
            </w:r>
          </w:p>
        </w:tc>
        <w:tc>
          <w:tcPr>
            <w:tcW w:w="2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155"/>
        </w:trPr>
        <w:tc>
          <w:tcPr>
            <w:tcW w:w="3220" w:type="dxa"/>
            <w:vAlign w:val="bottom"/>
            <w:tcBorders>
              <w:left w:val="single" w:sz="8" w:color="auto"/>
              <w:right w:val="single" w:sz="8" w:color="auto"/>
            </w:tcBorders>
            <w:shd w:val="clear" w:color="auto" w:fill="CCEEFF"/>
          </w:tcPr>
          <w:p>
            <w:pPr>
              <w:ind w:left="140"/>
              <w:spacing w:after="0" w:line="156" w:lineRule="exact"/>
              <w:rPr>
                <w:sz w:val="20"/>
                <w:szCs w:val="20"/>
                <w:color w:val="auto"/>
              </w:rPr>
            </w:pPr>
            <w:r>
              <w:rPr>
                <w:rFonts w:ascii="Arial" w:cs="Arial" w:eastAsia="Arial" w:hAnsi="Arial"/>
                <w:sz w:val="18"/>
                <w:szCs w:val="18"/>
                <w:color w:val="auto"/>
                <w:w w:val="91"/>
              </w:rPr>
              <w:t>Estate of James J. Cotter, Sr. (Deceased)</w:t>
            </w:r>
          </w:p>
        </w:tc>
        <w:tc>
          <w:tcPr>
            <w:tcW w:w="212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326,800</w:t>
            </w:r>
          </w:p>
        </w:tc>
        <w:tc>
          <w:tcPr>
            <w:tcW w:w="116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1.6%</w:t>
            </w:r>
          </w:p>
        </w:tc>
        <w:tc>
          <w:tcPr>
            <w:tcW w:w="146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6.0%</w:t>
            </w:r>
          </w:p>
        </w:tc>
      </w:tr>
      <w:tr>
        <w:trPr>
          <w:trHeight w:val="175"/>
        </w:trPr>
        <w:tc>
          <w:tcPr>
            <w:tcW w:w="3220" w:type="dxa"/>
            <w:vAlign w:val="bottom"/>
            <w:tcBorders>
              <w:left w:val="single" w:sz="8" w:color="auto"/>
              <w:right w:val="single" w:sz="8" w:color="auto"/>
            </w:tcBorders>
            <w:shd w:val="clear" w:color="auto" w:fill="CCEEFF"/>
          </w:tcPr>
          <w:p>
            <w:pPr>
              <w:ind w:left="140"/>
              <w:spacing w:after="0" w:line="175" w:lineRule="exact"/>
              <w:rPr>
                <w:sz w:val="20"/>
                <w:szCs w:val="20"/>
                <w:color w:val="auto"/>
              </w:rPr>
            </w:pPr>
            <w:r>
              <w:rPr>
                <w:rFonts w:ascii="Arial" w:cs="Arial" w:eastAsia="Arial" w:hAnsi="Arial"/>
                <w:sz w:val="18"/>
                <w:szCs w:val="18"/>
                <w:color w:val="auto"/>
              </w:rPr>
              <w:t>(5) c/o Reading International, Inc.</w:t>
            </w:r>
          </w:p>
        </w:tc>
        <w:tc>
          <w:tcPr>
            <w:tcW w:w="212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4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r>
      <w:tr>
        <w:trPr>
          <w:trHeight w:val="176"/>
        </w:trPr>
        <w:tc>
          <w:tcPr>
            <w:tcW w:w="3220" w:type="dxa"/>
            <w:vAlign w:val="bottom"/>
            <w:tcBorders>
              <w:left w:val="single" w:sz="8" w:color="auto"/>
              <w:right w:val="single" w:sz="8" w:color="auto"/>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5995 Sepulveda Blvd.</w:t>
            </w:r>
          </w:p>
        </w:tc>
        <w:tc>
          <w:tcPr>
            <w:tcW w:w="212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4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r>
      <w:tr>
        <w:trPr>
          <w:trHeight w:val="203"/>
        </w:trPr>
        <w:tc>
          <w:tcPr>
            <w:tcW w:w="3220" w:type="dxa"/>
            <w:vAlign w:val="bottom"/>
            <w:tcBorders>
              <w:left w:val="single" w:sz="8" w:color="auto"/>
              <w:bottom w:val="single" w:sz="8" w:color="auto"/>
              <w:right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Culver City, California 90230</w:t>
            </w:r>
          </w:p>
        </w:tc>
        <w:tc>
          <w:tcPr>
            <w:tcW w:w="2120" w:type="dxa"/>
            <w:vAlign w:val="bottom"/>
            <w:tcBorders>
              <w:bottom w:val="single" w:sz="8" w:color="auto"/>
              <w:right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spacing w:after="0"/>
              <w:rPr>
                <w:sz w:val="17"/>
                <w:szCs w:val="17"/>
                <w:color w:val="auto"/>
              </w:rPr>
            </w:pPr>
          </w:p>
        </w:tc>
        <w:tc>
          <w:tcPr>
            <w:tcW w:w="146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55"/>
        </w:trPr>
        <w:tc>
          <w:tcPr>
            <w:tcW w:w="3220" w:type="dxa"/>
            <w:vAlign w:val="bottom"/>
            <w:tcBorders>
              <w:left w:val="single" w:sz="8" w:color="auto"/>
              <w:right w:val="single" w:sz="8" w:color="auto"/>
            </w:tcBorders>
          </w:tcPr>
          <w:p>
            <w:pPr>
              <w:ind w:left="140"/>
              <w:spacing w:after="0" w:line="156" w:lineRule="exact"/>
              <w:rPr>
                <w:sz w:val="20"/>
                <w:szCs w:val="20"/>
                <w:color w:val="auto"/>
              </w:rPr>
            </w:pPr>
            <w:r>
              <w:rPr>
                <w:rFonts w:ascii="Arial" w:cs="Arial" w:eastAsia="Arial" w:hAnsi="Arial"/>
                <w:sz w:val="18"/>
                <w:szCs w:val="18"/>
                <w:color w:val="auto"/>
              </w:rPr>
              <w:t>Mark Cuban (6)</w:t>
            </w:r>
          </w:p>
        </w:tc>
        <w:tc>
          <w:tcPr>
            <w:tcW w:w="212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71"/>
              <w:spacing w:after="0" w:line="156" w:lineRule="exact"/>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172,355</w:t>
            </w:r>
          </w:p>
        </w:tc>
        <w:tc>
          <w:tcPr>
            <w:tcW w:w="120" w:type="dxa"/>
            <w:vAlign w:val="bottom"/>
          </w:tcPr>
          <w:p>
            <w:pPr>
              <w:spacing w:after="0"/>
              <w:rPr>
                <w:sz w:val="13"/>
                <w:szCs w:val="13"/>
                <w:color w:val="auto"/>
              </w:rPr>
            </w:pPr>
          </w:p>
        </w:tc>
        <w:tc>
          <w:tcPr>
            <w:tcW w:w="12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10.3%</w:t>
            </w:r>
          </w:p>
        </w:tc>
      </w:tr>
      <w:tr>
        <w:trPr>
          <w:trHeight w:val="175"/>
        </w:trPr>
        <w:tc>
          <w:tcPr>
            <w:tcW w:w="3220" w:type="dxa"/>
            <w:vAlign w:val="bottom"/>
            <w:tcBorders>
              <w:left w:val="single" w:sz="8" w:color="auto"/>
              <w:right w:val="single" w:sz="8" w:color="auto"/>
            </w:tcBorders>
          </w:tcPr>
          <w:p>
            <w:pPr>
              <w:ind w:left="140"/>
              <w:spacing w:after="0" w:line="175" w:lineRule="exact"/>
              <w:rPr>
                <w:sz w:val="20"/>
                <w:szCs w:val="20"/>
                <w:color w:val="auto"/>
              </w:rPr>
            </w:pPr>
            <w:r>
              <w:rPr>
                <w:rFonts w:ascii="Arial" w:cs="Arial" w:eastAsia="Arial" w:hAnsi="Arial"/>
                <w:sz w:val="18"/>
                <w:szCs w:val="18"/>
                <w:color w:val="auto"/>
              </w:rPr>
              <w:t>2931 Elm Street</w:t>
            </w:r>
          </w:p>
        </w:tc>
        <w:tc>
          <w:tcPr>
            <w:tcW w:w="21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03"/>
        </w:trPr>
        <w:tc>
          <w:tcPr>
            <w:tcW w:w="3220" w:type="dxa"/>
            <w:vAlign w:val="bottom"/>
            <w:tcBorders>
              <w:left w:val="single" w:sz="8" w:color="auto"/>
              <w:bottom w:val="single" w:sz="8" w:color="auto"/>
              <w:right w:val="single" w:sz="8" w:color="auto"/>
            </w:tcBorders>
          </w:tcPr>
          <w:p>
            <w:pPr>
              <w:ind w:left="140"/>
              <w:spacing w:after="0" w:line="203" w:lineRule="exact"/>
              <w:rPr>
                <w:sz w:val="20"/>
                <w:szCs w:val="20"/>
                <w:color w:val="auto"/>
              </w:rPr>
            </w:pPr>
            <w:r>
              <w:rPr>
                <w:rFonts w:ascii="Arial" w:cs="Arial" w:eastAsia="Arial" w:hAnsi="Arial"/>
                <w:sz w:val="18"/>
                <w:szCs w:val="18"/>
                <w:color w:val="auto"/>
              </w:rPr>
              <w:t>Dallas, Texas 75226</w:t>
            </w:r>
          </w:p>
        </w:tc>
        <w:tc>
          <w:tcPr>
            <w:tcW w:w="21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156"/>
        </w:trPr>
        <w:tc>
          <w:tcPr>
            <w:tcW w:w="3220" w:type="dxa"/>
            <w:vAlign w:val="bottom"/>
            <w:tcBorders>
              <w:left w:val="single" w:sz="8" w:color="auto"/>
              <w:right w:val="single" w:sz="8" w:color="auto"/>
            </w:tcBorders>
            <w:shd w:val="clear" w:color="auto" w:fill="CCEEFF"/>
          </w:tcPr>
          <w:p>
            <w:pPr>
              <w:ind w:left="140"/>
              <w:spacing w:after="0" w:line="156" w:lineRule="exact"/>
              <w:rPr>
                <w:sz w:val="20"/>
                <w:szCs w:val="20"/>
                <w:color w:val="auto"/>
              </w:rPr>
            </w:pPr>
            <w:r>
              <w:rPr>
                <w:rFonts w:ascii="Arial" w:cs="Arial" w:eastAsia="Arial" w:hAnsi="Arial"/>
                <w:sz w:val="18"/>
                <w:szCs w:val="18"/>
                <w:color w:val="auto"/>
              </w:rPr>
              <w:t>GAMCO (7)</w:t>
            </w:r>
          </w:p>
        </w:tc>
        <w:tc>
          <w:tcPr>
            <w:tcW w:w="212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594,369</w:t>
            </w:r>
          </w:p>
        </w:tc>
        <w:tc>
          <w:tcPr>
            <w:tcW w:w="116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2.9%</w:t>
            </w:r>
          </w:p>
        </w:tc>
        <w:tc>
          <w:tcPr>
            <w:tcW w:w="146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100,100</w:t>
            </w:r>
          </w:p>
        </w:tc>
        <w:tc>
          <w:tcPr>
            <w:tcW w:w="120" w:type="dxa"/>
            <w:vAlign w:val="bottom"/>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6.0%</w:t>
            </w:r>
          </w:p>
        </w:tc>
      </w:tr>
      <w:tr>
        <w:trPr>
          <w:trHeight w:val="175"/>
        </w:trPr>
        <w:tc>
          <w:tcPr>
            <w:tcW w:w="3220" w:type="dxa"/>
            <w:vAlign w:val="bottom"/>
            <w:tcBorders>
              <w:left w:val="single" w:sz="8" w:color="auto"/>
              <w:right w:val="single" w:sz="8" w:color="auto"/>
            </w:tcBorders>
            <w:shd w:val="clear" w:color="auto" w:fill="CCEEFF"/>
          </w:tcPr>
          <w:p>
            <w:pPr>
              <w:ind w:left="140"/>
              <w:spacing w:after="0" w:line="175" w:lineRule="exact"/>
              <w:rPr>
                <w:sz w:val="20"/>
                <w:szCs w:val="20"/>
                <w:color w:val="auto"/>
              </w:rPr>
            </w:pPr>
            <w:r>
              <w:rPr>
                <w:rFonts w:ascii="Arial" w:cs="Arial" w:eastAsia="Arial" w:hAnsi="Arial"/>
                <w:sz w:val="18"/>
                <w:szCs w:val="18"/>
                <w:color w:val="auto"/>
              </w:rPr>
              <w:t>One Corporate Center</w:t>
            </w:r>
          </w:p>
        </w:tc>
        <w:tc>
          <w:tcPr>
            <w:tcW w:w="212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14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auto"/>
            </w:tcBorders>
            <w:shd w:val="clear" w:color="auto" w:fill="CCEEFF"/>
          </w:tcPr>
          <w:p>
            <w:pPr>
              <w:spacing w:after="0"/>
              <w:rPr>
                <w:sz w:val="15"/>
                <w:szCs w:val="15"/>
                <w:color w:val="auto"/>
              </w:rPr>
            </w:pPr>
          </w:p>
        </w:tc>
      </w:tr>
      <w:tr>
        <w:trPr>
          <w:trHeight w:val="203"/>
        </w:trPr>
        <w:tc>
          <w:tcPr>
            <w:tcW w:w="3220" w:type="dxa"/>
            <w:vAlign w:val="bottom"/>
            <w:tcBorders>
              <w:left w:val="single" w:sz="8" w:color="auto"/>
              <w:bottom w:val="single" w:sz="8" w:color="auto"/>
              <w:right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Rye, New York 10580</w:t>
            </w:r>
          </w:p>
        </w:tc>
        <w:tc>
          <w:tcPr>
            <w:tcW w:w="2120" w:type="dxa"/>
            <w:vAlign w:val="bottom"/>
            <w:tcBorders>
              <w:bottom w:val="single" w:sz="8" w:color="auto"/>
              <w:right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spacing w:after="0"/>
              <w:rPr>
                <w:sz w:val="17"/>
                <w:szCs w:val="17"/>
                <w:color w:val="auto"/>
              </w:rPr>
            </w:pPr>
          </w:p>
        </w:tc>
        <w:tc>
          <w:tcPr>
            <w:tcW w:w="146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55"/>
        </w:trPr>
        <w:tc>
          <w:tcPr>
            <w:tcW w:w="3220" w:type="dxa"/>
            <w:vAlign w:val="bottom"/>
            <w:tcBorders>
              <w:left w:val="single" w:sz="8" w:color="auto"/>
              <w:right w:val="single" w:sz="8" w:color="auto"/>
            </w:tcBorders>
          </w:tcPr>
          <w:p>
            <w:pPr>
              <w:ind w:left="140"/>
              <w:spacing w:after="0" w:line="156" w:lineRule="exact"/>
              <w:rPr>
                <w:sz w:val="20"/>
                <w:szCs w:val="20"/>
                <w:color w:val="auto"/>
              </w:rPr>
            </w:pPr>
            <w:r>
              <w:rPr>
                <w:rFonts w:ascii="Arial" w:cs="Arial" w:eastAsia="Arial" w:hAnsi="Arial"/>
                <w:sz w:val="18"/>
                <w:szCs w:val="18"/>
                <w:color w:val="auto"/>
                <w:w w:val="96"/>
              </w:rPr>
              <w:t>All Directors and executive officers as a</w:t>
            </w:r>
          </w:p>
        </w:tc>
        <w:tc>
          <w:tcPr>
            <w:tcW w:w="212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4,116,483</w:t>
            </w:r>
          </w:p>
        </w:tc>
        <w:tc>
          <w:tcPr>
            <w:tcW w:w="11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19.8%</w:t>
            </w:r>
          </w:p>
        </w:tc>
        <w:tc>
          <w:tcPr>
            <w:tcW w:w="14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1,208,988</w:t>
            </w:r>
          </w:p>
        </w:tc>
        <w:tc>
          <w:tcPr>
            <w:tcW w:w="120" w:type="dxa"/>
            <w:vAlign w:val="bottom"/>
          </w:tcPr>
          <w:p>
            <w:pPr>
              <w:spacing w:after="0"/>
              <w:rPr>
                <w:sz w:val="13"/>
                <w:szCs w:val="13"/>
                <w:color w:val="auto"/>
              </w:rPr>
            </w:pPr>
          </w:p>
        </w:tc>
        <w:tc>
          <w:tcPr>
            <w:tcW w:w="12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71.9%</w:t>
            </w:r>
          </w:p>
        </w:tc>
      </w:tr>
      <w:tr>
        <w:trPr>
          <w:trHeight w:val="230"/>
        </w:trPr>
        <w:tc>
          <w:tcPr>
            <w:tcW w:w="3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group (13 persons) (8)</w:t>
            </w:r>
          </w:p>
        </w:tc>
        <w:tc>
          <w:tcPr>
            <w:tcW w:w="21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215"/>
        </w:trPr>
        <w:tc>
          <w:tcPr>
            <w:tcW w:w="3220" w:type="dxa"/>
            <w:vAlign w:val="bottom"/>
            <w:tcBorders>
              <w:left w:val="single" w:sz="8" w:color="auto"/>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412"/>
        </w:trPr>
        <w:tc>
          <w:tcPr>
            <w:tcW w:w="3220" w:type="dxa"/>
            <w:vAlign w:val="bottom"/>
          </w:tcPr>
          <w:p>
            <w:pPr>
              <w:spacing w:after="0"/>
              <w:rPr>
                <w:sz w:val="24"/>
                <w:szCs w:val="24"/>
                <w:color w:val="auto"/>
              </w:rPr>
            </w:pPr>
          </w:p>
        </w:tc>
        <w:tc>
          <w:tcPr>
            <w:tcW w:w="2120" w:type="dxa"/>
            <w:vAlign w:val="bottom"/>
          </w:tcPr>
          <w:p>
            <w:pPr>
              <w:jc w:val="right"/>
              <w:ind w:right="510"/>
              <w:spacing w:after="0"/>
              <w:rPr>
                <w:sz w:val="20"/>
                <w:szCs w:val="20"/>
                <w:color w:val="auto"/>
              </w:rPr>
            </w:pPr>
            <w:r>
              <w:rPr>
                <w:rFonts w:ascii="Arial" w:cs="Arial" w:eastAsia="Arial" w:hAnsi="Arial"/>
                <w:sz w:val="18"/>
                <w:szCs w:val="18"/>
                <w:color w:val="auto"/>
              </w:rPr>
              <w:t>32</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1"/>
        </w:trPr>
        <w:tc>
          <w:tcPr>
            <w:tcW w:w="32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r>
        <w:trPr>
          <w:trHeight w:val="20"/>
        </w:trPr>
        <w:tc>
          <w:tcPr>
            <w:tcW w:w="322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-37465</wp:posOffset>
            </wp:positionV>
            <wp:extent cx="3365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37" w:name="page38"/>
    <w:bookmarkEnd w:id="37"/>
    <w:p>
      <w:pPr>
        <w:jc w:val="both"/>
        <w:ind w:left="420" w:right="279" w:hanging="236"/>
        <w:spacing w:after="0" w:line="300" w:lineRule="auto"/>
        <w:tabs>
          <w:tab w:leader="none" w:pos="39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Percentage ownership is determined based on 20,592,834 shares of Class A Stock and 1,680,590 shares of Class B stock outstanding as of April 30, 2023. Beneficial ownership has been determined in accordance with SEC rules. Shares subject to options, RSUs or PRSUs that are currently exercisable or that have vested, or that will become exercisable or have vested within 60 days, following the date as of which this information is provided, are deemed to be beneficially owned by the person holding the options, RSUs or PRSUs and are deemed to be outstanding in computing the percentage ownership of that person, but not in computing the percentage ownership of any other person.</w:t>
      </w:r>
    </w:p>
    <w:p>
      <w:pPr>
        <w:spacing w:after="0" w:line="118" w:lineRule="exact"/>
        <w:rPr>
          <w:rFonts w:ascii="Arial" w:cs="Arial" w:eastAsia="Arial" w:hAnsi="Arial"/>
          <w:sz w:val="13"/>
          <w:szCs w:val="13"/>
          <w:color w:val="auto"/>
        </w:rPr>
      </w:pPr>
    </w:p>
    <w:p>
      <w:pPr>
        <w:jc w:val="both"/>
        <w:ind w:left="420" w:right="279" w:hanging="236"/>
        <w:spacing w:after="0" w:line="220" w:lineRule="auto"/>
        <w:tabs>
          <w:tab w:leader="none" w:pos="381"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Class A Stock shown includes 792,781 shares held directly and 17,806 shares subject to stock options. The Class A Stock shown also includes 84,956 shares held by the James J. Cotter Education Trust #1. Margaret Cotter is sole Trustee of the James J. Cotter Education Trust #1 and, as such, is deemed to beneficially own such shares. The Class A Stock shown includes 326,800 shares of Class A Stock that are part of the Cotter Estate. As Co-Executors of the Cotter Estate, Margaret. Cotter and Ellen M. Cotter are each deemed to beneficially own such shares. The shares of Class A Stock shown includes 1,163,649 shares held by the Cotter Living Trust. See footnote 7 to this table for information regarding beneficial ownership of the shares held by the Cotter Estate and/or the Cotter Living Trust. As Co-Trustees of the Living Trust, Margaret Cotter and Ellen Cotter are each deemed to beneficially own such shares. The Class A Stock shown also includes 102,751 shares held by the Cotter Foundation, of which Margaret Cotter and Ellen M. Cotter are Co-Trustees and accordingly each deemed a beneficial owner.</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Class B Stock shown include 342,266.4 shares owned directly by Margaret Cotter, 100,000 of shares of Class B stock held by the Cotter</w:t>
      </w:r>
    </w:p>
    <w:p>
      <w:pPr>
        <w:spacing w:after="0" w:line="11" w:lineRule="exact"/>
        <w:rPr>
          <w:sz w:val="20"/>
          <w:szCs w:val="20"/>
          <w:color w:val="auto"/>
        </w:rPr>
      </w:pPr>
    </w:p>
    <w:p>
      <w:pPr>
        <w:jc w:val="both"/>
        <w:ind w:left="420" w:right="279"/>
        <w:spacing w:after="0" w:line="227" w:lineRule="auto"/>
        <w:rPr>
          <w:sz w:val="20"/>
          <w:szCs w:val="20"/>
          <w:color w:val="auto"/>
        </w:rPr>
      </w:pPr>
      <w:r>
        <w:rPr>
          <w:rFonts w:ascii="Arial" w:cs="Arial" w:eastAsia="Arial" w:hAnsi="Arial"/>
          <w:sz w:val="13"/>
          <w:szCs w:val="13"/>
          <w:color w:val="auto"/>
        </w:rPr>
        <w:t>Estate, 307,166.4 shares owned by Ellen M. Cotter but as to which Ellen M. Cotter has granted sole voting power and, pending negotiation and execution of a definitive stockholders agreement between them, shared dispositive power to Margaret Cotter, and 409,552.2 shares held of</w:t>
      </w:r>
    </w:p>
    <w:p>
      <w:pPr>
        <w:spacing w:after="0" w:line="1" w:lineRule="exact"/>
        <w:rPr>
          <w:sz w:val="20"/>
          <w:szCs w:val="20"/>
          <w:color w:val="auto"/>
        </w:rPr>
      </w:pPr>
    </w:p>
    <w:p>
      <w:pPr>
        <w:jc w:val="both"/>
        <w:ind w:left="420" w:right="299"/>
        <w:spacing w:after="0" w:line="227" w:lineRule="auto"/>
        <w:rPr>
          <w:sz w:val="20"/>
          <w:szCs w:val="20"/>
          <w:color w:val="auto"/>
        </w:rPr>
      </w:pPr>
      <w:r>
        <w:rPr>
          <w:rFonts w:ascii="Arial" w:cs="Arial" w:eastAsia="Arial" w:hAnsi="Arial"/>
          <w:sz w:val="14"/>
          <w:szCs w:val="14"/>
          <w:color w:val="auto"/>
        </w:rPr>
        <w:t>record by the Cotter Estate and/or the Cotter Living Trust, approved for distribution to a to-be-formed trust for the benefit of the children of Margaret Cotter and over which Margaret Cotter has sole voting and dispositive power.</w:t>
      </w:r>
    </w:p>
    <w:p>
      <w:pPr>
        <w:spacing w:after="0" w:line="142" w:lineRule="exact"/>
        <w:rPr>
          <w:sz w:val="20"/>
          <w:szCs w:val="20"/>
          <w:color w:val="auto"/>
        </w:rPr>
      </w:pPr>
    </w:p>
    <w:p>
      <w:pPr>
        <w:jc w:val="both"/>
        <w:ind w:left="420" w:right="279"/>
        <w:spacing w:after="0"/>
        <w:rPr>
          <w:sz w:val="20"/>
          <w:szCs w:val="20"/>
          <w:color w:val="auto"/>
        </w:rPr>
      </w:pPr>
      <w:r>
        <w:rPr>
          <w:rFonts w:ascii="Arial" w:cs="Arial" w:eastAsia="Arial" w:hAnsi="Arial"/>
          <w:sz w:val="14"/>
          <w:szCs w:val="14"/>
          <w:color w:val="auto"/>
        </w:rPr>
        <w:t>Margaret Cotter disclaims beneficial ownership of the shares held by the James J. Cotter Education Trust #1, the Cotter Foundation, the Cotter Estate and the Cotter Living Trust, except to the extent of her pecuniary interest, if any, in such shares."</w:t>
      </w:r>
    </w:p>
    <w:p>
      <w:pPr>
        <w:spacing w:after="0" w:line="340" w:lineRule="exact"/>
        <w:rPr>
          <w:sz w:val="20"/>
          <w:szCs w:val="20"/>
          <w:color w:val="auto"/>
        </w:rPr>
      </w:pPr>
    </w:p>
    <w:p>
      <w:pPr>
        <w:jc w:val="both"/>
        <w:ind w:left="420" w:right="279" w:hanging="236"/>
        <w:spacing w:after="0" w:line="273" w:lineRule="auto"/>
        <w:tabs>
          <w:tab w:leader="none" w:pos="403"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Class A Stock shown includes 869,556 shares held directly and 89,459 shares subject to stock options. The Class A Stock shown also includes 102,751 shares held by the Cotter Foundation of which Ellen M. Cotter and Margaret Cotter are Co-Trustees and accordingly, are each deemed to own such shares. The Class A Stock shown also includes 326,800 shares that are part of the Cotter Estate. As Co-Executors of the Cotter Estate, Ellen M. Cotter and Margaret Cotter are each deemed to beneficially own such shares. The shares of Class A Stock shown also include 1,163,649 shares held by the Cotter Living Trust. See footnote 7 to this table for information regarding beneficial ownership of the shares held by the Cotter Estate and the Cotter Living Trust. As Co-Trustees of the Cotter Living Trust, Ellen M. Cotter and Margaret Cotter are deemed to beneficially own such shares.</w:t>
      </w:r>
    </w:p>
    <w:p>
      <w:pPr>
        <w:spacing w:after="0" w:line="122" w:lineRule="exact"/>
        <w:rPr>
          <w:rFonts w:ascii="Arial" w:cs="Arial" w:eastAsia="Arial" w:hAnsi="Arial"/>
          <w:sz w:val="14"/>
          <w:szCs w:val="14"/>
          <w:color w:val="auto"/>
        </w:rPr>
      </w:pPr>
    </w:p>
    <w:p>
      <w:pPr>
        <w:jc w:val="both"/>
        <w:ind w:left="420" w:right="279"/>
        <w:spacing w:after="0" w:line="228" w:lineRule="auto"/>
        <w:rPr>
          <w:rFonts w:ascii="Arial" w:cs="Arial" w:eastAsia="Arial" w:hAnsi="Arial"/>
          <w:sz w:val="14"/>
          <w:szCs w:val="14"/>
          <w:color w:val="auto"/>
        </w:rPr>
      </w:pPr>
      <w:r>
        <w:rPr>
          <w:rFonts w:ascii="Arial" w:cs="Arial" w:eastAsia="Arial" w:hAnsi="Arial"/>
          <w:sz w:val="14"/>
          <w:szCs w:val="14"/>
          <w:color w:val="auto"/>
        </w:rPr>
        <w:t>The Class B Stock shown includes (i) 50,000 shares owned directly by Ellen M. Cotter, (ii) 100,000 of shares of Class B Stock held by the Cotter Estate and (iii) 307,166.4 shares of Class B Stock of which Ms. Margaret Cotter has sole voting power and, pending the negotiation and execution of a definitive stockholders agreement between them, shared dispositive power over such shares even though she retains all pecuniary interest in such shares.</w:t>
      </w:r>
    </w:p>
    <w:p>
      <w:pPr>
        <w:spacing w:after="0" w:line="144" w:lineRule="exact"/>
        <w:rPr>
          <w:rFonts w:ascii="Arial" w:cs="Arial" w:eastAsia="Arial" w:hAnsi="Arial"/>
          <w:sz w:val="14"/>
          <w:szCs w:val="14"/>
          <w:color w:val="auto"/>
        </w:rPr>
      </w:pPr>
    </w:p>
    <w:p>
      <w:pPr>
        <w:jc w:val="both"/>
        <w:ind w:left="420" w:right="279"/>
        <w:spacing w:after="0" w:line="228" w:lineRule="auto"/>
        <w:rPr>
          <w:rFonts w:ascii="Arial" w:cs="Arial" w:eastAsia="Arial" w:hAnsi="Arial"/>
          <w:sz w:val="14"/>
          <w:szCs w:val="14"/>
          <w:color w:val="auto"/>
        </w:rPr>
      </w:pPr>
      <w:r>
        <w:rPr>
          <w:rFonts w:ascii="Arial" w:cs="Arial" w:eastAsia="Arial" w:hAnsi="Arial"/>
          <w:sz w:val="14"/>
          <w:szCs w:val="14"/>
          <w:color w:val="auto"/>
        </w:rPr>
        <w:t>Ellen M. Cotter disclaims beneficial ownership of the shares held by the Cotter Foundation, the Cotter Estate and the Cotter Living Trust, except to the extent of her pecuniary interest, if any, in such shares. The Class A Stock shown includes 22,473 shares held directly, 17,857 shares subject to stock options. The Class A Stock shown also includes 55,825 shares held by various retirement accounts, and as such Craig Tompkins is deemed to beneficially own such shares.</w:t>
      </w:r>
    </w:p>
    <w:p>
      <w:pPr>
        <w:spacing w:after="0" w:line="144" w:lineRule="exact"/>
        <w:rPr>
          <w:rFonts w:ascii="Arial" w:cs="Arial" w:eastAsia="Arial" w:hAnsi="Arial"/>
          <w:sz w:val="14"/>
          <w:szCs w:val="14"/>
          <w:color w:val="auto"/>
        </w:rPr>
      </w:pPr>
    </w:p>
    <w:p>
      <w:pPr>
        <w:jc w:val="both"/>
        <w:ind w:left="420" w:right="279" w:hanging="236"/>
        <w:spacing w:after="0" w:line="238"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Class A Stock shown includes 22,473 shares held directly, 17,857 shares subject to stock options. The Class A Stock shown also includes 55,825 shares held by various retirement accounts, and as such Craig Tompkins is deemed to beneficially own such shares. Based on Mr. Cuban's Form 4 filed with the SEC on September 15, 2023.</w:t>
      </w:r>
    </w:p>
    <w:p>
      <w:pPr>
        <w:spacing w:after="0" w:line="128" w:lineRule="exact"/>
        <w:rPr>
          <w:rFonts w:ascii="Arial" w:cs="Arial" w:eastAsia="Arial" w:hAnsi="Arial"/>
          <w:sz w:val="14"/>
          <w:szCs w:val="14"/>
          <w:color w:val="auto"/>
        </w:rPr>
      </w:pPr>
    </w:p>
    <w:p>
      <w:pPr>
        <w:jc w:val="both"/>
        <w:ind w:left="420" w:right="279" w:hanging="236"/>
        <w:spacing w:after="0" w:line="237" w:lineRule="auto"/>
        <w:tabs>
          <w:tab w:leader="none" w:pos="4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Effective September 19, 2022, (i) subject to the final administration of the Cotter Estate, 327,808 shares of Class B Stock held of record by the Cotter Estate will be distributed to a to-be-formed trust for the benefit of the children of Margaret Cotter, (ii) 307,166.4 shares of the Class B Stock held by the Cotter Living Trust were conveyed to Ellen M. Cotter, (iii) 307,166.4 shares of the Class B Stock held by the Cotter Living Trust were conveyed to Margaret Cotter, and (iv) 81,747.2 shares of the Class B Stock were approved for distribution to the to-be-formed trust for the benefit of the children of Margaret Cotter. As a result of these transactions, the table sets forth only the residual 100,000 shares of such Class B Stock as beneficially owned by the Cotter Estate and no Class B Stock as beneficially owned by the Cotter Living Trust. Margaret Cotter and Ellen M. Cotter continue to have shared voting and dispositive power over the 100,000 shares of Class B Stock beneficially owned by the Estate. Pursuant to the terms of the settlement agreement, Margaret Cotter now has sole voting and sole dispositive power over the 327,808 shares of Class B Stock held by the Cotter Estate and the 81,747.2 shares of Class B Stock held by the Cotter Living Trust that are to be distributed to the to-be-formed trust for her children.</w:t>
      </w:r>
    </w:p>
    <w:p>
      <w:pPr>
        <w:spacing w:after="0" w:line="143" w:lineRule="exact"/>
        <w:rPr>
          <w:rFonts w:ascii="Arial" w:cs="Arial" w:eastAsia="Arial" w:hAnsi="Arial"/>
          <w:sz w:val="13"/>
          <w:szCs w:val="13"/>
          <w:color w:val="auto"/>
        </w:rPr>
      </w:pPr>
    </w:p>
    <w:p>
      <w:pPr>
        <w:ind w:left="420" w:hanging="236"/>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Mr. Cuban's Form 4 filed with the SEC on September 15, 2023.</w:t>
      </w:r>
    </w:p>
    <w:p>
      <w:pPr>
        <w:spacing w:after="0" w:line="163" w:lineRule="exact"/>
        <w:rPr>
          <w:rFonts w:ascii="Arial" w:cs="Arial" w:eastAsia="Arial" w:hAnsi="Arial"/>
          <w:sz w:val="14"/>
          <w:szCs w:val="14"/>
          <w:color w:val="auto"/>
        </w:rPr>
      </w:pPr>
    </w:p>
    <w:p>
      <w:pPr>
        <w:jc w:val="both"/>
        <w:ind w:left="420" w:right="279" w:hanging="236"/>
        <w:spacing w:after="0" w:line="228"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GAMCO Investors, Inc.’s Schedule 13D filed with the SEC on December 26, 2017, on behalf of Mario J. Gabelli (“Mario Gabelli”) and various entities which Mario Gabelli directly or indirectly controls or for which he acts as Chief Investment Officer, Mario Gabelli holds 84,530 shares of Class B Stock, but the Company has reason to believe that Mr. Gabelli holds an aggregate amount of 100,100 shares of Class B Stock.</w:t>
      </w:r>
    </w:p>
    <w:p>
      <w:pPr>
        <w:spacing w:after="0" w:line="144" w:lineRule="exact"/>
        <w:rPr>
          <w:rFonts w:ascii="Arial" w:cs="Arial" w:eastAsia="Arial" w:hAnsi="Arial"/>
          <w:sz w:val="14"/>
          <w:szCs w:val="14"/>
          <w:color w:val="auto"/>
        </w:rPr>
      </w:pPr>
    </w:p>
    <w:p>
      <w:pPr>
        <w:ind w:left="420" w:right="279" w:hanging="236"/>
        <w:spacing w:after="0" w:line="253"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Class A Stock shown includes 205,122 shares subject to stock options currently exercisable or exercisable within 60 days, and RSUs that have vested or will vest within 60 days.</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180"/>
        <w:spacing w:after="0"/>
        <w:rPr>
          <w:sz w:val="20"/>
          <w:szCs w:val="20"/>
          <w:color w:val="auto"/>
        </w:rPr>
      </w:pPr>
      <w:r>
        <w:rPr>
          <w:rFonts w:ascii="Arial" w:cs="Arial" w:eastAsia="Arial" w:hAnsi="Arial"/>
          <w:sz w:val="18"/>
          <w:szCs w:val="18"/>
          <w:b w:val="1"/>
          <w:bCs w:val="1"/>
          <w:color w:val="auto"/>
        </w:rPr>
        <w:t>Delinquent Section 16(a) Reports</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Section 16(a) of the Exchange Act requires our executive officers and Directors, and persons who own more</w:t>
      </w:r>
    </w:p>
    <w:p>
      <w:pPr>
        <w:jc w:val="both"/>
        <w:ind w:left="180" w:right="740"/>
        <w:spacing w:after="0" w:line="234" w:lineRule="auto"/>
        <w:rPr>
          <w:sz w:val="20"/>
          <w:szCs w:val="20"/>
          <w:color w:val="auto"/>
        </w:rPr>
      </w:pPr>
      <w:r>
        <w:rPr>
          <w:rFonts w:ascii="Arial" w:cs="Arial" w:eastAsia="Arial" w:hAnsi="Arial"/>
          <w:sz w:val="16"/>
          <w:szCs w:val="16"/>
          <w:color w:val="auto"/>
        </w:rPr>
        <w:t>than 10% of our common stock, to file reports regarding ownership of, and transactions in, our securities with the SEC and to provide us with copies of those filings. Based solely on our review of the copies received by us and on the written representations of certain reporting persons, we believe that all of our executive officers and Directors, and</w:t>
      </w:r>
    </w:p>
    <w:p>
      <w:pPr>
        <w:spacing w:after="0" w:line="2" w:lineRule="exact"/>
        <w:rPr>
          <w:sz w:val="20"/>
          <w:szCs w:val="20"/>
          <w:color w:val="auto"/>
        </w:rPr>
      </w:pPr>
    </w:p>
    <w:p>
      <w:pPr>
        <w:jc w:val="both"/>
        <w:ind w:left="180" w:right="740"/>
        <w:spacing w:after="0" w:line="226" w:lineRule="auto"/>
        <w:rPr>
          <w:sz w:val="20"/>
          <w:szCs w:val="20"/>
          <w:color w:val="auto"/>
        </w:rPr>
      </w:pPr>
      <w:r>
        <w:rPr>
          <w:rFonts w:ascii="Arial" w:cs="Arial" w:eastAsia="Arial" w:hAnsi="Arial"/>
          <w:sz w:val="18"/>
          <w:szCs w:val="18"/>
          <w:color w:val="auto"/>
        </w:rPr>
        <w:t>greater than 10% beneficial owners, complied with the reporting requirements of Section 16(a) during 2022, except as follows:</w:t>
      </w:r>
    </w:p>
    <w:p>
      <w:pPr>
        <w:spacing w:after="0" w:line="144"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Name of Reporting Person</w:t>
            </w:r>
          </w:p>
        </w:tc>
        <w:tc>
          <w:tcPr>
            <w:tcW w:w="3060" w:type="dxa"/>
            <w:vAlign w:val="bottom"/>
          </w:tcPr>
          <w:p>
            <w:pPr>
              <w:jc w:val="right"/>
              <w:ind w:right="530"/>
              <w:spacing w:after="0"/>
              <w:rPr>
                <w:sz w:val="20"/>
                <w:szCs w:val="20"/>
                <w:color w:val="auto"/>
              </w:rPr>
            </w:pPr>
            <w:r>
              <w:rPr>
                <w:rFonts w:ascii="Arial" w:cs="Arial" w:eastAsia="Arial" w:hAnsi="Arial"/>
                <w:sz w:val="18"/>
                <w:szCs w:val="18"/>
                <w:b w:val="1"/>
                <w:bCs w:val="1"/>
                <w:color w:val="auto"/>
              </w:rPr>
              <w:t>Number of Late Reports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Number of Transactions</w:t>
            </w:r>
          </w:p>
        </w:tc>
      </w:tr>
      <w:tr>
        <w:trPr>
          <w:trHeight w:val="378"/>
        </w:trPr>
        <w:tc>
          <w:tcPr>
            <w:tcW w:w="2600" w:type="dxa"/>
            <w:vAlign w:val="bottom"/>
          </w:tcPr>
          <w:p>
            <w:pPr>
              <w:ind w:left="60"/>
              <w:spacing w:after="0"/>
              <w:rPr>
                <w:sz w:val="20"/>
                <w:szCs w:val="20"/>
                <w:color w:val="auto"/>
              </w:rPr>
            </w:pPr>
            <w:r>
              <w:rPr>
                <w:rFonts w:ascii="Arial" w:cs="Arial" w:eastAsia="Arial" w:hAnsi="Arial"/>
                <w:sz w:val="18"/>
                <w:szCs w:val="18"/>
                <w:color w:val="auto"/>
              </w:rPr>
              <w:t>Margaret Cotter</w:t>
            </w:r>
          </w:p>
        </w:tc>
        <w:tc>
          <w:tcPr>
            <w:tcW w:w="3060" w:type="dxa"/>
            <w:vAlign w:val="bottom"/>
          </w:tcPr>
          <w:p>
            <w:pPr>
              <w:jc w:val="right"/>
              <w:ind w:right="1370"/>
              <w:spacing w:after="0"/>
              <w:rPr>
                <w:sz w:val="20"/>
                <w:szCs w:val="20"/>
                <w:color w:val="auto"/>
              </w:rPr>
            </w:pPr>
            <w:r>
              <w:rPr>
                <w:rFonts w:ascii="Arial" w:cs="Arial" w:eastAsia="Arial" w:hAnsi="Arial"/>
                <w:sz w:val="18"/>
                <w:szCs w:val="18"/>
                <w:color w:val="auto"/>
              </w:rPr>
              <w:t>1</w:t>
            </w:r>
          </w:p>
        </w:tc>
        <w:tc>
          <w:tcPr>
            <w:tcW w:w="2460" w:type="dxa"/>
            <w:vAlign w:val="bottom"/>
          </w:tcPr>
          <w:p>
            <w:pPr>
              <w:jc w:val="right"/>
              <w:ind w:right="750"/>
              <w:spacing w:after="0"/>
              <w:rPr>
                <w:sz w:val="20"/>
                <w:szCs w:val="20"/>
                <w:color w:val="auto"/>
              </w:rPr>
            </w:pPr>
            <w:r>
              <w:rPr>
                <w:rFonts w:ascii="Arial" w:cs="Arial" w:eastAsia="Arial" w:hAnsi="Arial"/>
                <w:sz w:val="18"/>
                <w:szCs w:val="18"/>
                <w:color w:val="auto"/>
              </w:rPr>
              <w:t>1</w:t>
            </w:r>
          </w:p>
        </w:tc>
      </w:tr>
      <w:tr>
        <w:trPr>
          <w:trHeight w:val="270"/>
        </w:trPr>
        <w:tc>
          <w:tcPr>
            <w:tcW w:w="2600" w:type="dxa"/>
            <w:vAlign w:val="bottom"/>
          </w:tcPr>
          <w:p>
            <w:pPr>
              <w:ind w:left="60"/>
              <w:spacing w:after="0"/>
              <w:rPr>
                <w:sz w:val="20"/>
                <w:szCs w:val="20"/>
                <w:color w:val="auto"/>
              </w:rPr>
            </w:pPr>
            <w:r>
              <w:rPr>
                <w:rFonts w:ascii="Arial" w:cs="Arial" w:eastAsia="Arial" w:hAnsi="Arial"/>
                <w:sz w:val="18"/>
                <w:szCs w:val="18"/>
                <w:color w:val="auto"/>
              </w:rPr>
              <w:t>Ellen M. Cotter</w:t>
            </w:r>
          </w:p>
        </w:tc>
        <w:tc>
          <w:tcPr>
            <w:tcW w:w="3060" w:type="dxa"/>
            <w:vAlign w:val="bottom"/>
          </w:tcPr>
          <w:p>
            <w:pPr>
              <w:jc w:val="right"/>
              <w:ind w:right="1370"/>
              <w:spacing w:after="0"/>
              <w:rPr>
                <w:sz w:val="20"/>
                <w:szCs w:val="20"/>
                <w:color w:val="auto"/>
              </w:rPr>
            </w:pPr>
            <w:r>
              <w:rPr>
                <w:rFonts w:ascii="Arial" w:cs="Arial" w:eastAsia="Arial" w:hAnsi="Arial"/>
                <w:sz w:val="18"/>
                <w:szCs w:val="18"/>
                <w:color w:val="auto"/>
              </w:rPr>
              <w:t>1</w:t>
            </w:r>
          </w:p>
        </w:tc>
        <w:tc>
          <w:tcPr>
            <w:tcW w:w="2460" w:type="dxa"/>
            <w:vAlign w:val="bottom"/>
          </w:tcPr>
          <w:p>
            <w:pPr>
              <w:jc w:val="right"/>
              <w:ind w:right="75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-548005</wp:posOffset>
            </wp:positionV>
            <wp:extent cx="5897880" cy="608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97880" cy="608330"/>
                    </a:xfrm>
                    <a:prstGeom prst="rect">
                      <a:avLst/>
                    </a:prstGeom>
                    <a:noFill/>
                  </pic:spPr>
                </pic:pic>
              </a:graphicData>
            </a:graphic>
          </wp:anchor>
        </w:drawing>
      </w:r>
    </w:p>
    <w:p>
      <w:pPr>
        <w:spacing w:after="0" w:line="27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Insofar as we are aware, all required filings have now been made.</w:t>
      </w:r>
    </w:p>
    <w:p>
      <w:pPr>
        <w:spacing w:after="0" w:line="131" w:lineRule="exact"/>
        <w:rPr>
          <w:sz w:val="20"/>
          <w:szCs w:val="20"/>
          <w:color w:val="auto"/>
        </w:rPr>
      </w:pPr>
    </w:p>
    <w:p>
      <w:pPr>
        <w:jc w:val="both"/>
        <w:ind w:left="180" w:right="740" w:firstLine="648"/>
        <w:spacing w:after="0" w:line="251" w:lineRule="auto"/>
        <w:rPr>
          <w:sz w:val="20"/>
          <w:szCs w:val="20"/>
          <w:color w:val="auto"/>
        </w:rPr>
      </w:pPr>
      <w:r>
        <w:rPr>
          <w:rFonts w:ascii="Arial" w:cs="Arial" w:eastAsia="Arial" w:hAnsi="Arial"/>
          <w:sz w:val="17"/>
          <w:szCs w:val="17"/>
          <w:color w:val="auto"/>
        </w:rPr>
        <w:t>These filing relate to certain stock transactions made in connection with the settlement of certain litigations titled, (i) In Re: James J/. Cotter Living Trust, Ellen Marie Cotter, Margaret Cotter, Petitioners vs. James J. Cotter, Jr., Respondent, Case No: BP159755, and (ii) In the Matter of the Estate of James J. Cotter, Case No: P-14-082942-E as described in SC 13D/A dated November 2, 2022 and SC 13D/A dated July 14, 2022.</w:t>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both"/>
        <w:ind w:left="180" w:right="740" w:firstLine="648"/>
        <w:spacing w:after="0" w:line="246" w:lineRule="auto"/>
        <w:rPr>
          <w:sz w:val="20"/>
          <w:szCs w:val="20"/>
          <w:color w:val="auto"/>
        </w:rPr>
      </w:pPr>
      <w:r>
        <w:rPr>
          <w:rFonts w:ascii="Arial" w:cs="Arial" w:eastAsia="Arial" w:hAnsi="Arial"/>
          <w:sz w:val="18"/>
          <w:szCs w:val="18"/>
          <w:color w:val="auto"/>
        </w:rPr>
        <w:t>The following table sets forth information regarding our current executive officers, other than Chair Margaret Cotter and Vice-Chair Ellen Cotter, whose information is set forth above under “Directors.”</w:t>
      </w:r>
    </w:p>
    <w:p>
      <w:pPr>
        <w:spacing w:after="0" w:line="200" w:lineRule="exact"/>
        <w:rPr>
          <w:sz w:val="20"/>
          <w:szCs w:val="20"/>
          <w:color w:val="auto"/>
        </w:rPr>
      </w:pPr>
    </w:p>
    <w:p>
      <w:pPr>
        <w:spacing w:after="0" w:line="207" w:lineRule="exact"/>
        <w:rPr>
          <w:sz w:val="20"/>
          <w:szCs w:val="20"/>
          <w:color w:val="auto"/>
        </w:rPr>
      </w:pPr>
    </w:p>
    <w:tbl>
      <w:tblPr>
        <w:tblLayout w:type="fixed"/>
        <w:tblInd w:w="190" w:type="dxa"/>
        <w:tblCellMar>
          <w:top w:w="0" w:type="dxa"/>
          <w:left w:w="0" w:type="dxa"/>
          <w:bottom w:w="0" w:type="dxa"/>
          <w:right w:w="0" w:type="dxa"/>
        </w:tblCellMar>
      </w:tblPr>
      <w:tr>
        <w:trPr>
          <w:trHeight w:val="189"/>
        </w:trPr>
        <w:tc>
          <w:tcPr>
            <w:tcW w:w="2180" w:type="dxa"/>
            <w:vAlign w:val="bottom"/>
            <w:tcBorders>
              <w:top w:val="single" w:sz="8" w:color="auto"/>
              <w:left w:val="single" w:sz="8" w:color="auto"/>
              <w:bottom w:val="single" w:sz="8" w:color="auto"/>
              <w:right w:val="single" w:sz="8" w:color="auto"/>
            </w:tcBorders>
          </w:tcPr>
          <w:p>
            <w:pPr>
              <w:ind w:left="240"/>
              <w:spacing w:after="0" w:line="189" w:lineRule="exact"/>
              <w:rPr>
                <w:sz w:val="20"/>
                <w:szCs w:val="20"/>
                <w:color w:val="auto"/>
              </w:rPr>
            </w:pPr>
            <w:r>
              <w:rPr>
                <w:rFonts w:ascii="Arial" w:cs="Arial" w:eastAsia="Arial" w:hAnsi="Arial"/>
                <w:sz w:val="18"/>
                <w:szCs w:val="18"/>
                <w:b w:val="1"/>
                <w:bCs w:val="1"/>
                <w:color w:val="auto"/>
              </w:rPr>
              <w:t>Name</w:t>
            </w:r>
          </w:p>
        </w:tc>
        <w:tc>
          <w:tcPr>
            <w:tcW w:w="1220" w:type="dxa"/>
            <w:vAlign w:val="bottom"/>
            <w:tcBorders>
              <w:top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8"/>
              </w:rPr>
              <w:t>Age</w:t>
            </w:r>
          </w:p>
        </w:tc>
        <w:tc>
          <w:tcPr>
            <w:tcW w:w="5920" w:type="dxa"/>
            <w:vAlign w:val="bottom"/>
            <w:tcBorders>
              <w:top w:val="single" w:sz="8" w:color="auto"/>
              <w:bottom w:val="single" w:sz="8" w:color="auto"/>
              <w:right w:val="single" w:sz="8" w:color="auto"/>
            </w:tcBorders>
          </w:tcPr>
          <w:p>
            <w:pPr>
              <w:ind w:left="340"/>
              <w:spacing w:after="0" w:line="189" w:lineRule="exact"/>
              <w:rPr>
                <w:sz w:val="20"/>
                <w:szCs w:val="20"/>
                <w:color w:val="auto"/>
              </w:rPr>
            </w:pPr>
            <w:r>
              <w:rPr>
                <w:rFonts w:ascii="Arial" w:cs="Arial" w:eastAsia="Arial" w:hAnsi="Arial"/>
                <w:sz w:val="18"/>
                <w:szCs w:val="18"/>
                <w:b w:val="1"/>
                <w:bCs w:val="1"/>
                <w:color w:val="auto"/>
              </w:rPr>
              <w:t>Title</w:t>
            </w:r>
          </w:p>
        </w:tc>
      </w:tr>
      <w:tr>
        <w:trPr>
          <w:trHeight w:val="155"/>
        </w:trPr>
        <w:tc>
          <w:tcPr>
            <w:tcW w:w="2180" w:type="dxa"/>
            <w:vAlign w:val="bottom"/>
            <w:tcBorders>
              <w:left w:val="single" w:sz="8" w:color="auto"/>
              <w:right w:val="single" w:sz="8" w:color="auto"/>
            </w:tcBorders>
            <w:shd w:val="clear" w:color="auto" w:fill="C6E5FE"/>
          </w:tcPr>
          <w:p>
            <w:pPr>
              <w:ind w:left="240"/>
              <w:spacing w:after="0" w:line="154" w:lineRule="exact"/>
              <w:rPr>
                <w:sz w:val="20"/>
                <w:szCs w:val="20"/>
                <w:color w:val="auto"/>
              </w:rPr>
            </w:pPr>
            <w:r>
              <w:rPr>
                <w:rFonts w:ascii="Arial" w:cs="Arial" w:eastAsia="Arial" w:hAnsi="Arial"/>
                <w:sz w:val="17"/>
                <w:szCs w:val="17"/>
                <w:color w:val="auto"/>
              </w:rPr>
              <w:t>Gilbert</w:t>
            </w:r>
          </w:p>
        </w:tc>
        <w:tc>
          <w:tcPr>
            <w:tcW w:w="122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w w:val="94"/>
              </w:rPr>
              <w:t>49</w:t>
            </w:r>
          </w:p>
        </w:tc>
        <w:tc>
          <w:tcPr>
            <w:tcW w:w="5920" w:type="dxa"/>
            <w:vAlign w:val="bottom"/>
            <w:tcBorders>
              <w:right w:val="single" w:sz="8" w:color="auto"/>
            </w:tcBorders>
            <w:shd w:val="clear" w:color="auto" w:fill="C6E5FE"/>
          </w:tcPr>
          <w:p>
            <w:pPr>
              <w:ind w:left="100"/>
              <w:spacing w:after="0" w:line="154" w:lineRule="exact"/>
              <w:rPr>
                <w:sz w:val="20"/>
                <w:szCs w:val="20"/>
                <w:color w:val="auto"/>
              </w:rPr>
            </w:pPr>
            <w:r>
              <w:rPr>
                <w:rFonts w:ascii="Arial" w:cs="Arial" w:eastAsia="Arial" w:hAnsi="Arial"/>
                <w:sz w:val="17"/>
                <w:szCs w:val="17"/>
                <w:color w:val="auto"/>
              </w:rPr>
              <w:t>Executive Vice President, Chief Financial Officer and Treasurer</w:t>
            </w:r>
          </w:p>
        </w:tc>
      </w:tr>
      <w:tr>
        <w:trPr>
          <w:trHeight w:val="203"/>
        </w:trPr>
        <w:tc>
          <w:tcPr>
            <w:tcW w:w="2180" w:type="dxa"/>
            <w:vAlign w:val="bottom"/>
            <w:tcBorders>
              <w:left w:val="single" w:sz="8" w:color="auto"/>
              <w:bottom w:val="single" w:sz="8" w:color="auto"/>
              <w:right w:val="single" w:sz="8" w:color="auto"/>
            </w:tcBorders>
            <w:shd w:val="clear" w:color="auto" w:fill="C6E5FE"/>
          </w:tcPr>
          <w:p>
            <w:pPr>
              <w:ind w:left="240"/>
              <w:spacing w:after="0" w:line="203" w:lineRule="exact"/>
              <w:rPr>
                <w:sz w:val="20"/>
                <w:szCs w:val="20"/>
                <w:color w:val="auto"/>
              </w:rPr>
            </w:pPr>
            <w:r>
              <w:rPr>
                <w:rFonts w:ascii="Arial" w:cs="Arial" w:eastAsia="Arial" w:hAnsi="Arial"/>
                <w:sz w:val="18"/>
                <w:szCs w:val="18"/>
                <w:color w:val="auto"/>
              </w:rPr>
              <w:t>Avanes</w:t>
            </w:r>
          </w:p>
        </w:tc>
        <w:tc>
          <w:tcPr>
            <w:tcW w:w="1220" w:type="dxa"/>
            <w:vAlign w:val="bottom"/>
            <w:tcBorders>
              <w:bottom w:val="single" w:sz="8" w:color="auto"/>
              <w:right w:val="single" w:sz="8" w:color="auto"/>
            </w:tcBorders>
            <w:shd w:val="clear" w:color="auto" w:fill="C6E5FE"/>
          </w:tcPr>
          <w:p>
            <w:pPr>
              <w:spacing w:after="0"/>
              <w:rPr>
                <w:sz w:val="17"/>
                <w:szCs w:val="17"/>
                <w:color w:val="auto"/>
              </w:rPr>
            </w:pPr>
          </w:p>
        </w:tc>
        <w:tc>
          <w:tcPr>
            <w:tcW w:w="5920" w:type="dxa"/>
            <w:vAlign w:val="bottom"/>
            <w:tcBorders>
              <w:bottom w:val="single" w:sz="8" w:color="auto"/>
              <w:right w:val="single" w:sz="8" w:color="auto"/>
            </w:tcBorders>
            <w:shd w:val="clear" w:color="auto" w:fill="C6E5FE"/>
          </w:tcPr>
          <w:p>
            <w:pPr>
              <w:spacing w:after="0"/>
              <w:rPr>
                <w:sz w:val="17"/>
                <w:szCs w:val="17"/>
                <w:color w:val="auto"/>
              </w:rPr>
            </w:pPr>
          </w:p>
        </w:tc>
      </w:tr>
      <w:tr>
        <w:trPr>
          <w:trHeight w:val="169"/>
        </w:trPr>
        <w:tc>
          <w:tcPr>
            <w:tcW w:w="2180" w:type="dxa"/>
            <w:vAlign w:val="bottom"/>
            <w:tcBorders>
              <w:left w:val="single" w:sz="8" w:color="auto"/>
              <w:bottom w:val="single" w:sz="8" w:color="auto"/>
              <w:right w:val="single" w:sz="8" w:color="auto"/>
            </w:tcBorders>
          </w:tcPr>
          <w:p>
            <w:pPr>
              <w:ind w:left="240"/>
              <w:spacing w:after="0" w:line="169" w:lineRule="exact"/>
              <w:rPr>
                <w:sz w:val="20"/>
                <w:szCs w:val="20"/>
                <w:color w:val="auto"/>
              </w:rPr>
            </w:pPr>
            <w:r>
              <w:rPr>
                <w:rFonts w:ascii="Arial" w:cs="Arial" w:eastAsia="Arial" w:hAnsi="Arial"/>
                <w:sz w:val="18"/>
                <w:szCs w:val="18"/>
                <w:color w:val="auto"/>
              </w:rPr>
              <w:t>Robert F. Smerling</w:t>
            </w:r>
          </w:p>
        </w:tc>
        <w:tc>
          <w:tcPr>
            <w:tcW w:w="12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88</w:t>
            </w:r>
          </w:p>
        </w:tc>
        <w:tc>
          <w:tcPr>
            <w:tcW w:w="5920" w:type="dxa"/>
            <w:vAlign w:val="bottom"/>
            <w:tcBorders>
              <w:bottom w:val="single" w:sz="8" w:color="auto"/>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President, U.S. Cinemas</w:t>
            </w:r>
          </w:p>
        </w:tc>
      </w:tr>
      <w:tr>
        <w:trPr>
          <w:trHeight w:val="169"/>
        </w:trPr>
        <w:tc>
          <w:tcPr>
            <w:tcW w:w="2180" w:type="dxa"/>
            <w:vAlign w:val="bottom"/>
            <w:tcBorders>
              <w:left w:val="single" w:sz="8" w:color="auto"/>
              <w:bottom w:val="single" w:sz="8" w:color="auto"/>
              <w:right w:val="single" w:sz="8" w:color="auto"/>
            </w:tcBorders>
            <w:shd w:val="clear" w:color="auto" w:fill="C6E5FE"/>
          </w:tcPr>
          <w:p>
            <w:pPr>
              <w:ind w:left="240"/>
              <w:spacing w:after="0" w:line="169" w:lineRule="exact"/>
              <w:rPr>
                <w:sz w:val="20"/>
                <w:szCs w:val="20"/>
                <w:color w:val="auto"/>
              </w:rPr>
            </w:pPr>
            <w:r>
              <w:rPr>
                <w:rFonts w:ascii="Arial" w:cs="Arial" w:eastAsia="Arial" w:hAnsi="Arial"/>
                <w:sz w:val="18"/>
                <w:szCs w:val="18"/>
                <w:color w:val="auto"/>
              </w:rPr>
              <w:t>S. Craig Tompkins</w:t>
            </w:r>
          </w:p>
        </w:tc>
        <w:tc>
          <w:tcPr>
            <w:tcW w:w="122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89"/>
              </w:rPr>
              <w:t>72</w:t>
            </w:r>
          </w:p>
        </w:tc>
        <w:tc>
          <w:tcPr>
            <w:tcW w:w="5920" w:type="dxa"/>
            <w:vAlign w:val="bottom"/>
            <w:tcBorders>
              <w:bottom w:val="single" w:sz="8" w:color="auto"/>
              <w:right w:val="single" w:sz="8" w:color="auto"/>
            </w:tcBorders>
            <w:shd w:val="clear" w:color="auto" w:fill="C6E5FE"/>
          </w:tcPr>
          <w:p>
            <w:pPr>
              <w:ind w:left="100"/>
              <w:spacing w:after="0" w:line="169" w:lineRule="exact"/>
              <w:rPr>
                <w:sz w:val="20"/>
                <w:szCs w:val="20"/>
                <w:color w:val="auto"/>
              </w:rPr>
            </w:pPr>
            <w:r>
              <w:rPr>
                <w:rFonts w:ascii="Arial" w:cs="Arial" w:eastAsia="Arial" w:hAnsi="Arial"/>
                <w:sz w:val="18"/>
                <w:szCs w:val="18"/>
                <w:color w:val="auto"/>
              </w:rPr>
              <w:t>Executive Vice President, General Counsel</w:t>
            </w:r>
          </w:p>
        </w:tc>
      </w:tr>
      <w:tr>
        <w:trPr>
          <w:trHeight w:val="169"/>
        </w:trPr>
        <w:tc>
          <w:tcPr>
            <w:tcW w:w="2180" w:type="dxa"/>
            <w:vAlign w:val="bottom"/>
            <w:tcBorders>
              <w:left w:val="single" w:sz="8" w:color="auto"/>
              <w:bottom w:val="single" w:sz="8" w:color="auto"/>
              <w:right w:val="single" w:sz="8" w:color="auto"/>
            </w:tcBorders>
          </w:tcPr>
          <w:p>
            <w:pPr>
              <w:ind w:left="240"/>
              <w:spacing w:after="0" w:line="169" w:lineRule="exact"/>
              <w:rPr>
                <w:sz w:val="20"/>
                <w:szCs w:val="20"/>
                <w:color w:val="auto"/>
              </w:rPr>
            </w:pPr>
            <w:r>
              <w:rPr>
                <w:rFonts w:ascii="Arial" w:cs="Arial" w:eastAsia="Arial" w:hAnsi="Arial"/>
                <w:sz w:val="18"/>
                <w:szCs w:val="18"/>
                <w:color w:val="auto"/>
              </w:rPr>
              <w:t>Andrzej Matyczynski</w:t>
            </w:r>
          </w:p>
        </w:tc>
        <w:tc>
          <w:tcPr>
            <w:tcW w:w="12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71</w:t>
            </w:r>
          </w:p>
        </w:tc>
        <w:tc>
          <w:tcPr>
            <w:tcW w:w="5920" w:type="dxa"/>
            <w:vAlign w:val="bottom"/>
            <w:tcBorders>
              <w:bottom w:val="single" w:sz="8" w:color="auto"/>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Executive Vice President, Global Operations</w:t>
            </w:r>
          </w:p>
        </w:tc>
      </w:tr>
      <w:tr>
        <w:trPr>
          <w:trHeight w:val="169"/>
        </w:trPr>
        <w:tc>
          <w:tcPr>
            <w:tcW w:w="2180" w:type="dxa"/>
            <w:vAlign w:val="bottom"/>
            <w:tcBorders>
              <w:left w:val="single" w:sz="8" w:color="auto"/>
              <w:bottom w:val="single" w:sz="8" w:color="auto"/>
              <w:right w:val="single" w:sz="8" w:color="auto"/>
            </w:tcBorders>
            <w:shd w:val="clear" w:color="auto" w:fill="C6E5FE"/>
          </w:tcPr>
          <w:p>
            <w:pPr>
              <w:ind w:left="240"/>
              <w:spacing w:after="0" w:line="169" w:lineRule="exact"/>
              <w:rPr>
                <w:sz w:val="20"/>
                <w:szCs w:val="20"/>
                <w:color w:val="auto"/>
              </w:rPr>
            </w:pPr>
            <w:r>
              <w:rPr>
                <w:rFonts w:ascii="Arial" w:cs="Arial" w:eastAsia="Arial" w:hAnsi="Arial"/>
                <w:sz w:val="18"/>
                <w:szCs w:val="18"/>
                <w:color w:val="auto"/>
              </w:rPr>
              <w:t>John Goeddel</w:t>
            </w:r>
          </w:p>
        </w:tc>
        <w:tc>
          <w:tcPr>
            <w:tcW w:w="122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89"/>
              </w:rPr>
              <w:t>60</w:t>
            </w:r>
          </w:p>
        </w:tc>
        <w:tc>
          <w:tcPr>
            <w:tcW w:w="5920" w:type="dxa"/>
            <w:vAlign w:val="bottom"/>
            <w:tcBorders>
              <w:bottom w:val="single" w:sz="8" w:color="auto"/>
              <w:right w:val="single" w:sz="8" w:color="auto"/>
            </w:tcBorders>
            <w:shd w:val="clear" w:color="auto" w:fill="C6E5FE"/>
          </w:tcPr>
          <w:p>
            <w:pPr>
              <w:ind w:left="100"/>
              <w:spacing w:after="0" w:line="169" w:lineRule="exact"/>
              <w:rPr>
                <w:sz w:val="20"/>
                <w:szCs w:val="20"/>
                <w:color w:val="auto"/>
              </w:rPr>
            </w:pPr>
            <w:r>
              <w:rPr>
                <w:rFonts w:ascii="Arial" w:cs="Arial" w:eastAsia="Arial" w:hAnsi="Arial"/>
                <w:sz w:val="18"/>
                <w:szCs w:val="18"/>
                <w:color w:val="auto"/>
              </w:rPr>
              <w:t>Executive Vice President, Chief Information Officer</w:t>
            </w:r>
          </w:p>
        </w:tc>
      </w:tr>
      <w:tr>
        <w:trPr>
          <w:trHeight w:val="169"/>
        </w:trPr>
        <w:tc>
          <w:tcPr>
            <w:tcW w:w="2180" w:type="dxa"/>
            <w:vAlign w:val="bottom"/>
            <w:tcBorders>
              <w:left w:val="single" w:sz="8" w:color="auto"/>
              <w:bottom w:val="single" w:sz="8" w:color="auto"/>
              <w:right w:val="single" w:sz="8" w:color="auto"/>
            </w:tcBorders>
          </w:tcPr>
          <w:p>
            <w:pPr>
              <w:ind w:left="240"/>
              <w:spacing w:after="0" w:line="169" w:lineRule="exact"/>
              <w:rPr>
                <w:sz w:val="20"/>
                <w:szCs w:val="20"/>
                <w:color w:val="auto"/>
              </w:rPr>
            </w:pPr>
            <w:r>
              <w:rPr>
                <w:rFonts w:ascii="Arial" w:cs="Arial" w:eastAsia="Arial" w:hAnsi="Arial"/>
                <w:sz w:val="18"/>
                <w:szCs w:val="18"/>
                <w:color w:val="auto"/>
              </w:rPr>
              <w:t>Terri Moore</w:t>
            </w:r>
          </w:p>
        </w:tc>
        <w:tc>
          <w:tcPr>
            <w:tcW w:w="12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72</w:t>
            </w:r>
          </w:p>
        </w:tc>
        <w:tc>
          <w:tcPr>
            <w:tcW w:w="5920" w:type="dxa"/>
            <w:vAlign w:val="bottom"/>
            <w:tcBorders>
              <w:bottom w:val="single" w:sz="8" w:color="auto"/>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Executive Vice President, US Cinemas Operations</w:t>
            </w:r>
          </w:p>
        </w:tc>
      </w:tr>
      <w:tr>
        <w:trPr>
          <w:trHeight w:val="169"/>
        </w:trPr>
        <w:tc>
          <w:tcPr>
            <w:tcW w:w="2180" w:type="dxa"/>
            <w:vAlign w:val="bottom"/>
            <w:tcBorders>
              <w:left w:val="single" w:sz="8" w:color="auto"/>
              <w:bottom w:val="single" w:sz="8" w:color="auto"/>
              <w:right w:val="single" w:sz="8" w:color="auto"/>
            </w:tcBorders>
            <w:shd w:val="clear" w:color="auto" w:fill="C6E5FE"/>
          </w:tcPr>
          <w:p>
            <w:pPr>
              <w:ind w:left="240"/>
              <w:spacing w:after="0" w:line="169" w:lineRule="exact"/>
              <w:rPr>
                <w:sz w:val="20"/>
                <w:szCs w:val="20"/>
                <w:color w:val="auto"/>
              </w:rPr>
            </w:pPr>
            <w:r>
              <w:rPr>
                <w:rFonts w:ascii="Arial" w:cs="Arial" w:eastAsia="Arial" w:hAnsi="Arial"/>
                <w:sz w:val="18"/>
                <w:szCs w:val="18"/>
                <w:color w:val="auto"/>
              </w:rPr>
              <w:t>Steve Lucas</w:t>
            </w:r>
          </w:p>
        </w:tc>
        <w:tc>
          <w:tcPr>
            <w:tcW w:w="1220" w:type="dxa"/>
            <w:vAlign w:val="bottom"/>
            <w:tcBorders>
              <w:bottom w:val="single" w:sz="8" w:color="auto"/>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w w:val="89"/>
              </w:rPr>
              <w:t>53</w:t>
            </w:r>
          </w:p>
        </w:tc>
        <w:tc>
          <w:tcPr>
            <w:tcW w:w="5920" w:type="dxa"/>
            <w:vAlign w:val="bottom"/>
            <w:tcBorders>
              <w:bottom w:val="single" w:sz="8" w:color="auto"/>
              <w:right w:val="single" w:sz="8" w:color="auto"/>
            </w:tcBorders>
            <w:shd w:val="clear" w:color="auto" w:fill="C6E5FE"/>
          </w:tcPr>
          <w:p>
            <w:pPr>
              <w:ind w:left="100"/>
              <w:spacing w:after="0" w:line="169" w:lineRule="exact"/>
              <w:rPr>
                <w:sz w:val="20"/>
                <w:szCs w:val="20"/>
                <w:color w:val="auto"/>
              </w:rPr>
            </w:pPr>
            <w:r>
              <w:rPr>
                <w:rFonts w:ascii="Arial" w:cs="Arial" w:eastAsia="Arial" w:hAnsi="Arial"/>
                <w:sz w:val="18"/>
                <w:szCs w:val="18"/>
                <w:color w:val="auto"/>
              </w:rPr>
              <w:t>Vice President, Chief Accounting Officer, and Controller</w:t>
            </w:r>
          </w:p>
        </w:tc>
      </w:tr>
      <w:tr>
        <w:trPr>
          <w:trHeight w:val="169"/>
        </w:trPr>
        <w:tc>
          <w:tcPr>
            <w:tcW w:w="2180" w:type="dxa"/>
            <w:vAlign w:val="bottom"/>
            <w:tcBorders>
              <w:left w:val="single" w:sz="8" w:color="auto"/>
              <w:bottom w:val="single" w:sz="8" w:color="auto"/>
              <w:right w:val="single" w:sz="8" w:color="auto"/>
            </w:tcBorders>
          </w:tcPr>
          <w:p>
            <w:pPr>
              <w:ind w:left="240"/>
              <w:spacing w:after="0" w:line="169" w:lineRule="exact"/>
              <w:rPr>
                <w:sz w:val="20"/>
                <w:szCs w:val="20"/>
                <w:color w:val="auto"/>
              </w:rPr>
            </w:pPr>
            <w:r>
              <w:rPr>
                <w:rFonts w:ascii="Arial" w:cs="Arial" w:eastAsia="Arial" w:hAnsi="Arial"/>
                <w:sz w:val="18"/>
                <w:szCs w:val="18"/>
                <w:color w:val="auto"/>
              </w:rPr>
              <w:t>Mark Douglas</w:t>
            </w:r>
          </w:p>
        </w:tc>
        <w:tc>
          <w:tcPr>
            <w:tcW w:w="122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53</w:t>
            </w:r>
          </w:p>
        </w:tc>
        <w:tc>
          <w:tcPr>
            <w:tcW w:w="5920" w:type="dxa"/>
            <w:vAlign w:val="bottom"/>
            <w:tcBorders>
              <w:bottom w:val="single" w:sz="8" w:color="auto"/>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Managing Director – Australia and New Zealand</w:t>
            </w:r>
          </w:p>
        </w:tc>
      </w:tr>
    </w:tbl>
    <w:p>
      <w:pPr>
        <w:spacing w:after="0" w:line="161" w:lineRule="exact"/>
        <w:rPr>
          <w:sz w:val="20"/>
          <w:szCs w:val="20"/>
          <w:color w:val="auto"/>
        </w:rPr>
      </w:pPr>
    </w:p>
    <w:p>
      <w:pPr>
        <w:jc w:val="both"/>
        <w:ind w:left="180" w:right="740" w:firstLine="648"/>
        <w:spacing w:after="0" w:line="241" w:lineRule="auto"/>
        <w:rPr>
          <w:sz w:val="20"/>
          <w:szCs w:val="20"/>
          <w:color w:val="auto"/>
        </w:rPr>
      </w:pPr>
      <w:r>
        <w:rPr>
          <w:rFonts w:ascii="Arial" w:cs="Arial" w:eastAsia="Arial" w:hAnsi="Arial"/>
          <w:sz w:val="16"/>
          <w:szCs w:val="16"/>
          <w:u w:val="single" w:color="auto"/>
          <w:color w:val="auto"/>
        </w:rPr>
        <w:t>Gilbert Avanes</w:t>
      </w:r>
      <w:r>
        <w:rPr>
          <w:rFonts w:ascii="Arial" w:cs="Arial" w:eastAsia="Arial" w:hAnsi="Arial"/>
          <w:sz w:val="16"/>
          <w:szCs w:val="16"/>
          <w:color w:val="auto"/>
        </w:rPr>
        <w:t>. Mr. Avanes serves as the Executive Vice President, Chief Financial Officer and Treasurer; he was appointed to this position on November 5, 2019. Mr. Avanes has been an employee of and consultant to our Company since August 2007, most recently serving as Interim Chief Financial Officer and Treasurer of our Company,</w:t>
      </w:r>
    </w:p>
    <w:p>
      <w:pPr>
        <w:spacing w:after="0" w:line="2"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from January 24, 2019 through November 4, 2019. Prior thereto, Mr. Avanes served as our Vice President of Financial Planning and Analysis (January 2016 to January 2019), Senior Director of Financial Planning and Analysis (January 2012 to December 2015), and as a consultant and then Senior Finance Manager (August 2007 to December</w:t>
      </w:r>
    </w:p>
    <w:p>
      <w:pPr>
        <w:spacing w:after="0" w:line="2" w:lineRule="exact"/>
        <w:rPr>
          <w:sz w:val="20"/>
          <w:szCs w:val="20"/>
          <w:color w:val="auto"/>
        </w:rPr>
      </w:pPr>
    </w:p>
    <w:p>
      <w:pPr>
        <w:jc w:val="both"/>
        <w:ind w:left="180" w:right="740"/>
        <w:spacing w:after="0" w:line="221" w:lineRule="auto"/>
        <w:rPr>
          <w:sz w:val="20"/>
          <w:szCs w:val="20"/>
          <w:color w:val="auto"/>
        </w:rPr>
      </w:pPr>
      <w:r>
        <w:rPr>
          <w:rFonts w:ascii="Arial" w:cs="Arial" w:eastAsia="Arial" w:hAnsi="Arial"/>
          <w:sz w:val="17"/>
          <w:szCs w:val="17"/>
          <w:color w:val="auto"/>
        </w:rPr>
        <w:t>2011). Prior to joining Reading, Mr. Avanes served in various finance and accounting roles over the course of a decade at Toronto-Dominion Bank Financial Group located in Toronto, Canada. Mr. Avanes is a Certified Public Accountant (U.S.) and Chartered Professional Accountant (CPA, CGA) (Canada) and has a Master of Business</w:t>
      </w:r>
    </w:p>
    <w:p>
      <w:pPr>
        <w:jc w:val="both"/>
        <w:ind w:left="180" w:right="740"/>
        <w:spacing w:after="0" w:line="226" w:lineRule="auto"/>
        <w:rPr>
          <w:sz w:val="20"/>
          <w:szCs w:val="20"/>
          <w:color w:val="auto"/>
        </w:rPr>
      </w:pPr>
      <w:r>
        <w:rPr>
          <w:rFonts w:ascii="Arial" w:cs="Arial" w:eastAsia="Arial" w:hAnsi="Arial"/>
          <w:sz w:val="18"/>
          <w:szCs w:val="18"/>
          <w:color w:val="auto"/>
        </w:rPr>
        <w:t>Administration from Laurentian University and a Bachelor of Commerce (Major in Accounting and Minor in Finance) from Toronto Metropolitan University.</w:t>
      </w:r>
    </w:p>
    <w:p>
      <w:pPr>
        <w:spacing w:after="0" w:line="134" w:lineRule="exact"/>
        <w:rPr>
          <w:sz w:val="20"/>
          <w:szCs w:val="20"/>
          <w:color w:val="auto"/>
        </w:rPr>
      </w:pPr>
    </w:p>
    <w:p>
      <w:pPr>
        <w:jc w:val="both"/>
        <w:ind w:left="180" w:right="740" w:firstLine="648"/>
        <w:spacing w:after="0" w:line="241" w:lineRule="auto"/>
        <w:rPr>
          <w:sz w:val="20"/>
          <w:szCs w:val="20"/>
          <w:color w:val="auto"/>
        </w:rPr>
      </w:pPr>
      <w:r>
        <w:rPr>
          <w:rFonts w:ascii="Arial" w:cs="Arial" w:eastAsia="Arial" w:hAnsi="Arial"/>
          <w:sz w:val="16"/>
          <w:szCs w:val="16"/>
          <w:u w:val="single" w:color="auto"/>
          <w:color w:val="auto"/>
        </w:rPr>
        <w:t>Robert F. Smerling</w:t>
      </w:r>
      <w:r>
        <w:rPr>
          <w:rFonts w:ascii="Arial" w:cs="Arial" w:eastAsia="Arial" w:hAnsi="Arial"/>
          <w:sz w:val="16"/>
          <w:szCs w:val="16"/>
          <w:color w:val="auto"/>
        </w:rPr>
        <w:t>. Mr. Smerling has served as President of our US cinema operations since 1994. He has been involved in the acquisition and/or development of all of our existing domestic cinemas. Prior to joining our Company, Mr. Smerling was the President of Loews Theatres, at that time a wholly owned subsidiary of Sony. While</w:t>
      </w:r>
    </w:p>
    <w:p>
      <w:pPr>
        <w:spacing w:after="0" w:line="2"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the top five grossing cinemas in the United States. Prior to Mr. Smerling's employment at Loews, he was</w:t>
      </w:r>
    </w:p>
    <w:p>
      <w:pPr>
        <w:spacing w:after="0" w:line="16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480"/>
          </w:cols>
          <w:pgMar w:left="1440" w:top="472" w:right="979" w:bottom="1440" w:gutter="0" w:footer="0" w:header="0"/>
        </w:sectPr>
      </w:pPr>
    </w:p>
    <w:bookmarkStart w:id="39" w:name="page40"/>
    <w:bookmarkEnd w:id="39"/>
    <w:p>
      <w:pPr>
        <w:ind w:left="180"/>
        <w:spacing w:after="0"/>
        <w:rPr>
          <w:sz w:val="20"/>
          <w:szCs w:val="20"/>
          <w:color w:val="auto"/>
        </w:rPr>
      </w:pPr>
      <w:r>
        <w:rPr>
          <w:rFonts w:ascii="Arial" w:cs="Arial" w:eastAsia="Arial" w:hAnsi="Arial"/>
          <w:sz w:val="16"/>
          <w:szCs w:val="16"/>
          <w:color w:val="auto"/>
        </w:rPr>
        <w:t>Vice Chair of USA Cinemas in Boston, and President of Cinemanational Theatres. Mr. Smerling, a recognized leader</w:t>
      </w:r>
    </w:p>
    <w:p>
      <w:pPr>
        <w:spacing w:after="0" w:line="21" w:lineRule="exact"/>
        <w:rPr>
          <w:sz w:val="20"/>
          <w:szCs w:val="20"/>
          <w:color w:val="auto"/>
        </w:rPr>
      </w:pPr>
    </w:p>
    <w:p>
      <w:pPr>
        <w:jc w:val="both"/>
        <w:ind w:left="180" w:right="279"/>
        <w:spacing w:after="0" w:line="231" w:lineRule="auto"/>
        <w:rPr>
          <w:sz w:val="20"/>
          <w:szCs w:val="20"/>
          <w:color w:val="auto"/>
        </w:rPr>
      </w:pPr>
      <w:r>
        <w:rPr>
          <w:rFonts w:ascii="Arial" w:cs="Arial" w:eastAsia="Arial" w:hAnsi="Arial"/>
          <w:sz w:val="17"/>
          <w:szCs w:val="17"/>
          <w:color w:val="auto"/>
        </w:rPr>
        <w:t>in our industry, has been a director of the National Association of Theatre Owners, the principal trade group representing the cinema exhibition industry. In recognition of his contributions to the movie cinema exhibition industry, Mr. Smerling was honored at the 2023 The Motion Picture Club Charity Event in June 2023.</w:t>
      </w:r>
    </w:p>
    <w:p>
      <w:pPr>
        <w:spacing w:after="0" w:line="135"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u w:val="single" w:color="auto"/>
          <w:color w:val="auto"/>
        </w:rPr>
        <w:t>S. Craig Tompkins</w:t>
      </w:r>
      <w:r>
        <w:rPr>
          <w:rFonts w:ascii="Arial" w:cs="Arial" w:eastAsia="Arial" w:hAnsi="Arial"/>
          <w:sz w:val="16"/>
          <w:szCs w:val="16"/>
          <w:color w:val="auto"/>
        </w:rPr>
        <w:t>. Mr. Tompkins has worked in various capacities for our Company and its predecessors for more than the past thirty (30) years. He has served as Vice Chair of our Company and as the President of two of its</w:t>
      </w:r>
    </w:p>
    <w:p>
      <w:pPr>
        <w:jc w:val="both"/>
        <w:ind w:left="180" w:right="279"/>
        <w:spacing w:after="0" w:line="226" w:lineRule="auto"/>
        <w:rPr>
          <w:sz w:val="20"/>
          <w:szCs w:val="20"/>
          <w:color w:val="auto"/>
        </w:rPr>
      </w:pPr>
      <w:r>
        <w:rPr>
          <w:rFonts w:ascii="Arial" w:cs="Arial" w:eastAsia="Arial" w:hAnsi="Arial"/>
          <w:sz w:val="18"/>
          <w:szCs w:val="18"/>
          <w:color w:val="auto"/>
        </w:rPr>
        <w:t>predecessors public companies, as a consultant and outside counsel and, since 2017, as Executive Vice President and General Counsel.</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In May, 2023, Mr. Tompkins was elected to the boards of HomeStreet, Inc. (NASDAQ:HMST) and its wholly owned subsidiary, HomeStreet Bank. HomeStreet is a diversified financial services company headquartered in Seattle, Washington serving consumers and business in the Western United States and Hawaii. HomeStreet is</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principally engaged in real estate lending, including mortgage banking activities, and commercial and consumer banking.</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color w:val="auto"/>
        </w:rPr>
        <w:t>Prior to his employment at our Company, Mr. Tompkins was a partner at Gibson, Dunn &amp; Crutcher. Between 2007 and December 2022, Mr. Tompkins was a principal equity holder in and the Chair of Marshall &amp; Stevens, Incorporated, a privately held valuation and consulting firm specializing in the valuation of real estate, business</w:t>
      </w:r>
    </w:p>
    <w:p>
      <w:pPr>
        <w:sectPr>
          <w:pgSz w:w="11900" w:h="16838" w:orient="portrait"/>
          <w:cols w:equalWidth="0" w:num="1">
            <w:col w:w="9019"/>
          </w:cols>
          <w:pgMar w:left="1440" w:top="287" w:right="1440" w:bottom="1440" w:gutter="0" w:footer="0" w:header="0"/>
        </w:sectPr>
      </w:pPr>
    </w:p>
    <w:p>
      <w:pPr>
        <w:ind w:left="180"/>
        <w:spacing w:after="0" w:line="231" w:lineRule="auto"/>
        <w:rPr>
          <w:sz w:val="20"/>
          <w:szCs w:val="20"/>
          <w:color w:val="auto"/>
        </w:rPr>
      </w:pPr>
      <w:r>
        <w:rPr>
          <w:rFonts w:ascii="Arial" w:cs="Arial" w:eastAsia="Arial" w:hAnsi="Arial"/>
          <w:sz w:val="16"/>
          <w:szCs w:val="16"/>
          <w:color w:val="auto"/>
        </w:rPr>
        <w:t>enterprises and alternative energy assets.</w:t>
      </w:r>
    </w:p>
    <w:p>
      <w:pPr>
        <w:ind w:left="180"/>
        <w:spacing w:after="0" w:line="203" w:lineRule="auto"/>
        <w:rPr>
          <w:sz w:val="20"/>
          <w:szCs w:val="20"/>
          <w:color w:val="auto"/>
        </w:rPr>
      </w:pPr>
      <w:r>
        <w:rPr>
          <w:rFonts w:ascii="Arial" w:cs="Arial" w:eastAsia="Arial" w:hAnsi="Arial"/>
          <w:sz w:val="18"/>
          <w:szCs w:val="18"/>
          <w:color w:val="auto"/>
        </w:rPr>
        <w:t>and retired from its Board of Directors.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consulting services to Marshall &amp; Stevens.</w:t>
      </w:r>
    </w:p>
    <w:p>
      <w:pPr>
        <w:spacing w:after="0" w:line="20" w:lineRule="exact"/>
        <w:rPr>
          <w:sz w:val="20"/>
          <w:szCs w:val="20"/>
          <w:color w:val="auto"/>
        </w:rPr>
      </w:pPr>
      <w:r>
        <w:rPr>
          <w:sz w:val="20"/>
          <w:szCs w:val="20"/>
          <w:color w:val="auto"/>
        </w:rPr>
        <w:br w:type="column"/>
      </w:r>
    </w:p>
    <w:p>
      <w:pPr>
        <w:jc w:val="right"/>
        <w:ind w:right="279"/>
        <w:spacing w:after="0" w:line="268" w:lineRule="auto"/>
        <w:rPr>
          <w:sz w:val="20"/>
          <w:szCs w:val="20"/>
          <w:color w:val="auto"/>
        </w:rPr>
      </w:pPr>
      <w:r>
        <w:rPr>
          <w:rFonts w:ascii="Arial" w:cs="Arial" w:eastAsia="Arial" w:hAnsi="Arial"/>
          <w:sz w:val="16"/>
          <w:szCs w:val="16"/>
          <w:color w:val="auto"/>
        </w:rPr>
        <w:t>In December 2022, Mr. Tompkins sold his interest in Marshall &amp; Stevens Mr. Tompkins is currently providing, on a transitional basis, limited</w:t>
      </w:r>
    </w:p>
    <w:p>
      <w:pPr>
        <w:spacing w:after="0" w:line="289" w:lineRule="exact"/>
        <w:rPr>
          <w:sz w:val="20"/>
          <w:szCs w:val="20"/>
          <w:color w:val="auto"/>
        </w:rPr>
      </w:pPr>
    </w:p>
    <w:p>
      <w:pPr>
        <w:sectPr>
          <w:pgSz w:w="11900" w:h="16838" w:orient="portrait"/>
          <w:cols w:equalWidth="0" w:num="2">
            <w:col w:w="3280" w:space="20"/>
            <w:col w:w="5719"/>
          </w:cols>
          <w:pgMar w:left="1440" w:top="287" w:right="1440" w:bottom="1440" w:gutter="0" w:footer="0" w:header="0"/>
          <w:type w:val="continuous"/>
        </w:sectPr>
      </w:pPr>
    </w:p>
    <w:p>
      <w:pPr>
        <w:jc w:val="both"/>
        <w:ind w:left="180" w:right="279" w:firstLine="648"/>
        <w:spacing w:after="0" w:line="248" w:lineRule="auto"/>
        <w:rPr>
          <w:sz w:val="20"/>
          <w:szCs w:val="20"/>
          <w:color w:val="auto"/>
        </w:rPr>
      </w:pPr>
      <w:r>
        <w:rPr>
          <w:rFonts w:ascii="Arial" w:cs="Arial" w:eastAsia="Arial" w:hAnsi="Arial"/>
          <w:sz w:val="16"/>
          <w:szCs w:val="16"/>
          <w:color w:val="auto"/>
        </w:rPr>
        <w:t>From 1993 to 2006 (when the company went private), Mr. Tompkins served as a director and as the Chair of the Audit Committee of G&amp;L Realty (an NYSE REIT specializing in medical properties), and from 1998 to 2001</w:t>
      </w:r>
    </w:p>
    <w:p>
      <w:pPr>
        <w:jc w:val="both"/>
        <w:ind w:left="180" w:right="279"/>
        <w:spacing w:after="0" w:line="234" w:lineRule="auto"/>
        <w:rPr>
          <w:sz w:val="20"/>
          <w:szCs w:val="20"/>
          <w:color w:val="auto"/>
        </w:rPr>
      </w:pPr>
      <w:r>
        <w:rPr>
          <w:rFonts w:ascii="Arial" w:cs="Arial" w:eastAsia="Arial" w:hAnsi="Arial"/>
          <w:sz w:val="16"/>
          <w:szCs w:val="16"/>
          <w:color w:val="auto"/>
        </w:rPr>
        <w:t>(when the bank was sold) as a member of the Board of Directors of Fidelity Federal Bank, FSB. Mr. Tompkins is also the Chair and Chief Executive Officer of Kirtland Farms, Inc. (a Tompkins family-owned agricultural operation in Southern Oregon). Mr. Tompkins holds a Bachelor of Arts (Magna Cum Laude) from Claremont McKenna College,</w:t>
      </w:r>
    </w:p>
    <w:p>
      <w:pPr>
        <w:spacing w:after="0" w:line="2" w:lineRule="exact"/>
        <w:rPr>
          <w:sz w:val="20"/>
          <w:szCs w:val="20"/>
          <w:color w:val="auto"/>
        </w:rPr>
      </w:pPr>
    </w:p>
    <w:p>
      <w:pPr>
        <w:jc w:val="both"/>
        <w:ind w:left="180" w:right="279"/>
        <w:spacing w:after="0" w:line="250" w:lineRule="auto"/>
        <w:rPr>
          <w:sz w:val="20"/>
          <w:szCs w:val="20"/>
          <w:color w:val="auto"/>
        </w:rPr>
      </w:pPr>
      <w:r>
        <w:rPr>
          <w:rFonts w:ascii="Arial" w:cs="Arial" w:eastAsia="Arial" w:hAnsi="Arial"/>
          <w:sz w:val="15"/>
          <w:szCs w:val="15"/>
          <w:color w:val="auto"/>
        </w:rPr>
        <w:t>and a Juris Doctorate (Magna Cum Laude) from the Harvard Law School, where he was on the Board of Student Advisors and served as research assistance to Professor James Casner (then serving as the Reporter to the Restatement of Property 2nd). Following Harvard Law School, Mr. Tompkins served as law clerk to the Honorable Justice Dean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Bryson on the Oregon Supreme Court, before joining Gibson, Dunn &amp; Crutcher.</w:t>
      </w:r>
    </w:p>
    <w:p>
      <w:pPr>
        <w:spacing w:after="0" w:line="128"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u w:val="single" w:color="auto"/>
          <w:color w:val="auto"/>
        </w:rPr>
        <w:t>Andrzej J. Matyczynski</w:t>
      </w:r>
      <w:r>
        <w:rPr>
          <w:rFonts w:ascii="Arial" w:cs="Arial" w:eastAsia="Arial" w:hAnsi="Arial"/>
          <w:sz w:val="16"/>
          <w:szCs w:val="16"/>
          <w:color w:val="auto"/>
        </w:rPr>
        <w:t>. Mr. Matyczynski serves as our Executive Vice President, Global Operations, he was appointed to this position on March 10, 2016. From May 11, 2015 until March 10, 2016, Mr. Matyczynski acted as</w:t>
      </w:r>
    </w:p>
    <w:p>
      <w:pPr>
        <w:jc w:val="both"/>
        <w:ind w:left="180" w:right="279"/>
        <w:spacing w:after="0" w:line="234" w:lineRule="auto"/>
        <w:rPr>
          <w:sz w:val="20"/>
          <w:szCs w:val="20"/>
          <w:color w:val="auto"/>
        </w:rPr>
      </w:pPr>
      <w:r>
        <w:rPr>
          <w:rFonts w:ascii="Arial" w:cs="Arial" w:eastAsia="Arial" w:hAnsi="Arial"/>
          <w:sz w:val="16"/>
          <w:szCs w:val="16"/>
          <w:color w:val="auto"/>
        </w:rPr>
        <w:t>the Strategic Corporate Advisor to our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based multi-national corporation. Mr. Matyczynski holds a Master's Degree in Business Administration from the University of Southern California.</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u w:val="single" w:color="auto"/>
          <w:color w:val="auto"/>
        </w:rPr>
        <w:t>John Goeddel</w:t>
      </w:r>
      <w:r>
        <w:rPr>
          <w:rFonts w:ascii="Arial" w:cs="Arial" w:eastAsia="Arial" w:hAnsi="Arial"/>
          <w:sz w:val="16"/>
          <w:szCs w:val="16"/>
          <w:color w:val="auto"/>
        </w:rPr>
        <w:t>. Mr. Goeddel serves as the Executive Vice President, Chief Information Officer; he was appointed to this position on December 8, 2021. Mr. Goeddel has been an employee of our Company since December 2003, most recently serving as Vice President, Chief Information Officer. Prior thereto, Mr. Goeddel served as our</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Chief Information Officer (2016), Director of Information Technology (December 2003 to 2016). Mr. Goeddel brings over 40 years of information technology and motion picture cinema operations experience. Prior to joining Reading, Mr. Goeddel served in various information technology and cinema operation roles over the course of 25 years at</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Decurion located in Beverly Hills, CA. Mr. Goeddel has a Bachelors in Business Administration with an IT concentration from Colorado Technical University.</w:t>
      </w:r>
    </w:p>
    <w:p>
      <w:pPr>
        <w:spacing w:after="0" w:line="134" w:lineRule="exact"/>
        <w:rPr>
          <w:sz w:val="20"/>
          <w:szCs w:val="20"/>
          <w:color w:val="auto"/>
        </w:rPr>
      </w:pPr>
    </w:p>
    <w:p>
      <w:pPr>
        <w:jc w:val="both"/>
        <w:ind w:left="180" w:right="279" w:firstLine="648"/>
        <w:spacing w:after="0" w:line="241" w:lineRule="auto"/>
        <w:rPr>
          <w:sz w:val="20"/>
          <w:szCs w:val="20"/>
          <w:color w:val="auto"/>
        </w:rPr>
      </w:pPr>
      <w:r>
        <w:rPr>
          <w:rFonts w:ascii="Arial" w:cs="Arial" w:eastAsia="Arial" w:hAnsi="Arial"/>
          <w:sz w:val="16"/>
          <w:szCs w:val="16"/>
          <w:u w:val="single" w:color="auto"/>
          <w:color w:val="auto"/>
        </w:rPr>
        <w:t>Terri Moore</w:t>
      </w:r>
      <w:r>
        <w:rPr>
          <w:rFonts w:ascii="Arial" w:cs="Arial" w:eastAsia="Arial" w:hAnsi="Arial"/>
          <w:sz w:val="16"/>
          <w:szCs w:val="16"/>
          <w:color w:val="auto"/>
        </w:rPr>
        <w:t>. Ms. Moore serves as the Executive Vice President, US Cinema Operations; she was appointed to this position on December 8, 2021. Ms. Moore joined our Company in 2001 in New York as Director of Theatre Operations, and in 2008 moved to Los Angeles to become Vice President-US Cinema Operations. Ms. Moore started</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her career in the motion picture theatre business as an hourly concessions employee in 1968. A year later she joined Pacific Theatres where she held many different executive positions, including general manager, district manager, HR training &amp; development and Special Project Manager for their theatre operations in Warsaw, Poland. Terri lived in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Poland for three years and was responsible for the opening of one of Poland’s first modernized cinema circuits.</w:t>
      </w:r>
    </w:p>
    <w:p>
      <w:pPr>
        <w:spacing w:after="0" w:line="18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94042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0" w:name="page41"/>
    <w:bookmarkEnd w:id="40"/>
    <w:p>
      <w:pPr>
        <w:jc w:val="both"/>
        <w:ind w:left="180" w:right="279" w:firstLine="648"/>
        <w:spacing w:after="0" w:line="248" w:lineRule="auto"/>
        <w:rPr>
          <w:sz w:val="20"/>
          <w:szCs w:val="20"/>
          <w:color w:val="auto"/>
        </w:rPr>
      </w:pPr>
      <w:r>
        <w:rPr>
          <w:rFonts w:ascii="Arial" w:cs="Arial" w:eastAsia="Arial" w:hAnsi="Arial"/>
          <w:sz w:val="16"/>
          <w:szCs w:val="16"/>
          <w:u w:val="single" w:color="auto"/>
          <w:color w:val="auto"/>
        </w:rPr>
        <w:t>Steven J. Lucas</w:t>
      </w:r>
      <w:r>
        <w:rPr>
          <w:rFonts w:ascii="Arial" w:cs="Arial" w:eastAsia="Arial" w:hAnsi="Arial"/>
          <w:sz w:val="16"/>
          <w:szCs w:val="16"/>
          <w:color w:val="auto"/>
        </w:rPr>
        <w:t>. Mr. Lucas serves as our Vice President, Controller and Chief Accounting Officer; he was appointed to this position in 2015. From 2011 to 2015, Mr. Lucas worked in our accounting group holding the role of</w:t>
      </w:r>
    </w:p>
    <w:p>
      <w:pPr>
        <w:jc w:val="both"/>
        <w:ind w:left="180" w:right="279"/>
        <w:spacing w:after="0" w:line="234" w:lineRule="auto"/>
        <w:rPr>
          <w:sz w:val="20"/>
          <w:szCs w:val="20"/>
          <w:color w:val="auto"/>
        </w:rPr>
      </w:pPr>
      <w:r>
        <w:rPr>
          <w:rFonts w:ascii="Arial" w:cs="Arial" w:eastAsia="Arial" w:hAnsi="Arial"/>
          <w:sz w:val="16"/>
          <w:szCs w:val="16"/>
          <w:color w:val="auto"/>
        </w:rPr>
        <w:t>Asia Pacific Controller. Prior to joining our Company, Mr. Lucas worked for Arthur Andersen and Ernst &amp; Young for more than sixteen (16) years. He is a Chartered Accountant, and has been a member of Chartered Accountants Australia and New Zealand for over twenty-two (22) years. He holds a Bachelor’s Degree in English Literature and</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History from Victoria University of Wellington, and a Post Graduate Diploma in Accounting from the Graduate School of Business and Government Administration of Victoria University of Wellington.</w:t>
      </w:r>
    </w:p>
    <w:p>
      <w:pPr>
        <w:spacing w:after="0" w:line="40"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u w:val="single" w:color="auto"/>
          <w:color w:val="auto"/>
        </w:rPr>
        <w:t>Mark D. Douglas</w:t>
      </w:r>
      <w:r>
        <w:rPr>
          <w:rFonts w:ascii="Arial" w:cs="Arial" w:eastAsia="Arial" w:hAnsi="Arial"/>
          <w:sz w:val="16"/>
          <w:szCs w:val="16"/>
          <w:color w:val="auto"/>
        </w:rPr>
        <w:t>. Mr. Douglas serves as our Managing Director, Australia and New Zealand, overseeing our international cinema and real estate operations. Mr. Douglas first joined our Company in 1999, and was appointed as</w:t>
      </w:r>
    </w:p>
    <w:p>
      <w:pPr>
        <w:jc w:val="both"/>
        <w:ind w:left="180" w:right="279"/>
        <w:spacing w:after="0" w:line="234" w:lineRule="auto"/>
        <w:rPr>
          <w:sz w:val="20"/>
          <w:szCs w:val="20"/>
          <w:color w:val="auto"/>
        </w:rPr>
      </w:pPr>
      <w:r>
        <w:rPr>
          <w:rFonts w:ascii="Arial" w:cs="Arial" w:eastAsia="Arial" w:hAnsi="Arial"/>
          <w:sz w:val="16"/>
          <w:szCs w:val="16"/>
          <w:color w:val="auto"/>
        </w:rPr>
        <w:t>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 finance team, moving into the role</w:t>
      </w:r>
    </w:p>
    <w:p>
      <w:pPr>
        <w:spacing w:after="0" w:line="2"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of National Operations Manager for our cinema division in 2001. Prior to joining our Company, Mr. Douglas worked for Myer Stores, a retail department store chain, in various business management and administration roles. Mr. Douglas earned a Master's Degree in Business Administration from Deakin University, Geelong Victoria and is a</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registered Certified Practicing Accountant with CPA Australia.</w:t>
      </w:r>
    </w:p>
    <w:p>
      <w:pPr>
        <w:spacing w:after="0" w:line="29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EXECUTIVE COMPENSATION</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Executive Compensation</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Background</w:t>
      </w:r>
    </w:p>
    <w:p>
      <w:pPr>
        <w:spacing w:after="0" w:line="14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a “controlled company”, we are exempt from the Nasdaq Listing Rules regarding the determination of</w:t>
      </w:r>
    </w:p>
    <w:p>
      <w:pPr>
        <w:spacing w:after="0" w:line="10" w:lineRule="exact"/>
        <w:rPr>
          <w:sz w:val="20"/>
          <w:szCs w:val="20"/>
          <w:color w:val="auto"/>
        </w:rPr>
      </w:pPr>
    </w:p>
    <w:p>
      <w:pPr>
        <w:jc w:val="both"/>
        <w:ind w:left="180" w:right="279"/>
        <w:spacing w:after="0" w:line="234" w:lineRule="auto"/>
        <w:rPr>
          <w:sz w:val="20"/>
          <w:szCs w:val="20"/>
          <w:color w:val="auto"/>
        </w:rPr>
      </w:pPr>
      <w:r>
        <w:rPr>
          <w:rFonts w:ascii="Arial" w:cs="Arial" w:eastAsia="Arial" w:hAnsi="Arial"/>
          <w:sz w:val="16"/>
          <w:szCs w:val="16"/>
          <w:color w:val="auto"/>
        </w:rPr>
        <w:t>executive compensation solely by independent directors. Notwithstanding such exemption, we have established a standing Compensation Committee consisting of three (3) of our independent Directors. Our Compensation Committee charter requires our Compensation Committee members to meet the independence rules and regulations of</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SEC and the Nasdaq Stock Market (“Nasdaq”).</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Executive Compensation Philosophy</w:t>
      </w:r>
    </w:p>
    <w:p>
      <w:pPr>
        <w:spacing w:after="0" w:line="162" w:lineRule="exact"/>
        <w:rPr>
          <w:sz w:val="20"/>
          <w:szCs w:val="20"/>
          <w:color w:val="auto"/>
        </w:rPr>
      </w:pPr>
    </w:p>
    <w:p>
      <w:pPr>
        <w:jc w:val="both"/>
        <w:ind w:left="180" w:right="279" w:firstLine="648"/>
        <w:spacing w:after="0" w:line="248" w:lineRule="auto"/>
        <w:rPr>
          <w:sz w:val="20"/>
          <w:szCs w:val="20"/>
          <w:color w:val="auto"/>
        </w:rPr>
      </w:pPr>
      <w:r>
        <w:rPr>
          <w:rFonts w:ascii="Arial" w:cs="Arial" w:eastAsia="Arial" w:hAnsi="Arial"/>
          <w:sz w:val="16"/>
          <w:szCs w:val="16"/>
          <w:color w:val="auto"/>
        </w:rPr>
        <w:t>Our executive compensation philosophy is to: (1) attract and retain talented and dedicated management team members; (2) provide overall compensation as competitive in our industry; (3) correlate annual cash bonuses to the</w:t>
      </w:r>
    </w:p>
    <w:p>
      <w:pPr>
        <w:jc w:val="both"/>
        <w:ind w:left="180" w:right="279"/>
        <w:spacing w:after="0" w:line="234" w:lineRule="auto"/>
        <w:rPr>
          <w:sz w:val="20"/>
          <w:szCs w:val="20"/>
          <w:color w:val="auto"/>
        </w:rPr>
      </w:pPr>
      <w:r>
        <w:rPr>
          <w:rFonts w:ascii="Arial" w:cs="Arial" w:eastAsia="Arial" w:hAnsi="Arial"/>
          <w:sz w:val="16"/>
          <w:szCs w:val="16"/>
          <w:color w:val="auto"/>
        </w:rPr>
        <w:t>achievement of our business and financial objectives; and (4) provide management team members with appropriate long-term incentives aligned with stockholder value. While we believe that our entire executive compensation package contributes to these goals, the base salaries we offer generally support goals 1 and 2 above, our short-term</w:t>
      </w:r>
    </w:p>
    <w:p>
      <w:pPr>
        <w:spacing w:after="0" w:line="2" w:lineRule="exact"/>
        <w:rPr>
          <w:sz w:val="20"/>
          <w:szCs w:val="20"/>
          <w:color w:val="auto"/>
        </w:rPr>
      </w:pPr>
    </w:p>
    <w:p>
      <w:pPr>
        <w:jc w:val="both"/>
        <w:ind w:left="180" w:right="279"/>
        <w:spacing w:after="0" w:line="226" w:lineRule="auto"/>
        <w:rPr>
          <w:sz w:val="20"/>
          <w:szCs w:val="20"/>
          <w:color w:val="auto"/>
        </w:rPr>
      </w:pPr>
      <w:r>
        <w:rPr>
          <w:rFonts w:ascii="Arial" w:cs="Arial" w:eastAsia="Arial" w:hAnsi="Arial"/>
          <w:sz w:val="18"/>
          <w:szCs w:val="18"/>
          <w:color w:val="auto"/>
        </w:rPr>
        <w:t>incentive (“STI”) bonuses generally support goals 1, 2 and 3 above, our long-term incentives (“LTI”) generally support goals 1, 2 and 4 above.</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Committee Charter</w:t>
      </w:r>
      <w:r>
        <w:rPr>
          <w:rFonts w:ascii="Arial" w:cs="Arial" w:eastAsia="Arial" w:hAnsi="Arial"/>
          <w:sz w:val="8"/>
          <w:szCs w:val="8"/>
          <w:b w:val="1"/>
          <w:bCs w:val="1"/>
          <w:i w:val="1"/>
          <w:iCs w:val="1"/>
          <w:color w:val="auto"/>
        </w:rPr>
        <w:t>3</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Our Compensation Committee Charter delegates significant executive compensation responsibilities to our</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 Committee, including:</w:t>
      </w:r>
    </w:p>
    <w:p>
      <w:pPr>
        <w:spacing w:after="0" w:line="126" w:lineRule="exact"/>
        <w:rPr>
          <w:sz w:val="20"/>
          <w:szCs w:val="20"/>
          <w:color w:val="auto"/>
        </w:rPr>
      </w:pPr>
    </w:p>
    <w:p>
      <w:pPr>
        <w:ind w:left="1160" w:hanging="328"/>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establish our compensation philosophy and objectives;</w:t>
      </w:r>
    </w:p>
    <w:p>
      <w:pPr>
        <w:ind w:left="1160" w:hanging="328"/>
        <w:spacing w:after="0" w:line="203"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review and approve all compensation, for our CEO and our executive officers</w:t>
      </w:r>
      <w:r>
        <w:rPr>
          <w:rFonts w:ascii="Arial" w:cs="Arial" w:eastAsia="Arial" w:hAnsi="Arial"/>
          <w:sz w:val="8"/>
          <w:szCs w:val="8"/>
          <w:color w:val="auto"/>
        </w:rPr>
        <w:t>3</w:t>
      </w:r>
    </w:p>
    <w:p>
      <w:pPr>
        <w:jc w:val="both"/>
        <w:ind w:left="1160" w:right="439" w:hanging="328"/>
        <w:spacing w:after="0" w:line="208"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approve all employment agreements, severance arrangements, change in control provisions and agreements and any special or supplemental benefits applicable to our CEO and other executive officers;</w:t>
      </w:r>
    </w:p>
    <w:p>
      <w:pPr>
        <w:spacing w:after="0" w:line="1" w:lineRule="exact"/>
        <w:rPr>
          <w:rFonts w:ascii="Arial" w:cs="Arial" w:eastAsia="Arial" w:hAnsi="Arial"/>
          <w:sz w:val="18"/>
          <w:szCs w:val="18"/>
          <w:color w:val="auto"/>
        </w:rPr>
      </w:pPr>
    </w:p>
    <w:p>
      <w:pPr>
        <w:jc w:val="both"/>
        <w:ind w:left="1160" w:right="439" w:hanging="328"/>
        <w:spacing w:after="0" w:line="237" w:lineRule="auto"/>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approve and adopt, on behalf of our Board, incentive compensation and equity-based compensation plans, or, in the case of plans requiring stockholder approval, to review and recommend such plan to</w:t>
      </w:r>
    </w:p>
    <w:p>
      <w:pPr>
        <w:ind w:left="1160"/>
        <w:spacing w:after="0" w:line="204" w:lineRule="auto"/>
        <w:rPr>
          <w:sz w:val="20"/>
          <w:szCs w:val="20"/>
          <w:color w:val="auto"/>
        </w:rPr>
      </w:pPr>
      <w:r>
        <w:rPr>
          <w:rFonts w:ascii="Arial" w:cs="Arial" w:eastAsia="Arial" w:hAnsi="Arial"/>
          <w:sz w:val="18"/>
          <w:szCs w:val="18"/>
          <w:color w:val="auto"/>
        </w:rPr>
        <w:t>the stockholders;</w:t>
      </w:r>
    </w:p>
    <w:p>
      <w:pPr>
        <w:ind w:left="180"/>
        <w:spacing w:after="0" w:line="221" w:lineRule="auto"/>
        <w:rPr>
          <w:sz w:val="20"/>
          <w:szCs w:val="20"/>
          <w:color w:val="auto"/>
        </w:rPr>
      </w:pPr>
      <w:r>
        <w:rPr>
          <w:rFonts w:ascii="Arial" w:cs="Arial" w:eastAsia="Arial" w:hAnsi="Arial"/>
          <w:sz w:val="18"/>
          <w:szCs w:val="18"/>
          <w:color w:val="auto"/>
        </w:rPr>
        <w:t>__________________________________</w:t>
      </w:r>
    </w:p>
    <w:p>
      <w:pPr>
        <w:spacing w:after="0" w:line="1" w:lineRule="exact"/>
        <w:rPr>
          <w:sz w:val="20"/>
          <w:szCs w:val="20"/>
          <w:color w:val="auto"/>
        </w:rPr>
      </w:pPr>
    </w:p>
    <w:p>
      <w:pPr>
        <w:jc w:val="both"/>
        <w:ind w:left="180" w:right="439" w:firstLine="4"/>
        <w:spacing w:after="0" w:line="281" w:lineRule="auto"/>
        <w:tabs>
          <w:tab w:leader="none" w:pos="276" w:val="left"/>
        </w:tabs>
        <w:numPr>
          <w:ilvl w:val="0"/>
          <w:numId w:val="28"/>
        </w:numPr>
        <w:rPr>
          <w:rFonts w:ascii="Arial" w:cs="Arial" w:eastAsia="Arial" w:hAnsi="Arial"/>
          <w:sz w:val="14"/>
          <w:szCs w:val="14"/>
          <w:color w:val="auto"/>
          <w:vertAlign w:val="superscript"/>
        </w:rPr>
      </w:pPr>
      <w:r>
        <w:rPr>
          <w:rFonts w:ascii="Arial" w:cs="Arial" w:eastAsia="Arial" w:hAnsi="Arial"/>
          <w:sz w:val="14"/>
          <w:szCs w:val="14"/>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p>
    <w:p>
      <w:pPr>
        <w:spacing w:after="0" w:line="15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83755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37555" cy="5143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41" w:name="page42"/>
    <w:bookmarkEnd w:id="41"/>
    <w:p>
      <w:pPr>
        <w:jc w:val="both"/>
        <w:ind w:left="1160" w:right="439" w:hanging="328"/>
        <w:spacing w:after="0" w:line="214"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review the disclosures made in the Compensation Discussion and Analysis and advise our Board whether, the Compensation Discussion and Analysis is satisfactory for inclusion in our annual report on Form 10-K and proxy statement;</w:t>
      </w:r>
    </w:p>
    <w:p>
      <w:pPr>
        <w:spacing w:after="0" w:line="2" w:lineRule="exact"/>
        <w:rPr>
          <w:rFonts w:ascii="Arial" w:cs="Arial" w:eastAsia="Arial" w:hAnsi="Arial"/>
          <w:sz w:val="18"/>
          <w:szCs w:val="18"/>
          <w:color w:val="auto"/>
        </w:rPr>
      </w:pPr>
    </w:p>
    <w:p>
      <w:pPr>
        <w:ind w:left="1160" w:right="439" w:hanging="328"/>
        <w:spacing w:after="0" w:line="211"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for inclusion in our proxy statement for the annual meeting of stockholders;</w:t>
      </w:r>
    </w:p>
    <w:p>
      <w:pPr>
        <w:ind w:left="1160" w:right="439" w:hanging="328"/>
        <w:spacing w:after="0" w:line="211"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administer our equity-based compensation plans, including the grant of stock options and other equity awards under such plans; and</w:t>
      </w:r>
    </w:p>
    <w:p>
      <w:pPr>
        <w:ind w:left="1160" w:right="439" w:hanging="328"/>
        <w:spacing w:after="0" w:line="255" w:lineRule="auto"/>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consider the results of the most recent stockholder advisory vote on executive compensation when determining compensation policies and making decisions on executive compensation.</w:t>
      </w:r>
    </w:p>
    <w:p>
      <w:pPr>
        <w:spacing w:after="0" w:line="122" w:lineRule="exact"/>
        <w:rPr>
          <w:sz w:val="20"/>
          <w:szCs w:val="20"/>
          <w:color w:val="auto"/>
        </w:rPr>
      </w:pPr>
    </w:p>
    <w:p>
      <w:pPr>
        <w:jc w:val="both"/>
        <w:ind w:left="180" w:right="439" w:firstLine="648"/>
        <w:spacing w:after="0" w:line="237" w:lineRule="auto"/>
        <w:rPr>
          <w:sz w:val="20"/>
          <w:szCs w:val="20"/>
          <w:color w:val="auto"/>
        </w:rPr>
      </w:pPr>
      <w:r>
        <w:rPr>
          <w:rFonts w:ascii="Arial" w:cs="Arial" w:eastAsia="Arial" w:hAnsi="Arial"/>
          <w:sz w:val="17"/>
          <w:szCs w:val="17"/>
          <w:color w:val="auto"/>
        </w:rPr>
        <w:t>Under our Compensation Committee Charter, any compensation determinations pertaining to Ellen M. Cotter and Margaret Cotter are subject to review and approval by our Board. Further, our Compensation Committee periodically reviews and makes recommendations to our Board regarding Director compensation.</w:t>
      </w:r>
    </w:p>
    <w:p>
      <w:pPr>
        <w:spacing w:after="0" w:line="136" w:lineRule="exact"/>
        <w:rPr>
          <w:sz w:val="20"/>
          <w:szCs w:val="20"/>
          <w:color w:val="auto"/>
        </w:rPr>
      </w:pPr>
    </w:p>
    <w:p>
      <w:pPr>
        <w:jc w:val="both"/>
        <w:ind w:left="180" w:right="439" w:firstLine="648"/>
        <w:spacing w:after="0" w:line="235" w:lineRule="auto"/>
        <w:rPr>
          <w:sz w:val="20"/>
          <w:szCs w:val="20"/>
          <w:color w:val="auto"/>
        </w:rPr>
      </w:pPr>
      <w:r>
        <w:rPr>
          <w:rFonts w:ascii="Arial" w:cs="Arial" w:eastAsia="Arial" w:hAnsi="Arial"/>
          <w:sz w:val="18"/>
          <w:szCs w:val="18"/>
          <w:color w:val="auto"/>
        </w:rPr>
        <w:t>The Compensation Committee Charter is available on our website at https://investor.readingrdi.com/corporate-governance/governance-overview.</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58" w:lineRule="exact"/>
        <w:rPr>
          <w:sz w:val="20"/>
          <w:szCs w:val="20"/>
          <w:color w:val="auto"/>
        </w:rPr>
      </w:pPr>
    </w:p>
    <w:p>
      <w:pPr>
        <w:jc w:val="both"/>
        <w:ind w:left="180" w:right="439" w:firstLine="648"/>
        <w:spacing w:after="0" w:line="241" w:lineRule="auto"/>
        <w:rPr>
          <w:sz w:val="20"/>
          <w:szCs w:val="20"/>
          <w:color w:val="auto"/>
        </w:rPr>
      </w:pPr>
      <w:r>
        <w:rPr>
          <w:rFonts w:ascii="Arial" w:cs="Arial" w:eastAsia="Arial" w:hAnsi="Arial"/>
          <w:sz w:val="16"/>
          <w:szCs w:val="16"/>
          <w:color w:val="auto"/>
        </w:rPr>
        <w:t>In the first quarter of 2022, our Compensation Committee set executive compensation for our NEOs for calendar year 2022. In so doing, our Compensation Committee relied on historical data on compensation, including reference to peer data on compensation provided by compensation consultants and input from our Chief Executive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Officer.</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At the request of our Chief Executive Officer, our Compensation Committee maintained a conservative</w:t>
      </w:r>
    </w:p>
    <w:p>
      <w:pPr>
        <w:spacing w:after="0" w:line="10"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stance on executive compensation driven by our goal to manage liquidity requirements for our Company. Our Compensation Committee (i) set 2022 annual base salaries at the same levels as paid in 2021, (ii) authorized initial eligibility for potential short-term incentive awards in the form of annual cash bonuses with metrics based on</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corporate and individual performance, but ultimately decided not to pay any of the STI bonuses to executive officers due to the overarching consideration of Company liquidity, and (iii) made long-term incentive awards in the form of time vested restricted stock units (“RSUs”) and performance based restricted stock units (“PRSUs”) that are used as</w:t>
      </w:r>
    </w:p>
    <w:p>
      <w:pPr>
        <w:spacing w:after="0" w:line="2" w:lineRule="exact"/>
        <w:rPr>
          <w:sz w:val="20"/>
          <w:szCs w:val="20"/>
          <w:color w:val="auto"/>
        </w:rPr>
      </w:pPr>
    </w:p>
    <w:p>
      <w:pPr>
        <w:jc w:val="both"/>
        <w:ind w:left="180" w:right="439"/>
        <w:spacing w:after="0" w:line="218" w:lineRule="auto"/>
        <w:rPr>
          <w:sz w:val="20"/>
          <w:szCs w:val="20"/>
          <w:color w:val="auto"/>
        </w:rPr>
      </w:pPr>
      <w:r>
        <w:rPr>
          <w:rFonts w:ascii="Arial" w:cs="Arial" w:eastAsia="Arial" w:hAnsi="Arial"/>
          <w:sz w:val="18"/>
          <w:szCs w:val="18"/>
          <w:color w:val="auto"/>
        </w:rPr>
        <w:t>a retention tool and as a means to further align an executive’s long-term interests with those of our stockholders, with the ultimate objective of affording our executives an appropriate incentive to help drive increases in stockholder value.</w:t>
      </w:r>
    </w:p>
    <w:p>
      <w:pPr>
        <w:spacing w:after="0" w:line="135" w:lineRule="exact"/>
        <w:rPr>
          <w:sz w:val="20"/>
          <w:szCs w:val="20"/>
          <w:color w:val="auto"/>
        </w:rPr>
      </w:pPr>
    </w:p>
    <w:p>
      <w:pPr>
        <w:jc w:val="both"/>
        <w:ind w:left="180" w:right="439" w:firstLine="648"/>
        <w:spacing w:after="0" w:line="248" w:lineRule="auto"/>
        <w:rPr>
          <w:sz w:val="20"/>
          <w:szCs w:val="20"/>
          <w:color w:val="auto"/>
        </w:rPr>
      </w:pPr>
      <w:r>
        <w:rPr>
          <w:rFonts w:ascii="Arial" w:cs="Arial" w:eastAsia="Arial" w:hAnsi="Arial"/>
          <w:sz w:val="16"/>
          <w:szCs w:val="16"/>
          <w:color w:val="auto"/>
        </w:rPr>
        <w:t>Instead of issuing cash bonuses to executives who achieved certain individual goals set for 2022, in April 2023, the Compensation Committee granted one year time vested RSUs to such executive officers for Class A</w:t>
      </w:r>
    </w:p>
    <w:p>
      <w:pPr>
        <w:jc w:val="both"/>
        <w:ind w:left="180" w:right="439"/>
        <w:spacing w:after="0" w:line="218" w:lineRule="auto"/>
        <w:rPr>
          <w:sz w:val="20"/>
          <w:szCs w:val="20"/>
          <w:color w:val="auto"/>
        </w:rPr>
      </w:pPr>
      <w:r>
        <w:rPr>
          <w:rFonts w:ascii="Arial" w:cs="Arial" w:eastAsia="Arial" w:hAnsi="Arial"/>
          <w:sz w:val="18"/>
          <w:szCs w:val="18"/>
          <w:color w:val="auto"/>
        </w:rPr>
        <w:t>Stock. The RSU amounts were calculated based on the amount of the cash bonuses that such executive officers would have received if our Company had paid STI cash bonuses, divided by the average of the high and the low trading prices of such shares on the day of grant.</w:t>
      </w:r>
    </w:p>
    <w:p>
      <w:pPr>
        <w:spacing w:after="0" w:line="135" w:lineRule="exact"/>
        <w:rPr>
          <w:sz w:val="20"/>
          <w:szCs w:val="20"/>
          <w:color w:val="auto"/>
        </w:rPr>
      </w:pPr>
    </w:p>
    <w:p>
      <w:pPr>
        <w:jc w:val="both"/>
        <w:ind w:left="180" w:right="439" w:firstLine="648"/>
        <w:spacing w:after="0" w:line="241" w:lineRule="auto"/>
        <w:rPr>
          <w:sz w:val="20"/>
          <w:szCs w:val="20"/>
          <w:color w:val="auto"/>
        </w:rPr>
      </w:pPr>
      <w:r>
        <w:rPr>
          <w:rFonts w:ascii="Arial" w:cs="Arial" w:eastAsia="Arial" w:hAnsi="Arial"/>
          <w:sz w:val="16"/>
          <w:szCs w:val="16"/>
          <w:color w:val="auto"/>
        </w:rPr>
        <w:t>Our Compensation Committee expects that it will continue to evaluate both executive performance and compensation to maintain our ability to attract and retain highly qualified executives in key positions and to assure that compensation provided to executives remains competitive when compared to the compensation paid to</w:t>
      </w:r>
    </w:p>
    <w:p>
      <w:pPr>
        <w:spacing w:after="0" w:line="2" w:lineRule="exact"/>
        <w:rPr>
          <w:sz w:val="20"/>
          <w:szCs w:val="20"/>
          <w:color w:val="auto"/>
        </w:rPr>
      </w:pPr>
    </w:p>
    <w:p>
      <w:pPr>
        <w:jc w:val="both"/>
        <w:ind w:left="180" w:right="439"/>
        <w:spacing w:after="0" w:line="226" w:lineRule="auto"/>
        <w:rPr>
          <w:sz w:val="20"/>
          <w:szCs w:val="20"/>
          <w:color w:val="auto"/>
        </w:rPr>
      </w:pPr>
      <w:r>
        <w:rPr>
          <w:rFonts w:ascii="Arial" w:cs="Arial" w:eastAsia="Arial" w:hAnsi="Arial"/>
          <w:sz w:val="18"/>
          <w:szCs w:val="18"/>
          <w:color w:val="auto"/>
        </w:rPr>
        <w:t>similarly situated executives of companies with whom we compete for executive talent or that we consider comparable to our Company.</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58" w:lineRule="exact"/>
        <w:rPr>
          <w:sz w:val="20"/>
          <w:szCs w:val="20"/>
          <w:color w:val="auto"/>
        </w:rPr>
      </w:pPr>
    </w:p>
    <w:p>
      <w:pPr>
        <w:jc w:val="both"/>
        <w:ind w:left="180" w:right="439" w:firstLine="648"/>
        <w:spacing w:after="0" w:line="248" w:lineRule="auto"/>
        <w:rPr>
          <w:sz w:val="20"/>
          <w:szCs w:val="20"/>
          <w:color w:val="auto"/>
        </w:rPr>
      </w:pPr>
      <w:r>
        <w:rPr>
          <w:rFonts w:ascii="Arial" w:cs="Arial" w:eastAsia="Arial" w:hAnsi="Arial"/>
          <w:sz w:val="16"/>
          <w:szCs w:val="16"/>
          <w:color w:val="auto"/>
        </w:rPr>
        <w:t>Any STI cash payment made to our NEOs is subject to forfeiture, recovery by our Company or other action pursuant to any agreement evidencing an incentive or any clawback or recoupment policy which our Company may</w:t>
      </w:r>
    </w:p>
    <w:p>
      <w:pPr>
        <w:jc w:val="both"/>
        <w:ind w:left="180" w:right="439"/>
        <w:spacing w:after="0" w:line="221" w:lineRule="auto"/>
        <w:rPr>
          <w:sz w:val="20"/>
          <w:szCs w:val="20"/>
          <w:color w:val="auto"/>
        </w:rPr>
      </w:pPr>
      <w:r>
        <w:rPr>
          <w:rFonts w:ascii="Arial" w:cs="Arial" w:eastAsia="Arial" w:hAnsi="Arial"/>
          <w:sz w:val="17"/>
          <w:szCs w:val="17"/>
          <w:color w:val="auto"/>
        </w:rPr>
        <w:t>adopt from time to time, including, without limitation, any such policy which our Company may be required to adopt under the listing rules of The Nasdaq Capital Market, the Dodd-Frank Wall Street Reform and Consumer Protection Act or any successor or replacement law, and implementing rules and regulations thereunder, or as</w:t>
      </w:r>
    </w:p>
    <w:p>
      <w:pPr>
        <w:ind w:left="180"/>
        <w:spacing w:after="0"/>
        <w:rPr>
          <w:sz w:val="20"/>
          <w:szCs w:val="20"/>
          <w:color w:val="auto"/>
        </w:rPr>
      </w:pPr>
      <w:r>
        <w:rPr>
          <w:rFonts w:ascii="Arial" w:cs="Arial" w:eastAsia="Arial" w:hAnsi="Arial"/>
          <w:sz w:val="18"/>
          <w:szCs w:val="18"/>
          <w:color w:val="auto"/>
        </w:rPr>
        <w:t>otherwise required by law.</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Under our 2020 Stock Incentive Plan, all LTIs or shares issued in respect thereof and cash or other</w:t>
      </w:r>
    </w:p>
    <w:p>
      <w:pPr>
        <w:spacing w:after="0" w:line="10" w:lineRule="exact"/>
        <w:rPr>
          <w:sz w:val="20"/>
          <w:szCs w:val="20"/>
          <w:color w:val="auto"/>
        </w:rPr>
      </w:pPr>
    </w:p>
    <w:p>
      <w:pPr>
        <w:jc w:val="both"/>
        <w:ind w:left="180" w:right="439"/>
        <w:spacing w:after="0" w:line="268" w:lineRule="auto"/>
        <w:rPr>
          <w:sz w:val="20"/>
          <w:szCs w:val="20"/>
          <w:color w:val="auto"/>
        </w:rPr>
      </w:pPr>
      <w:r>
        <w:rPr>
          <w:rFonts w:ascii="Arial" w:cs="Arial" w:eastAsia="Arial" w:hAnsi="Arial"/>
          <w:sz w:val="16"/>
          <w:szCs w:val="16"/>
          <w:color w:val="auto"/>
        </w:rPr>
        <w:t>proceeds in respect thereof issued to our NEOs are subject to reduction, cancelation, forfeiture and recoupment to the extent necessary to comply with applicable law or the listing rules of Nasdaq or other principal stock exchange</w:t>
      </w:r>
    </w:p>
    <w:p>
      <w:pPr>
        <w:spacing w:after="0" w:line="14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83755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2" w:name="page43"/>
    <w:bookmarkEnd w:id="42"/>
    <w:p>
      <w:pPr>
        <w:jc w:val="both"/>
        <w:ind w:left="180" w:right="740"/>
        <w:spacing w:after="0" w:line="246" w:lineRule="auto"/>
        <w:rPr>
          <w:sz w:val="20"/>
          <w:szCs w:val="20"/>
          <w:color w:val="auto"/>
        </w:rPr>
      </w:pPr>
      <w:r>
        <w:rPr>
          <w:rFonts w:ascii="Arial" w:cs="Arial" w:eastAsia="Arial" w:hAnsi="Arial"/>
          <w:sz w:val="18"/>
          <w:szCs w:val="18"/>
          <w:color w:val="auto"/>
        </w:rPr>
        <w:t>on which our Common Stock is then listed. In accepting an award under the 2020 Stock Incentive Plan, a participant agrees to be bound by any such clawback.</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 February 22, 2023, the Nasdaq Stock Market filed rule proposals to adopt new listing standards</w:t>
      </w:r>
    </w:p>
    <w:p>
      <w:pPr>
        <w:jc w:val="both"/>
        <w:ind w:left="180" w:right="740"/>
        <w:spacing w:after="0" w:line="234" w:lineRule="auto"/>
        <w:rPr>
          <w:sz w:val="20"/>
          <w:szCs w:val="20"/>
          <w:color w:val="auto"/>
        </w:rPr>
      </w:pPr>
      <w:r>
        <w:rPr>
          <w:rFonts w:ascii="Arial" w:cs="Arial" w:eastAsia="Arial" w:hAnsi="Arial"/>
          <w:sz w:val="16"/>
          <w:szCs w:val="16"/>
          <w:color w:val="auto"/>
        </w:rPr>
        <w:t>implementing Rule 10D-1 under the Securities Exchange Act of 1934. That rule, which the Securities and Exchange Commission (the “SEC”) adopted in October 2022, requires national securities exchanges to implement standards to require listed companies to adopt and publicly file so-called “clawback” policies to recover erroneously awarded</w:t>
      </w:r>
    </w:p>
    <w:p>
      <w:pPr>
        <w:spacing w:after="0" w:line="2" w:lineRule="exact"/>
        <w:rPr>
          <w:sz w:val="20"/>
          <w:szCs w:val="20"/>
          <w:color w:val="auto"/>
        </w:rPr>
      </w:pPr>
    </w:p>
    <w:p>
      <w:pPr>
        <w:jc w:val="both"/>
        <w:ind w:left="180" w:right="740"/>
        <w:spacing w:after="0" w:line="226" w:lineRule="auto"/>
        <w:rPr>
          <w:sz w:val="20"/>
          <w:szCs w:val="20"/>
          <w:color w:val="auto"/>
        </w:rPr>
      </w:pPr>
      <w:r>
        <w:rPr>
          <w:rFonts w:ascii="Arial" w:cs="Arial" w:eastAsia="Arial" w:hAnsi="Arial"/>
          <w:sz w:val="18"/>
          <w:szCs w:val="18"/>
          <w:color w:val="auto"/>
        </w:rPr>
        <w:t>incentive-based compensation following accounting restatements. We intend to adopt a clawback policy that is compliant with the new SEC and Nasdaq listing rules by no later than December 1, 2023.</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Anti-Put/Call/Short Sale Policy</w:t>
      </w:r>
    </w:p>
    <w:p>
      <w:pPr>
        <w:spacing w:after="0" w:line="14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NEOs may not trade in puts or calls or engage in short sales with respect to our Company’s securities.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Anti-Hedging Policy</w:t>
      </w:r>
    </w:p>
    <w:p>
      <w:pPr>
        <w:spacing w:after="0" w:line="158" w:lineRule="exact"/>
        <w:rPr>
          <w:sz w:val="20"/>
          <w:szCs w:val="20"/>
          <w:color w:val="auto"/>
        </w:rPr>
      </w:pPr>
    </w:p>
    <w:p>
      <w:pPr>
        <w:jc w:val="both"/>
        <w:ind w:left="180" w:right="740" w:firstLine="648"/>
        <w:spacing w:after="0" w:line="258" w:lineRule="auto"/>
        <w:rPr>
          <w:sz w:val="20"/>
          <w:szCs w:val="20"/>
          <w:color w:val="auto"/>
        </w:rPr>
      </w:pPr>
      <w:r>
        <w:rPr>
          <w:rFonts w:ascii="Arial" w:cs="Arial" w:eastAsia="Arial" w:hAnsi="Arial"/>
          <w:sz w:val="17"/>
          <w:szCs w:val="17"/>
          <w:color w:val="auto"/>
        </w:rPr>
        <w:t>Our NEOs may not engage in certain hedging transactions with respect to our Company’s securities, such as zero-cost collars, equity swaps, prepaid variable forward contracts and exchange funds.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PAY VERSUS PERFORMANCE</w:t>
      </w:r>
    </w:p>
    <w:p>
      <w:pPr>
        <w:spacing w:after="0" w:line="162" w:lineRule="exact"/>
        <w:rPr>
          <w:sz w:val="20"/>
          <w:szCs w:val="20"/>
          <w:color w:val="auto"/>
        </w:rPr>
      </w:pPr>
    </w:p>
    <w:p>
      <w:pPr>
        <w:jc w:val="both"/>
        <w:ind w:left="180" w:right="20" w:firstLine="648"/>
        <w:spacing w:after="0" w:line="224" w:lineRule="auto"/>
        <w:rPr>
          <w:sz w:val="20"/>
          <w:szCs w:val="20"/>
          <w:color w:val="auto"/>
        </w:rPr>
      </w:pPr>
      <w:r>
        <w:rPr>
          <w:rFonts w:ascii="Arial" w:cs="Arial" w:eastAsia="Arial" w:hAnsi="Arial"/>
          <w:sz w:val="18"/>
          <w:szCs w:val="18"/>
          <w:color w:val="auto"/>
        </w:rPr>
        <w:t>The following table sets forth information regarding the compensation received by our Principal Executive Officer (PEO) and our other named executive officers compared to compensation actually paid to such officers, and certain financial performance measures during the last two completed fiscal years.</w:t>
      </w:r>
    </w:p>
    <w:p>
      <w:pPr>
        <w:spacing w:after="0" w:line="198" w:lineRule="exact"/>
        <w:rPr>
          <w:sz w:val="20"/>
          <w:szCs w:val="20"/>
          <w:color w:val="auto"/>
        </w:rPr>
      </w:pPr>
    </w:p>
    <w:tbl>
      <w:tblPr>
        <w:tblLayout w:type="fixed"/>
        <w:tblInd w:w="190" w:type="dxa"/>
        <w:tblCellMar>
          <w:top w:w="0" w:type="dxa"/>
          <w:left w:w="0" w:type="dxa"/>
          <w:bottom w:w="0" w:type="dxa"/>
          <w:right w:w="0" w:type="dxa"/>
        </w:tblCellMar>
      </w:tblPr>
      <w:tr>
        <w:trPr>
          <w:trHeight w:val="257"/>
        </w:trPr>
        <w:tc>
          <w:tcPr>
            <w:tcW w:w="1120" w:type="dxa"/>
            <w:vAlign w:val="bottom"/>
            <w:tcBorders>
              <w:top w:val="single" w:sz="8" w:color="auto"/>
              <w:left w:val="single" w:sz="8" w:color="auto"/>
              <w:right w:val="single" w:sz="8" w:color="auto"/>
            </w:tcBorders>
          </w:tcPr>
          <w:p>
            <w:pPr>
              <w:spacing w:after="0"/>
              <w:rPr>
                <w:sz w:val="22"/>
                <w:szCs w:val="22"/>
                <w:color w:val="auto"/>
              </w:rPr>
            </w:pPr>
          </w:p>
        </w:tc>
        <w:tc>
          <w:tcPr>
            <w:tcW w:w="1420" w:type="dxa"/>
            <w:vAlign w:val="bottom"/>
            <w:tcBorders>
              <w:top w:val="single" w:sz="8" w:color="auto"/>
              <w:right w:val="single" w:sz="8" w:color="auto"/>
            </w:tcBorders>
          </w:tcPr>
          <w:p>
            <w:pPr>
              <w:spacing w:after="0"/>
              <w:rPr>
                <w:sz w:val="22"/>
                <w:szCs w:val="22"/>
                <w:color w:val="auto"/>
              </w:rPr>
            </w:pPr>
          </w:p>
        </w:tc>
        <w:tc>
          <w:tcPr>
            <w:tcW w:w="1320" w:type="dxa"/>
            <w:vAlign w:val="bottom"/>
            <w:tcBorders>
              <w:top w:val="single" w:sz="8" w:color="auto"/>
              <w:right w:val="single" w:sz="8" w:color="auto"/>
            </w:tcBorders>
          </w:tcPr>
          <w:p>
            <w:pPr>
              <w:spacing w:after="0"/>
              <w:rPr>
                <w:sz w:val="22"/>
                <w:szCs w:val="22"/>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52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120" w:type="dxa"/>
            <w:vAlign w:val="bottom"/>
            <w:tcBorders>
              <w:left w:val="single" w:sz="8" w:color="auto"/>
              <w:right w:val="single" w:sz="8" w:color="auto"/>
            </w:tcBorders>
          </w:tcPr>
          <w:p>
            <w:pPr>
              <w:spacing w:after="0"/>
              <w:rPr>
                <w:sz w:val="15"/>
                <w:szCs w:val="15"/>
                <w:color w:val="auto"/>
              </w:rPr>
            </w:pPr>
          </w:p>
        </w:tc>
        <w:tc>
          <w:tcPr>
            <w:tcW w:w="14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3"/>
              </w:rPr>
              <w:t>Summary</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15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3"/>
              </w:rPr>
              <w:t>Summary</w:t>
            </w:r>
          </w:p>
        </w:tc>
        <w:tc>
          <w:tcPr>
            <w:tcW w:w="15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8"/>
              </w:rPr>
              <w:t>Average</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320" w:type="dxa"/>
            <w:vAlign w:val="bottom"/>
            <w:tcBorders>
              <w:right w:val="single" w:sz="8" w:color="auto"/>
            </w:tcBorders>
            <w:vMerge w:val="continue"/>
          </w:tcPr>
          <w:p>
            <w:pPr>
              <w:spacing w:after="0"/>
              <w:rPr>
                <w:sz w:val="14"/>
                <w:szCs w:val="14"/>
                <w:color w:val="auto"/>
              </w:rPr>
            </w:pPr>
          </w:p>
        </w:tc>
        <w:tc>
          <w:tcPr>
            <w:tcW w:w="15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5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Year</w:t>
            </w:r>
          </w:p>
        </w:tc>
        <w:tc>
          <w:tcPr>
            <w:tcW w:w="14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4"/>
              </w:rPr>
              <w:t>Table Total for</w:t>
            </w:r>
          </w:p>
        </w:tc>
        <w:tc>
          <w:tcPr>
            <w:tcW w:w="13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Actually Paid</w:t>
            </w:r>
          </w:p>
        </w:tc>
        <w:tc>
          <w:tcPr>
            <w:tcW w:w="15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Table Total for</w:t>
            </w:r>
          </w:p>
        </w:tc>
        <w:tc>
          <w:tcPr>
            <w:tcW w:w="15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Actually Paid to</w:t>
            </w:r>
          </w:p>
        </w:tc>
        <w:tc>
          <w:tcPr>
            <w:tcW w:w="11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Shareholder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Net Income</w:t>
            </w:r>
          </w:p>
        </w:tc>
        <w:tc>
          <w:tcPr>
            <w:tcW w:w="0" w:type="dxa"/>
            <w:vAlign w:val="bottom"/>
          </w:tcPr>
          <w:p>
            <w:pPr>
              <w:spacing w:after="0"/>
              <w:rPr>
                <w:sz w:val="1"/>
                <w:szCs w:val="1"/>
                <w:color w:val="auto"/>
              </w:rPr>
            </w:pPr>
          </w:p>
        </w:tc>
      </w:tr>
      <w:tr>
        <w:trPr>
          <w:trHeight w:val="241"/>
        </w:trPr>
        <w:tc>
          <w:tcPr>
            <w:tcW w:w="1120" w:type="dxa"/>
            <w:vAlign w:val="bottom"/>
            <w:tcBorders>
              <w:left w:val="single" w:sz="8" w:color="auto"/>
              <w:right w:val="single" w:sz="8" w:color="auto"/>
            </w:tcBorders>
            <w:vMerge w:val="continue"/>
          </w:tcPr>
          <w:p>
            <w:pPr>
              <w:spacing w:after="0"/>
              <w:rPr>
                <w:sz w:val="20"/>
                <w:szCs w:val="20"/>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xml:space="preserve">PEO </w:t>
            </w:r>
            <w:r>
              <w:rPr>
                <w:rFonts w:ascii="Arial" w:cs="Arial" w:eastAsia="Arial" w:hAnsi="Arial"/>
                <w:sz w:val="17"/>
                <w:szCs w:val="17"/>
                <w:b w:val="1"/>
                <w:bCs w:val="1"/>
                <w:color w:val="auto"/>
                <w:w w:val="92"/>
                <w:vertAlign w:val="superscript"/>
              </w:rPr>
              <w:t>(1)</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xml:space="preserve">to PEO </w:t>
            </w:r>
            <w:r>
              <w:rPr>
                <w:rFonts w:ascii="Arial" w:cs="Arial" w:eastAsia="Arial" w:hAnsi="Arial"/>
                <w:sz w:val="17"/>
                <w:szCs w:val="17"/>
                <w:b w:val="1"/>
                <w:bCs w:val="1"/>
                <w:color w:val="auto"/>
                <w:w w:val="92"/>
                <w:vertAlign w:val="superscript"/>
              </w:rPr>
              <w:t>(2)</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xml:space="preserve">Non-PEO NEOs </w:t>
            </w:r>
            <w:r>
              <w:rPr>
                <w:rFonts w:ascii="Arial" w:cs="Arial" w:eastAsia="Arial" w:hAnsi="Arial"/>
                <w:sz w:val="17"/>
                <w:szCs w:val="17"/>
                <w:b w:val="1"/>
                <w:bCs w:val="1"/>
                <w:color w:val="auto"/>
                <w:w w:val="92"/>
                <w:vertAlign w:val="superscript"/>
              </w:rPr>
              <w:t>(3</w:t>
            </w:r>
            <w:r>
              <w:rPr>
                <w:rFonts w:ascii="Arial" w:cs="Arial" w:eastAsia="Arial" w:hAnsi="Arial"/>
                <w:sz w:val="17"/>
                <w:szCs w:val="17"/>
                <w:color w:val="auto"/>
                <w:w w:val="92"/>
                <w:vertAlign w:val="superscript"/>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xml:space="preserve">Non-PEO NEOs </w:t>
            </w:r>
            <w:r>
              <w:rPr>
                <w:rFonts w:ascii="Arial" w:cs="Arial" w:eastAsia="Arial" w:hAnsi="Arial"/>
                <w:sz w:val="17"/>
                <w:szCs w:val="17"/>
                <w:b w:val="1"/>
                <w:bCs w:val="1"/>
                <w:color w:val="auto"/>
                <w:w w:val="93"/>
                <w:vertAlign w:val="superscript"/>
              </w:rPr>
              <w:t>(4)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 xml:space="preserve">Return </w:t>
            </w:r>
            <w:r>
              <w:rPr>
                <w:rFonts w:ascii="Arial" w:cs="Arial" w:eastAsia="Arial" w:hAnsi="Arial"/>
                <w:sz w:val="17"/>
                <w:szCs w:val="17"/>
                <w:b w:val="1"/>
                <w:bCs w:val="1"/>
                <w:color w:val="auto"/>
                <w:w w:val="91"/>
                <w:vertAlign w:val="superscript"/>
              </w:rPr>
              <w:t>(5)</w:t>
            </w:r>
          </w:p>
        </w:tc>
        <w:tc>
          <w:tcPr>
            <w:tcW w:w="11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w:t>
            </w:r>
          </w:p>
        </w:tc>
        <w:tc>
          <w:tcPr>
            <w:tcW w:w="0" w:type="dxa"/>
            <w:vAlign w:val="bottom"/>
          </w:tcPr>
          <w:p>
            <w:pPr>
              <w:spacing w:after="0"/>
              <w:rPr>
                <w:sz w:val="1"/>
                <w:szCs w:val="1"/>
                <w:color w:val="auto"/>
              </w:rPr>
            </w:pPr>
          </w:p>
        </w:tc>
      </w:tr>
      <w:tr>
        <w:trPr>
          <w:trHeight w:val="210"/>
        </w:trPr>
        <w:tc>
          <w:tcPr>
            <w:tcW w:w="1120" w:type="dxa"/>
            <w:vAlign w:val="bottom"/>
            <w:tcBorders>
              <w:left w:val="single" w:sz="8" w:color="auto"/>
              <w:bottom w:val="single" w:sz="8" w:color="auto"/>
              <w:right w:val="single" w:sz="8" w:color="auto"/>
            </w:tcBorders>
            <w:shd w:val="clear" w:color="auto" w:fill="C1E1FB"/>
          </w:tcPr>
          <w:p>
            <w:pPr>
              <w:jc w:val="center"/>
              <w:spacing w:after="0"/>
              <w:rPr>
                <w:sz w:val="20"/>
                <w:szCs w:val="20"/>
                <w:color w:val="auto"/>
              </w:rPr>
            </w:pPr>
            <w:r>
              <w:rPr>
                <w:rFonts w:ascii="Arial" w:cs="Arial" w:eastAsia="Arial" w:hAnsi="Arial"/>
                <w:sz w:val="16"/>
                <w:szCs w:val="16"/>
                <w:color w:val="auto"/>
                <w:w w:val="89"/>
              </w:rPr>
              <w:t>2022</w:t>
            </w:r>
          </w:p>
        </w:tc>
        <w:tc>
          <w:tcPr>
            <w:tcW w:w="14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1,137,580</w:t>
            </w:r>
          </w:p>
        </w:tc>
        <w:tc>
          <w:tcPr>
            <w:tcW w:w="13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313,281</w:t>
            </w:r>
          </w:p>
        </w:tc>
        <w:tc>
          <w:tcPr>
            <w:tcW w:w="15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695,779</w:t>
            </w:r>
          </w:p>
        </w:tc>
        <w:tc>
          <w:tcPr>
            <w:tcW w:w="15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352,709</w:t>
            </w:r>
          </w:p>
        </w:tc>
        <w:tc>
          <w:tcPr>
            <w:tcW w:w="11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55</w:t>
            </w:r>
          </w:p>
        </w:tc>
        <w:tc>
          <w:tcPr>
            <w:tcW w:w="11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(36,660,000)</w:t>
            </w:r>
          </w:p>
        </w:tc>
        <w:tc>
          <w:tcPr>
            <w:tcW w:w="0" w:type="dxa"/>
            <w:vAlign w:val="bottom"/>
          </w:tcPr>
          <w:p>
            <w:pPr>
              <w:spacing w:after="0"/>
              <w:rPr>
                <w:sz w:val="1"/>
                <w:szCs w:val="1"/>
                <w:color w:val="auto"/>
              </w:rPr>
            </w:pPr>
          </w:p>
        </w:tc>
      </w:tr>
      <w:tr>
        <w:trPr>
          <w:trHeight w:val="209"/>
        </w:trPr>
        <w:tc>
          <w:tcPr>
            <w:tcW w:w="1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2021</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1,602,580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1,085,008</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811,181</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575,791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34,814,000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500" w:right="20" w:hanging="316"/>
        <w:spacing w:after="0" w:line="22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total compensation reported for Ms. Ellen Cotter, who served as our PEO in 2021 and 2022 for each corresponding fiscal year in the "Total($)" column of the Summary Compensation Table. Refer to "Summary Compensation Table" for more information.</w:t>
      </w:r>
    </w:p>
    <w:p>
      <w:pPr>
        <w:spacing w:after="0" w:line="136" w:lineRule="exact"/>
        <w:rPr>
          <w:rFonts w:ascii="Arial" w:cs="Arial" w:eastAsia="Arial" w:hAnsi="Arial"/>
          <w:sz w:val="18"/>
          <w:szCs w:val="18"/>
          <w:color w:val="auto"/>
        </w:rPr>
      </w:pPr>
    </w:p>
    <w:p>
      <w:pPr>
        <w:jc w:val="both"/>
        <w:ind w:left="500" w:right="20" w:hanging="316"/>
        <w:spacing w:after="0" w:line="21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dollar amounts reported represent the amount of “compensation actually paid” to our PEO, as computed in accordance with Item 402(v) of Regulation S-K, in fiscal 2021 and 2022. The dollar amounts do not reflect the actual amount of compensation earned by or paid to our PEO during the applicable fiscal year. In accordance with the requirements of Item 402(v) of Regulation S-K, the following adjustments were made to our PEO’s total compensation for each fiscal year to determine the compensation actually paid:</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320"/>
          </w:cols>
          <w:pgMar w:left="1440" w:top="287" w:right="1139" w:bottom="1440" w:gutter="0" w:footer="0" w:header="0"/>
        </w:sectPr>
      </w:pPr>
    </w:p>
    <w:bookmarkStart w:id="43" w:name="page44"/>
    <w:bookmarkEnd w:id="43"/>
    <w:tbl>
      <w:tblPr>
        <w:tblLayout w:type="fixed"/>
        <w:tblInd w:w="190" w:type="dxa"/>
        <w:tblCellMar>
          <w:top w:w="0" w:type="dxa"/>
          <w:left w:w="0" w:type="dxa"/>
          <w:bottom w:w="0" w:type="dxa"/>
          <w:right w:w="0" w:type="dxa"/>
        </w:tblCellMar>
      </w:tblPr>
      <w:tr>
        <w:trPr>
          <w:trHeight w:val="243"/>
        </w:trPr>
        <w:tc>
          <w:tcPr>
            <w:tcW w:w="880" w:type="dxa"/>
            <w:vAlign w:val="bottom"/>
            <w:tcBorders>
              <w:top w:val="single" w:sz="8" w:color="auto"/>
              <w:left w:val="single" w:sz="8" w:color="auto"/>
              <w:right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spacing w:after="0"/>
              <w:rPr>
                <w:sz w:val="21"/>
                <w:szCs w:val="21"/>
                <w:color w:val="auto"/>
              </w:rPr>
            </w:pPr>
          </w:p>
        </w:tc>
        <w:tc>
          <w:tcPr>
            <w:tcW w:w="98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right w:val="single" w:sz="8" w:color="auto"/>
            </w:tcBorders>
          </w:tcPr>
          <w:p>
            <w:pPr>
              <w:spacing w:after="0"/>
              <w:rPr>
                <w:sz w:val="21"/>
                <w:szCs w:val="21"/>
                <w:color w:val="auto"/>
              </w:rPr>
            </w:pPr>
          </w:p>
        </w:tc>
        <w:tc>
          <w:tcPr>
            <w:tcW w:w="94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Change in</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Fair value</w:t>
            </w:r>
          </w:p>
        </w:tc>
        <w:tc>
          <w:tcPr>
            <w:tcW w:w="940" w:type="dxa"/>
            <w:vAlign w:val="bottom"/>
            <w:tcBorders>
              <w:top w:val="single" w:sz="8" w:color="auto"/>
              <w:right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0"/>
              </w:rPr>
              <w:t>Change in</w:t>
            </w:r>
          </w:p>
        </w:tc>
        <w:tc>
          <w:tcPr>
            <w:tcW w:w="102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3"/>
              </w:rPr>
              <w:t>at the end</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7"/>
              </w:rPr>
              <w:t>fair value</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2"/>
              </w:rPr>
              <w:t>of the</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4"/>
              </w:rPr>
              <w:t>fair value</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9"/>
              </w:rPr>
              <w:t>of equity</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9"/>
              </w:rPr>
              <w:t>prior</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2"/>
              </w:rPr>
              <w:t>of equity</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2"/>
              </w:rPr>
              <w:t>awards</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9"/>
              </w:rPr>
              <w:t>fiscal year</w:t>
            </w:r>
          </w:p>
        </w:tc>
        <w:tc>
          <w:tcPr>
            <w:tcW w:w="9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2"/>
              </w:rPr>
              <w:t>awards</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3"/>
              </w:rPr>
              <w:t>granted in</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2"/>
              </w:rPr>
              <w:t>of equity</w:t>
            </w:r>
          </w:p>
        </w:tc>
        <w:tc>
          <w:tcPr>
            <w:tcW w:w="94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3"/>
              </w:rPr>
              <w:t>granted in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2"/>
              </w:rPr>
              <w:t>prior years</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8"/>
              </w:rPr>
              <w:t>awards</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1"/>
              </w:rPr>
              <w:t>Increase</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9"/>
              </w:rPr>
              <w:t>prior</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5"/>
              </w:rPr>
              <w:t>that are</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0"/>
              </w:rPr>
              <w:t>granted in</w:t>
            </w:r>
          </w:p>
        </w:tc>
        <w:tc>
          <w:tcPr>
            <w:tcW w:w="94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3"/>
              </w:rPr>
              <w:t>years that</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88"/>
              </w:rPr>
              <w:t>outstanding</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95"/>
              </w:rPr>
              <w:t>the prior</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w w:val="89"/>
              </w:rPr>
              <w:t>for service</w:t>
            </w: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2"/>
              </w:rPr>
              <w:t>Deduction</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9"/>
              </w:rPr>
              <w:t>vested at</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9"/>
              </w:rPr>
              <w:t>and</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2"/>
              </w:rPr>
              <w:t>year that</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7"/>
              </w:rPr>
              <w:t>cost and</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Summary</w:t>
            </w:r>
          </w:p>
        </w:tc>
        <w:tc>
          <w:tcPr>
            <w:tcW w:w="9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b w:val="1"/>
                <w:bCs w:val="1"/>
                <w:color w:val="auto"/>
                <w:w w:val="89"/>
              </w:rPr>
              <w:t>the end of</w:t>
            </w:r>
          </w:p>
        </w:tc>
        <w:tc>
          <w:tcPr>
            <w:tcW w:w="10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b w:val="1"/>
                <w:bCs w:val="1"/>
                <w:color w:val="auto"/>
                <w:w w:val="87"/>
              </w:rPr>
              <w:t>unvested as</w:t>
            </w:r>
          </w:p>
        </w:tc>
        <w:tc>
          <w:tcPr>
            <w:tcW w:w="9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b w:val="1"/>
                <w:bCs w:val="1"/>
                <w:color w:val="auto"/>
                <w:w w:val="87"/>
              </w:rPr>
              <w:t>were</w:t>
            </w:r>
          </w:p>
        </w:tc>
        <w:tc>
          <w:tcPr>
            <w:tcW w:w="9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b w:val="1"/>
                <w:bCs w:val="1"/>
                <w:color w:val="auto"/>
                <w:w w:val="99"/>
              </w:rPr>
              <w:t>prior</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8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2"/>
              </w:rPr>
              <w:t>Deduction</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99"/>
              </w:rPr>
              <w:t>for SCT</w:t>
            </w:r>
          </w:p>
        </w:tc>
        <w:tc>
          <w:tcPr>
            <w:tcW w:w="9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94"/>
              </w:rPr>
              <w:t>or during</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89"/>
              </w:rPr>
              <w:t>of the end</w:t>
            </w:r>
          </w:p>
        </w:tc>
        <w:tc>
          <w:tcPr>
            <w:tcW w:w="9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93"/>
              </w:rPr>
              <w:t>forfeited</w:t>
            </w:r>
          </w:p>
        </w:tc>
        <w:tc>
          <w:tcPr>
            <w:tcW w:w="9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w w:val="85"/>
              </w:rPr>
              <w:t>service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0"/>
              </w:rPr>
              <w:t>Compensation</w:t>
            </w: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0"/>
              </w:rPr>
              <w:t>Compensation</w:t>
            </w:r>
          </w:p>
        </w:tc>
        <w:tc>
          <w:tcPr>
            <w:tcW w:w="9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4"/>
              </w:rPr>
              <w:t>"Restricted</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8"/>
              </w:rPr>
              <w:t>the</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8"/>
              </w:rPr>
              <w:t>of the</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5"/>
              </w:rPr>
              <w:t>during the</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7"/>
              </w:rPr>
              <w:t>cost for</w:t>
            </w:r>
          </w:p>
        </w:tc>
        <w:tc>
          <w:tcPr>
            <w:tcW w:w="1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0"/>
              </w:rPr>
              <w:t>Table Total</w:t>
            </w: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6"/>
              </w:rPr>
              <w:t>for Option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8"/>
              </w:rPr>
              <w:t>Stock</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6"/>
              </w:rPr>
              <w:t>covered</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0"/>
              </w:rPr>
              <w:t>covered</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6"/>
              </w:rPr>
              <w:t>covered</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6"/>
              </w:rPr>
              <w:t>pension</w:t>
            </w: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3"/>
              </w:rPr>
              <w:t>Actually Paid</w:t>
            </w: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spacing w:after="0"/>
              <w:rPr>
                <w:sz w:val="17"/>
                <w:szCs w:val="17"/>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for PEO</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Awards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Awards"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fiscal year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fiscal year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fiscal year</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plans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to PEO</w:t>
            </w:r>
          </w:p>
        </w:tc>
        <w:tc>
          <w:tcPr>
            <w:tcW w:w="0" w:type="dxa"/>
            <w:vAlign w:val="bottom"/>
          </w:tcPr>
          <w:p>
            <w:pPr>
              <w:spacing w:after="0"/>
              <w:rPr>
                <w:sz w:val="1"/>
                <w:szCs w:val="1"/>
                <w:color w:val="auto"/>
              </w:rPr>
            </w:pPr>
          </w:p>
        </w:tc>
      </w:tr>
      <w:tr>
        <w:trPr>
          <w:trHeight w:val="315"/>
        </w:trPr>
        <w:tc>
          <w:tcPr>
            <w:tcW w:w="8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b w:val="1"/>
                <w:bCs w:val="1"/>
                <w:color w:val="auto"/>
              </w:rPr>
              <w:t>Year</w:t>
            </w:r>
          </w:p>
        </w:tc>
        <w:tc>
          <w:tcPr>
            <w:tcW w:w="12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0" w:type="dxa"/>
            <w:vAlign w:val="bottom"/>
          </w:tcPr>
          <w:p>
            <w:pPr>
              <w:spacing w:after="0"/>
              <w:rPr>
                <w:sz w:val="1"/>
                <w:szCs w:val="1"/>
                <w:color w:val="auto"/>
              </w:rPr>
            </w:pPr>
          </w:p>
        </w:tc>
      </w:tr>
      <w:tr>
        <w:trPr>
          <w:trHeight w:val="250"/>
        </w:trPr>
        <w:tc>
          <w:tcPr>
            <w:tcW w:w="880" w:type="dxa"/>
            <w:vAlign w:val="bottom"/>
            <w:tcBorders>
              <w:left w:val="single" w:sz="8" w:color="auto"/>
              <w:bottom w:val="single" w:sz="8" w:color="auto"/>
              <w:right w:val="single" w:sz="8" w:color="auto"/>
            </w:tcBorders>
            <w:shd w:val="clear" w:color="auto" w:fill="C1E1FB"/>
          </w:tcPr>
          <w:p>
            <w:pPr>
              <w:ind w:left="280"/>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right w:val="single" w:sz="8" w:color="auto"/>
            </w:tcBorders>
            <w:shd w:val="clear" w:color="auto" w:fill="C1E1FB"/>
          </w:tcPr>
          <w:p>
            <w:pPr>
              <w:ind w:left="480"/>
              <w:spacing w:after="0"/>
              <w:rPr>
                <w:sz w:val="20"/>
                <w:szCs w:val="20"/>
                <w:color w:val="auto"/>
              </w:rPr>
            </w:pPr>
            <w:r>
              <w:rPr>
                <w:rFonts w:ascii="Arial" w:cs="Arial" w:eastAsia="Arial" w:hAnsi="Arial"/>
                <w:sz w:val="16"/>
                <w:szCs w:val="16"/>
                <w:color w:val="auto"/>
                <w:w w:val="95"/>
              </w:rPr>
              <w:t>1,137,580</w:t>
            </w:r>
          </w:p>
        </w:tc>
        <w:tc>
          <w:tcPr>
            <w:tcW w:w="980" w:type="dxa"/>
            <w:vAlign w:val="bottom"/>
            <w:tcBorders>
              <w:bottom w:val="single" w:sz="8" w:color="auto"/>
              <w:right w:val="single" w:sz="8" w:color="auto"/>
            </w:tcBorders>
            <w:shd w:val="clear" w:color="auto" w:fill="C1E1FB"/>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(535,000)</w:t>
            </w:r>
          </w:p>
        </w:tc>
        <w:tc>
          <w:tcPr>
            <w:tcW w:w="94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5,541</w:t>
            </w:r>
          </w:p>
        </w:tc>
        <w:tc>
          <w:tcPr>
            <w:tcW w:w="102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(294,839)</w:t>
            </w:r>
          </w:p>
        </w:tc>
        <w:tc>
          <w:tcPr>
            <w:tcW w:w="960" w:type="dxa"/>
            <w:vAlign w:val="bottom"/>
            <w:tcBorders>
              <w:bottom w:val="single" w:sz="8" w:color="auto"/>
              <w:right w:val="single" w:sz="8" w:color="auto"/>
            </w:tcBorders>
            <w:shd w:val="clear" w:color="auto" w:fill="C1E1FB"/>
          </w:tcPr>
          <w:p>
            <w:pPr>
              <w:jc w:val="right"/>
              <w:ind w:right="6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shd w:val="clear" w:color="auto" w:fill="C1E1FB"/>
          </w:tcPr>
          <w:p>
            <w:pPr>
              <w:jc w:val="right"/>
              <w:ind w:right="43"/>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shd w:val="clear" w:color="auto" w:fill="C1E1FB"/>
          </w:tcPr>
          <w:p>
            <w:pPr>
              <w:jc w:val="right"/>
              <w:spacing w:after="0"/>
              <w:rPr>
                <w:sz w:val="20"/>
                <w:szCs w:val="20"/>
                <w:color w:val="auto"/>
              </w:rPr>
            </w:pPr>
            <w:r>
              <w:rPr>
                <w:rFonts w:ascii="Arial" w:cs="Arial" w:eastAsia="Arial" w:hAnsi="Arial"/>
                <w:sz w:val="16"/>
                <w:szCs w:val="16"/>
                <w:color w:val="auto"/>
              </w:rPr>
              <w:t>313,281</w:t>
            </w:r>
          </w:p>
        </w:tc>
        <w:tc>
          <w:tcPr>
            <w:tcW w:w="0" w:type="dxa"/>
            <w:vAlign w:val="bottom"/>
          </w:tcPr>
          <w:p>
            <w:pPr>
              <w:spacing w:after="0"/>
              <w:rPr>
                <w:sz w:val="1"/>
                <w:szCs w:val="1"/>
                <w:color w:val="auto"/>
              </w:rPr>
            </w:pPr>
          </w:p>
        </w:tc>
      </w:tr>
      <w:tr>
        <w:trPr>
          <w:trHeight w:val="290"/>
        </w:trPr>
        <w:tc>
          <w:tcPr>
            <w:tcW w:w="8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6"/>
                <w:szCs w:val="16"/>
                <w:color w:val="auto"/>
              </w:rPr>
              <w:t>2021</w:t>
            </w:r>
          </w:p>
        </w:tc>
        <w:tc>
          <w:tcPr>
            <w:tcW w:w="12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w w:val="95"/>
              </w:rPr>
              <w:t>1,602,580</w:t>
            </w:r>
          </w:p>
        </w:tc>
        <w:tc>
          <w:tcPr>
            <w:tcW w:w="98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43,588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(161,160)</w:t>
            </w:r>
          </w:p>
        </w:tc>
        <w:tc>
          <w:tcPr>
            <w:tcW w:w="96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1,085,008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580" w:right="20" w:hanging="396"/>
        <w:spacing w:after="0" w:line="223"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dollar amount reported represents the average of the amount of total compensation reported for our Company’s NEOs as a group, excluding our PEO, in the “Total” column of the Summary Compensation Table. The NEOs included for purposes of calculating the average amounts in each applicable fiscal year are Ms. Margaret Cotter and Mr. Craig Tompkins.</w:t>
      </w:r>
    </w:p>
    <w:p>
      <w:pPr>
        <w:spacing w:after="0" w:line="121" w:lineRule="exact"/>
        <w:rPr>
          <w:rFonts w:ascii="Arial" w:cs="Arial" w:eastAsia="Arial" w:hAnsi="Arial"/>
          <w:sz w:val="18"/>
          <w:szCs w:val="18"/>
          <w:color w:val="auto"/>
        </w:rPr>
      </w:pPr>
    </w:p>
    <w:p>
      <w:pPr>
        <w:jc w:val="both"/>
        <w:ind w:left="580" w:right="20" w:hanging="396"/>
        <w:spacing w:after="0" w:line="232"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dollar amounts reported represent the amount of “compensation actually paid” to our non-PEO NEOs, as computed in accordance with Item 402(v) of Regulation S-K, in fiscal 2021 and 2022. The dollar amounts do not reflect the actual amount of compensation earned by our non-PEO NEOs during the applicable fiscal year. In accordance with the requirements of Item 402(v) of Regulation S-K, the following adjustments were made to our average non-PEO NEOs’ total compensation for each fiscal year to determine the compensation actually paid:</w:t>
      </w:r>
    </w:p>
    <w:p>
      <w:pPr>
        <w:spacing w:after="0" w:line="197" w:lineRule="exact"/>
        <w:rPr>
          <w:sz w:val="20"/>
          <w:szCs w:val="20"/>
          <w:color w:val="auto"/>
        </w:rPr>
      </w:pPr>
    </w:p>
    <w:tbl>
      <w:tblPr>
        <w:tblLayout w:type="fixed"/>
        <w:tblInd w:w="190" w:type="dxa"/>
        <w:tblCellMar>
          <w:top w:w="0" w:type="dxa"/>
          <w:left w:w="0" w:type="dxa"/>
          <w:bottom w:w="0" w:type="dxa"/>
          <w:right w:w="0" w:type="dxa"/>
        </w:tblCellMar>
      </w:tblPr>
      <w:tr>
        <w:trPr>
          <w:trHeight w:val="257"/>
        </w:trPr>
        <w:tc>
          <w:tcPr>
            <w:tcW w:w="800" w:type="dxa"/>
            <w:vAlign w:val="bottom"/>
            <w:tcBorders>
              <w:top w:val="single" w:sz="8" w:color="auto"/>
              <w:left w:val="single" w:sz="8" w:color="auto"/>
              <w:right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spacing w:after="0"/>
              <w:rPr>
                <w:sz w:val="22"/>
                <w:szCs w:val="22"/>
                <w:color w:val="auto"/>
              </w:rPr>
            </w:pPr>
          </w:p>
        </w:tc>
        <w:tc>
          <w:tcPr>
            <w:tcW w:w="1000" w:type="dxa"/>
            <w:vAlign w:val="bottom"/>
            <w:tcBorders>
              <w:top w:val="single" w:sz="8" w:color="auto"/>
              <w:right w:val="single" w:sz="8" w:color="auto"/>
            </w:tcBorders>
          </w:tcPr>
          <w:p>
            <w:pPr>
              <w:spacing w:after="0"/>
              <w:rPr>
                <w:sz w:val="22"/>
                <w:szCs w:val="22"/>
                <w:color w:val="auto"/>
              </w:rPr>
            </w:pPr>
          </w:p>
        </w:tc>
        <w:tc>
          <w:tcPr>
            <w:tcW w:w="1040" w:type="dxa"/>
            <w:vAlign w:val="bottom"/>
            <w:tcBorders>
              <w:top w:val="single" w:sz="8" w:color="auto"/>
              <w:right w:val="single" w:sz="8" w:color="auto"/>
            </w:tcBorders>
          </w:tcPr>
          <w:p>
            <w:pPr>
              <w:spacing w:after="0"/>
              <w:rPr>
                <w:sz w:val="22"/>
                <w:szCs w:val="22"/>
                <w:color w:val="auto"/>
              </w:rPr>
            </w:pPr>
          </w:p>
        </w:tc>
        <w:tc>
          <w:tcPr>
            <w:tcW w:w="900" w:type="dxa"/>
            <w:vAlign w:val="bottom"/>
            <w:tcBorders>
              <w:top w:val="single" w:sz="8" w:color="auto"/>
              <w:right w:val="single" w:sz="8" w:color="auto"/>
            </w:tcBorders>
          </w:tcPr>
          <w:p>
            <w:pPr>
              <w:spacing w:after="0"/>
              <w:rPr>
                <w:sz w:val="22"/>
                <w:szCs w:val="22"/>
                <w:color w:val="auto"/>
              </w:rPr>
            </w:pPr>
          </w:p>
        </w:tc>
        <w:tc>
          <w:tcPr>
            <w:tcW w:w="108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Fair</w:t>
            </w:r>
          </w:p>
        </w:tc>
        <w:tc>
          <w:tcPr>
            <w:tcW w:w="92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0"/>
              </w:rPr>
              <w:t>value at</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0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7"/>
              </w:rPr>
              <w:t>the end</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of the</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in fair</w:t>
            </w:r>
          </w:p>
        </w:tc>
        <w:tc>
          <w:tcPr>
            <w:tcW w:w="10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8"/>
              </w:rPr>
              <w:t>prior</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value of</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Change in</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7"/>
              </w:rPr>
              <w:t>fiscal</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equity</w:t>
            </w:r>
          </w:p>
        </w:tc>
        <w:tc>
          <w:tcPr>
            <w:tcW w:w="108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year of</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4"/>
              </w:rPr>
              <w:t>awards</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fair value</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equity</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granted</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9"/>
              </w:rPr>
              <w:t>of equity</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0"/>
              </w:rPr>
              <w:t>awards</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4"/>
              </w:rPr>
              <w:t>in prior</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0"/>
              </w:rPr>
              <w:t>awards</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granted</w:t>
            </w: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5"/>
              </w:rPr>
              <w:t>years</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granted in</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in the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Increase</w:t>
            </w: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5"/>
              </w:rPr>
              <w:t>that</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4"/>
              </w:rPr>
              <w:t>prior years</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8"/>
              </w:rPr>
              <w:t>prior</w:t>
            </w:r>
          </w:p>
        </w:tc>
        <w:tc>
          <w:tcPr>
            <w:tcW w:w="92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6"/>
              </w:rPr>
              <w:t>vested at</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that are</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year that</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for</w:t>
            </w: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the end</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9"/>
              </w:rPr>
              <w:t>outstanding</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7"/>
              </w:rPr>
              <w:t>were</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6"/>
              </w:rPr>
              <w:t>service</w:t>
            </w: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5"/>
              </w:rPr>
              <w:t>Summary</w:t>
            </w: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Deduction</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9"/>
              </w:rPr>
              <w:t>of or</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and</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forfeited</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5"/>
              </w:rPr>
              <w:t>cost and</w:t>
            </w:r>
          </w:p>
        </w:tc>
        <w:tc>
          <w:tcPr>
            <w:tcW w:w="1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6"/>
              </w:rPr>
              <w:t>during</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6"/>
              </w:rPr>
              <w:t>unvested as</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during</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8"/>
              </w:rPr>
              <w:t>prior</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Deduction</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6"/>
              </w:rPr>
              <w:t>for SCT</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3"/>
              </w:rPr>
              <w:t>the</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of the end</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the</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6"/>
              </w:rPr>
              <w:t>service</w:t>
            </w:r>
          </w:p>
        </w:tc>
        <w:tc>
          <w:tcPr>
            <w:tcW w:w="1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2"/>
              </w:rPr>
              <w:t>Table Total</w:t>
            </w:r>
          </w:p>
        </w:tc>
        <w:tc>
          <w:tcPr>
            <w:tcW w:w="100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"Restricted</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4"/>
              </w:rPr>
              <w:t>covered</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of the</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7"/>
              </w:rPr>
              <w:t>covered</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cost for</w:t>
            </w:r>
          </w:p>
        </w:tc>
        <w:tc>
          <w:tcPr>
            <w:tcW w:w="1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Actually Paid</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5"/>
              </w:rPr>
              <w:t>for Non-PEO</w:t>
            </w:r>
          </w:p>
        </w:tc>
        <w:tc>
          <w:tcPr>
            <w:tcW w:w="10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5"/>
              </w:rPr>
              <w:t>for Option</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7"/>
              </w:rPr>
              <w:t>Stock</w:t>
            </w:r>
          </w:p>
        </w:tc>
        <w:tc>
          <w:tcPr>
            <w:tcW w:w="9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7"/>
              </w:rPr>
              <w:t>fiscal</w:t>
            </w:r>
          </w:p>
        </w:tc>
        <w:tc>
          <w:tcPr>
            <w:tcW w:w="10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7"/>
              </w:rPr>
              <w:t>covered</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7"/>
              </w:rPr>
              <w:t>fiscal</w:t>
            </w:r>
          </w:p>
        </w:tc>
        <w:tc>
          <w:tcPr>
            <w:tcW w:w="92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4"/>
              </w:rPr>
              <w:t>pension</w:t>
            </w:r>
          </w:p>
        </w:tc>
        <w:tc>
          <w:tcPr>
            <w:tcW w:w="1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5"/>
              </w:rPr>
              <w:t>to Non-PEO</w:t>
            </w:r>
          </w:p>
        </w:tc>
        <w:tc>
          <w:tcPr>
            <w:tcW w:w="0" w:type="dxa"/>
            <w:vAlign w:val="bottom"/>
          </w:tcPr>
          <w:p>
            <w:pPr>
              <w:spacing w:after="0"/>
              <w:rPr>
                <w:sz w:val="1"/>
                <w:szCs w:val="1"/>
                <w:color w:val="auto"/>
              </w:rPr>
            </w:pPr>
          </w:p>
        </w:tc>
      </w:tr>
      <w:tr>
        <w:trPr>
          <w:trHeight w:val="210"/>
        </w:trPr>
        <w:tc>
          <w:tcPr>
            <w:tcW w:w="80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NEOs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Awards"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fiscal year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plans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NEOs</w:t>
            </w:r>
          </w:p>
        </w:tc>
        <w:tc>
          <w:tcPr>
            <w:tcW w:w="0" w:type="dxa"/>
            <w:vAlign w:val="bottom"/>
          </w:tcPr>
          <w:p>
            <w:pPr>
              <w:spacing w:after="0"/>
              <w:rPr>
                <w:sz w:val="1"/>
                <w:szCs w:val="1"/>
                <w:color w:val="auto"/>
              </w:rPr>
            </w:pPr>
          </w:p>
        </w:tc>
      </w:tr>
      <w:tr>
        <w:trPr>
          <w:trHeight w:val="316"/>
        </w:trPr>
        <w:tc>
          <w:tcPr>
            <w:tcW w:w="80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6"/>
                <w:szCs w:val="16"/>
                <w:b w:val="1"/>
                <w:bCs w:val="1"/>
                <w:color w:val="auto"/>
              </w:rPr>
              <w:t>Year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318"/>
        </w:trPr>
        <w:tc>
          <w:tcPr>
            <w:tcW w:w="800" w:type="dxa"/>
            <w:vAlign w:val="bottom"/>
            <w:tcBorders>
              <w:left w:val="single" w:sz="8" w:color="auto"/>
              <w:bottom w:val="single" w:sz="8" w:color="auto"/>
              <w:right w:val="single" w:sz="8" w:color="auto"/>
            </w:tcBorders>
            <w:shd w:val="clear" w:color="auto" w:fill="BDD6EE"/>
          </w:tcPr>
          <w:p>
            <w:pPr>
              <w:ind w:left="22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695,779</w:t>
            </w:r>
          </w:p>
        </w:tc>
        <w:tc>
          <w:tcPr>
            <w:tcW w:w="1000" w:type="dxa"/>
            <w:vAlign w:val="bottom"/>
            <w:tcBorders>
              <w:bottom w:val="single" w:sz="8" w:color="auto"/>
              <w:right w:val="single" w:sz="8" w:color="auto"/>
            </w:tcBorders>
            <w:shd w:val="clear" w:color="auto" w:fill="BDD6EE"/>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(233,754)</w:t>
            </w:r>
          </w:p>
        </w:tc>
        <w:tc>
          <w:tcPr>
            <w:tcW w:w="90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2,796</w:t>
            </w:r>
          </w:p>
        </w:tc>
        <w:tc>
          <w:tcPr>
            <w:tcW w:w="108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(112,112)</w:t>
            </w:r>
          </w:p>
        </w:tc>
        <w:tc>
          <w:tcPr>
            <w:tcW w:w="920" w:type="dxa"/>
            <w:vAlign w:val="bottom"/>
            <w:tcBorders>
              <w:bottom w:val="single" w:sz="8" w:color="auto"/>
              <w:right w:val="single" w:sz="8" w:color="auto"/>
            </w:tcBorders>
            <w:shd w:val="clear" w:color="auto" w:fill="BDD6EE"/>
          </w:tcPr>
          <w:p>
            <w:pPr>
              <w:jc w:val="right"/>
              <w:ind w:right="5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BDD6EE"/>
          </w:tcPr>
          <w:p>
            <w:pPr>
              <w:jc w:val="right"/>
              <w:ind w:right="5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352,709</w:t>
            </w:r>
          </w:p>
        </w:tc>
        <w:tc>
          <w:tcPr>
            <w:tcW w:w="0" w:type="dxa"/>
            <w:vAlign w:val="bottom"/>
          </w:tcPr>
          <w:p>
            <w:pPr>
              <w:spacing w:after="0"/>
              <w:rPr>
                <w:sz w:val="1"/>
                <w:szCs w:val="1"/>
                <w:color w:val="auto"/>
              </w:rPr>
            </w:pPr>
          </w:p>
        </w:tc>
      </w:tr>
      <w:tr>
        <w:trPr>
          <w:trHeight w:val="290"/>
        </w:trPr>
        <w:tc>
          <w:tcPr>
            <w:tcW w:w="8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2021</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811,181</w:t>
            </w:r>
          </w:p>
        </w:tc>
        <w:tc>
          <w:tcPr>
            <w:tcW w:w="100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(195,000)</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12,392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(52,782)</w:t>
            </w:r>
          </w:p>
        </w:tc>
        <w:tc>
          <w:tcPr>
            <w:tcW w:w="92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575,791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40" w:right="20" w:hanging="332"/>
        <w:spacing w:after="0" w:line="235"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Shareholder Return is determined based on the value of an initial fixed investment of $100 as of December 31, 2020.</w:t>
      </w: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37555" cy="51435"/>
                    </a:xfrm>
                    <a:prstGeom prst="rect">
                      <a:avLst/>
                    </a:prstGeom>
                    <a:noFill/>
                  </pic:spPr>
                </pic:pic>
              </a:graphicData>
            </a:graphic>
          </wp:anchor>
        </w:drawing>
      </w:r>
    </w:p>
    <w:p>
      <w:pPr>
        <w:sectPr>
          <w:pgSz w:w="11900" w:h="16838" w:orient="portrait"/>
          <w:cols w:equalWidth="0" w:num="1">
            <w:col w:w="9320"/>
          </w:cols>
          <w:pgMar w:left="1440" w:top="673" w:right="1139" w:bottom="1440" w:gutter="0" w:footer="0" w:header="0"/>
        </w:sectPr>
      </w:pPr>
    </w:p>
    <w:bookmarkStart w:id="44" w:name="page45"/>
    <w:bookmarkEnd w:id="44"/>
    <w:p>
      <w:pPr>
        <w:ind w:left="180"/>
        <w:spacing w:after="0"/>
        <w:rPr>
          <w:sz w:val="20"/>
          <w:szCs w:val="20"/>
          <w:color w:val="auto"/>
        </w:rPr>
      </w:pPr>
      <w:r>
        <w:rPr>
          <w:rFonts w:ascii="Arial" w:cs="Arial" w:eastAsia="Arial" w:hAnsi="Arial"/>
          <w:sz w:val="18"/>
          <w:szCs w:val="18"/>
          <w:b w:val="1"/>
          <w:bCs w:val="1"/>
          <w:color w:val="auto"/>
        </w:rPr>
        <w:t>Compensation Actually Paid and Cumulative Total Shareholder Return (“TSR”)</w:t>
      </w:r>
    </w:p>
    <w:p>
      <w:pPr>
        <w:spacing w:after="0" w:line="270" w:lineRule="exact"/>
        <w:rPr>
          <w:sz w:val="20"/>
          <w:szCs w:val="20"/>
          <w:color w:val="auto"/>
        </w:rPr>
      </w:pPr>
    </w:p>
    <w:p>
      <w:pPr>
        <w:jc w:val="both"/>
        <w:ind w:left="180" w:right="20" w:firstLine="648"/>
        <w:spacing w:after="0" w:line="241" w:lineRule="auto"/>
        <w:rPr>
          <w:sz w:val="20"/>
          <w:szCs w:val="20"/>
          <w:color w:val="auto"/>
        </w:rPr>
      </w:pPr>
      <w:r>
        <w:rPr>
          <w:rFonts w:ascii="Arial" w:cs="Arial" w:eastAsia="Arial" w:hAnsi="Arial"/>
          <w:sz w:val="16"/>
          <w:szCs w:val="16"/>
          <w:color w:val="auto"/>
        </w:rPr>
        <w:t>As described in “Executive Compensation ─ Compensation Overview,” our Compensation Committee makes long-term incentive awards in the form of time vested RSUs and PRSUs that are used as a means to further align our NEO’s long-term interests with those of our stockholders, with the ultimate objective of affording our executives an appropriate incentive</w:t>
      </w:r>
    </w:p>
    <w:p>
      <w:pPr>
        <w:spacing w:after="0" w:line="2" w:lineRule="exact"/>
        <w:rPr>
          <w:sz w:val="20"/>
          <w:szCs w:val="20"/>
          <w:color w:val="auto"/>
        </w:rPr>
      </w:pPr>
    </w:p>
    <w:p>
      <w:pPr>
        <w:jc w:val="both"/>
        <w:ind w:left="180" w:right="20"/>
        <w:spacing w:after="0" w:line="234" w:lineRule="auto"/>
        <w:rPr>
          <w:sz w:val="20"/>
          <w:szCs w:val="20"/>
          <w:color w:val="auto"/>
        </w:rPr>
      </w:pPr>
      <w:r>
        <w:rPr>
          <w:rFonts w:ascii="Arial" w:cs="Arial" w:eastAsia="Arial" w:hAnsi="Arial"/>
          <w:sz w:val="16"/>
          <w:szCs w:val="16"/>
          <w:color w:val="auto"/>
        </w:rPr>
        <w:t>to help drive increases in stockholder value. The following graph demonstrates the relationship between compensation actually paid to our PEO, the average of the compensation actually paid to our remaining non-PEO NEOs and the cumulative TSR of our Company during the last two completed fiscal years. The TSR amounts in the graph assume a fixed investment of</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$100 was invested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21590</wp:posOffset>
            </wp:positionV>
            <wp:extent cx="3514725" cy="2837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1472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Compensation Actually Paid and Net Income</w:t>
      </w:r>
    </w:p>
    <w:p>
      <w:pPr>
        <w:spacing w:after="0" w:line="270" w:lineRule="exact"/>
        <w:rPr>
          <w:sz w:val="20"/>
          <w:szCs w:val="20"/>
          <w:color w:val="auto"/>
        </w:rPr>
      </w:pPr>
    </w:p>
    <w:p>
      <w:pPr>
        <w:jc w:val="both"/>
        <w:ind w:left="180"/>
        <w:spacing w:after="0" w:line="233" w:lineRule="auto"/>
        <w:rPr>
          <w:sz w:val="20"/>
          <w:szCs w:val="20"/>
          <w:color w:val="auto"/>
        </w:rPr>
      </w:pPr>
      <w:r>
        <w:rPr>
          <w:rFonts w:ascii="Arial" w:cs="Arial" w:eastAsia="Arial" w:hAnsi="Arial"/>
          <w:sz w:val="17"/>
          <w:szCs w:val="17"/>
          <w:color w:val="auto"/>
        </w:rPr>
        <w:t>The following graph demonstrates the relationship between compensation actually paid to our PEO, the average of the compensation actually paid to our remaining non-PEO NEOs and the net income of our Company during the last two</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21590</wp:posOffset>
            </wp:positionV>
            <wp:extent cx="3840480" cy="2811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404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320"/>
          </w:cols>
          <w:pgMar w:left="1440" w:top="432" w:right="1139" w:bottom="1440" w:gutter="0" w:footer="0" w:header="0"/>
        </w:sectPr>
      </w:pPr>
    </w:p>
    <w:bookmarkStart w:id="45" w:name="page46"/>
    <w:bookmarkEnd w:id="45"/>
    <w:p>
      <w:pPr>
        <w:ind w:left="18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180" w:right="1060" w:firstLine="648"/>
        <w:spacing w:after="0" w:line="246" w:lineRule="auto"/>
        <w:rPr>
          <w:sz w:val="20"/>
          <w:szCs w:val="20"/>
          <w:color w:val="auto"/>
        </w:rPr>
      </w:pPr>
      <w:r>
        <w:rPr>
          <w:rFonts w:ascii="Arial" w:cs="Arial" w:eastAsia="Arial" w:hAnsi="Arial"/>
          <w:sz w:val="18"/>
          <w:szCs w:val="18"/>
          <w:color w:val="auto"/>
        </w:rPr>
        <w:t>This section discusses the material components of the compensation program for our executive officers named in the Summary Compensation Table below.</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Compensation Table</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shows the compensation paid or accrued during the last two fiscal years ended</w:t>
      </w:r>
    </w:p>
    <w:p>
      <w:pPr>
        <w:ind w:left="180" w:right="740"/>
        <w:spacing w:after="0" w:line="226" w:lineRule="auto"/>
        <w:rPr>
          <w:sz w:val="20"/>
          <w:szCs w:val="20"/>
          <w:color w:val="auto"/>
        </w:rPr>
      </w:pPr>
      <w:r>
        <w:rPr>
          <w:rFonts w:ascii="Arial" w:cs="Arial" w:eastAsia="Arial" w:hAnsi="Arial"/>
          <w:sz w:val="18"/>
          <w:szCs w:val="18"/>
          <w:color w:val="auto"/>
        </w:rPr>
        <w:t>December 31, 2022, to (i) Vice Chair Ellen Cotter, who has served as our principal executive officer, and (ii) the other two most highly compensated persons who served as executive officers in 2022.</w:t>
      </w:r>
    </w:p>
    <w:p>
      <w:pPr>
        <w:spacing w:after="0" w:line="1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following table reflects executives are herein referred to as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795010" cy="256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5010" cy="2563495"/>
                    </a:xfrm>
                    <a:prstGeom prst="rect">
                      <a:avLst/>
                    </a:prstGeom>
                    <a:noFill/>
                  </pic:spPr>
                </pic:pic>
              </a:graphicData>
            </a:graphic>
          </wp:anchor>
        </w:drawing>
      </w:r>
    </w:p>
    <w:p>
      <w:pPr>
        <w:spacing w:after="0" w:line="13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1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2"/>
              </w:rPr>
              <w:t>Non-</w:t>
            </w:r>
          </w:p>
        </w:tc>
        <w:tc>
          <w:tcPr>
            <w:tcW w:w="10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4"/>
              </w:rPr>
              <w:t>Equity</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Incentive</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Restricted</w:t>
            </w:r>
          </w:p>
        </w:tc>
        <w:tc>
          <w:tcPr>
            <w:tcW w:w="8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Plan</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Named</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Stock</w:t>
            </w:r>
          </w:p>
        </w:tc>
        <w:tc>
          <w:tcPr>
            <w:tcW w:w="80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rPr>
              <w:t>Option</w:t>
            </w:r>
          </w:p>
        </w:tc>
        <w:tc>
          <w:tcPr>
            <w:tcW w:w="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Compen-</w:t>
            </w:r>
          </w:p>
        </w:tc>
        <w:tc>
          <w:tcPr>
            <w:tcW w:w="1040" w:type="dxa"/>
            <w:vAlign w:val="bottom"/>
          </w:tcPr>
          <w:p>
            <w:pPr>
              <w:jc w:val="center"/>
              <w:ind w:left="170"/>
              <w:spacing w:after="0" w:line="189" w:lineRule="exact"/>
              <w:rPr>
                <w:sz w:val="20"/>
                <w:szCs w:val="20"/>
                <w:color w:val="auto"/>
              </w:rPr>
            </w:pPr>
            <w:r>
              <w:rPr>
                <w:rFonts w:ascii="Arial" w:cs="Arial" w:eastAsia="Arial" w:hAnsi="Arial"/>
                <w:sz w:val="18"/>
                <w:szCs w:val="18"/>
                <w:b w:val="1"/>
                <w:bCs w:val="1"/>
                <w:color w:val="auto"/>
                <w:w w:val="97"/>
              </w:rPr>
              <w:t>All Other</w:t>
            </w:r>
          </w:p>
        </w:tc>
        <w:tc>
          <w:tcPr>
            <w:tcW w:w="360" w:type="dxa"/>
            <w:vAlign w:val="bottom"/>
          </w:tcPr>
          <w:p>
            <w:pPr>
              <w:spacing w:after="0"/>
              <w:rPr>
                <w:sz w:val="16"/>
                <w:szCs w:val="16"/>
                <w:color w:val="auto"/>
              </w:rPr>
            </w:pPr>
          </w:p>
        </w:tc>
        <w:tc>
          <w:tcPr>
            <w:tcW w:w="1180" w:type="dxa"/>
            <w:vAlign w:val="bottom"/>
          </w:tcPr>
          <w:p>
            <w:pPr>
              <w:jc w:val="right"/>
              <w:ind w:right="10"/>
              <w:spacing w:after="0" w:line="189" w:lineRule="exact"/>
              <w:rPr>
                <w:sz w:val="20"/>
                <w:szCs w:val="20"/>
                <w:color w:val="auto"/>
              </w:rPr>
            </w:pPr>
            <w:r>
              <w:rPr>
                <w:rFonts w:ascii="Arial" w:cs="Arial" w:eastAsia="Arial" w:hAnsi="Arial"/>
                <w:sz w:val="18"/>
                <w:szCs w:val="18"/>
                <w:b w:val="1"/>
                <w:bCs w:val="1"/>
                <w:color w:val="auto"/>
              </w:rPr>
              <w:t>Termination</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Executed</w:t>
            </w:r>
          </w:p>
        </w:tc>
        <w:tc>
          <w:tcPr>
            <w:tcW w:w="600" w:type="dxa"/>
            <w:vAlign w:val="bottom"/>
          </w:tcPr>
          <w:p>
            <w:pPr>
              <w:spacing w:after="0"/>
              <w:rPr>
                <w:sz w:val="16"/>
                <w:szCs w:val="16"/>
                <w:color w:val="auto"/>
              </w:rPr>
            </w:pPr>
          </w:p>
        </w:tc>
        <w:tc>
          <w:tcPr>
            <w:tcW w:w="820" w:type="dxa"/>
            <w:vAlign w:val="bottom"/>
          </w:tcPr>
          <w:p>
            <w:pPr>
              <w:ind w:left="140"/>
              <w:spacing w:after="0" w:line="189" w:lineRule="exact"/>
              <w:rPr>
                <w:sz w:val="20"/>
                <w:szCs w:val="20"/>
                <w:color w:val="auto"/>
              </w:rPr>
            </w:pPr>
            <w:r>
              <w:rPr>
                <w:rFonts w:ascii="Arial" w:cs="Arial" w:eastAsia="Arial" w:hAnsi="Arial"/>
                <w:sz w:val="18"/>
                <w:szCs w:val="18"/>
                <w:b w:val="1"/>
                <w:bCs w:val="1"/>
                <w:color w:val="auto"/>
              </w:rPr>
              <w:t>Salary</w:t>
            </w:r>
          </w:p>
        </w:tc>
        <w:tc>
          <w:tcPr>
            <w:tcW w:w="1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Awards</w:t>
            </w:r>
          </w:p>
        </w:tc>
        <w:tc>
          <w:tcPr>
            <w:tcW w:w="80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rPr>
              <w:t>Awards</w:t>
            </w:r>
          </w:p>
        </w:tc>
        <w:tc>
          <w:tcPr>
            <w:tcW w:w="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sation</w:t>
            </w:r>
          </w:p>
        </w:tc>
        <w:tc>
          <w:tcPr>
            <w:tcW w:w="1400" w:type="dxa"/>
            <w:vAlign w:val="bottom"/>
            <w:gridSpan w:val="2"/>
          </w:tcPr>
          <w:p>
            <w:pPr>
              <w:jc w:val="center"/>
              <w:ind w:right="10"/>
              <w:spacing w:after="0" w:line="189" w:lineRule="exact"/>
              <w:rPr>
                <w:sz w:val="20"/>
                <w:szCs w:val="20"/>
                <w:color w:val="auto"/>
              </w:rPr>
            </w:pPr>
            <w:r>
              <w:rPr>
                <w:rFonts w:ascii="Arial" w:cs="Arial" w:eastAsia="Arial" w:hAnsi="Arial"/>
                <w:sz w:val="18"/>
                <w:szCs w:val="18"/>
                <w:b w:val="1"/>
                <w:bCs w:val="1"/>
                <w:color w:val="auto"/>
                <w:w w:val="87"/>
              </w:rPr>
              <w:t>Compensation</w:t>
            </w:r>
          </w:p>
        </w:tc>
        <w:tc>
          <w:tcPr>
            <w:tcW w:w="118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Benefit</w:t>
            </w:r>
          </w:p>
        </w:tc>
        <w:tc>
          <w:tcPr>
            <w:tcW w:w="86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Officers</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Year</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xml:space="preserve">($) </w:t>
            </w:r>
            <w:r>
              <w:rPr>
                <w:rFonts w:ascii="Arial" w:cs="Arial" w:eastAsia="Arial" w:hAnsi="Arial"/>
                <w:sz w:val="8"/>
                <w:szCs w:val="8"/>
                <w:color w:val="auto"/>
                <w:w w:val="97"/>
              </w:rPr>
              <w:t>(1)</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8"/>
                <w:szCs w:val="8"/>
                <w:color w:val="auto"/>
              </w:rPr>
              <w:t>(1)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440" w:type="dxa"/>
            <w:vAlign w:val="bottom"/>
            <w:shd w:val="clear" w:color="auto" w:fill="C6E5FE"/>
          </w:tcPr>
          <w:p>
            <w:pPr>
              <w:ind w:left="140"/>
              <w:spacing w:after="0" w:line="156" w:lineRule="exact"/>
              <w:rPr>
                <w:sz w:val="20"/>
                <w:szCs w:val="20"/>
                <w:color w:val="auto"/>
              </w:rPr>
            </w:pPr>
            <w:r>
              <w:rPr>
                <w:rFonts w:ascii="Arial" w:cs="Arial" w:eastAsia="Arial" w:hAnsi="Arial"/>
                <w:sz w:val="18"/>
                <w:szCs w:val="18"/>
                <w:color w:val="auto"/>
              </w:rPr>
              <w:t>Ellen M. Cotter</w:t>
            </w:r>
          </w:p>
        </w:tc>
        <w:tc>
          <w:tcPr>
            <w:tcW w:w="600" w:type="dxa"/>
            <w:vAlign w:val="bottom"/>
            <w:shd w:val="clear" w:color="auto" w:fill="C6E5FE"/>
          </w:tcPr>
          <w:p>
            <w:pPr>
              <w:jc w:val="right"/>
              <w:spacing w:after="0" w:line="156" w:lineRule="exact"/>
              <w:rPr>
                <w:sz w:val="20"/>
                <w:szCs w:val="20"/>
                <w:color w:val="auto"/>
              </w:rPr>
            </w:pPr>
            <w:r>
              <w:rPr>
                <w:rFonts w:ascii="Arial" w:cs="Arial" w:eastAsia="Arial" w:hAnsi="Arial"/>
                <w:sz w:val="18"/>
                <w:szCs w:val="18"/>
                <w:color w:val="auto"/>
              </w:rPr>
              <w:t>2022</w:t>
            </w:r>
          </w:p>
        </w:tc>
        <w:tc>
          <w:tcPr>
            <w:tcW w:w="820" w:type="dxa"/>
            <w:vAlign w:val="bottom"/>
            <w:shd w:val="clear" w:color="auto" w:fill="C6E5FE"/>
          </w:tcPr>
          <w:p>
            <w:pPr>
              <w:ind w:left="140"/>
              <w:spacing w:after="0" w:line="156" w:lineRule="exact"/>
              <w:rPr>
                <w:sz w:val="20"/>
                <w:szCs w:val="20"/>
                <w:color w:val="auto"/>
              </w:rPr>
            </w:pPr>
            <w:r>
              <w:rPr>
                <w:rFonts w:ascii="Arial" w:cs="Arial" w:eastAsia="Arial" w:hAnsi="Arial"/>
                <w:sz w:val="18"/>
                <w:szCs w:val="18"/>
                <w:color w:val="auto"/>
              </w:rPr>
              <w:t>600,000</w:t>
            </w:r>
          </w:p>
        </w:tc>
        <w:tc>
          <w:tcPr>
            <w:tcW w:w="1040" w:type="dxa"/>
            <w:vAlign w:val="bottom"/>
            <w:shd w:val="clear" w:color="auto" w:fill="C6E5FE"/>
          </w:tcPr>
          <w:p>
            <w:pPr>
              <w:jc w:val="right"/>
              <w:ind w:right="10"/>
              <w:spacing w:after="0" w:line="156" w:lineRule="exact"/>
              <w:rPr>
                <w:sz w:val="20"/>
                <w:szCs w:val="20"/>
                <w:color w:val="auto"/>
              </w:rPr>
            </w:pPr>
            <w:r>
              <w:rPr>
                <w:rFonts w:ascii="Arial" w:cs="Arial" w:eastAsia="Arial" w:hAnsi="Arial"/>
                <w:sz w:val="18"/>
                <w:szCs w:val="18"/>
                <w:color w:val="auto"/>
              </w:rPr>
              <w:t>535,000</w:t>
            </w:r>
          </w:p>
        </w:tc>
        <w:tc>
          <w:tcPr>
            <w:tcW w:w="800" w:type="dxa"/>
            <w:vAlign w:val="bottom"/>
            <w:shd w:val="clear" w:color="auto" w:fill="C6E5FE"/>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980" w:type="dxa"/>
            <w:vAlign w:val="bottom"/>
            <w:shd w:val="clear" w:color="auto" w:fill="C6E5FE"/>
          </w:tcPr>
          <w:p>
            <w:pPr>
              <w:jc w:val="right"/>
              <w:ind w:right="50"/>
              <w:spacing w:after="0" w:line="156" w:lineRule="exact"/>
              <w:rPr>
                <w:sz w:val="20"/>
                <w:szCs w:val="20"/>
                <w:color w:val="auto"/>
              </w:rPr>
            </w:pPr>
            <w:r>
              <w:rPr>
                <w:rFonts w:ascii="Arial" w:cs="Arial" w:eastAsia="Arial" w:hAnsi="Arial"/>
                <w:sz w:val="18"/>
                <w:szCs w:val="18"/>
                <w:color w:val="auto"/>
              </w:rPr>
              <w:t>--</w:t>
            </w:r>
          </w:p>
        </w:tc>
        <w:tc>
          <w:tcPr>
            <w:tcW w:w="1040" w:type="dxa"/>
            <w:vAlign w:val="bottom"/>
            <w:shd w:val="clear" w:color="auto" w:fill="C6E5FE"/>
          </w:tcPr>
          <w:p>
            <w:pPr>
              <w:jc w:val="right"/>
              <w:ind w:right="70"/>
              <w:spacing w:after="0" w:line="156" w:lineRule="exact"/>
              <w:rPr>
                <w:sz w:val="20"/>
                <w:szCs w:val="20"/>
                <w:color w:val="auto"/>
              </w:rPr>
            </w:pPr>
            <w:r>
              <w:rPr>
                <w:rFonts w:ascii="Arial" w:cs="Arial" w:eastAsia="Arial" w:hAnsi="Arial"/>
                <w:sz w:val="18"/>
                <w:szCs w:val="18"/>
                <w:color w:val="auto"/>
              </w:rPr>
              <w:t>2,580</w:t>
            </w:r>
          </w:p>
        </w:tc>
        <w:tc>
          <w:tcPr>
            <w:tcW w:w="360" w:type="dxa"/>
            <w:vAlign w:val="bottom"/>
            <w:shd w:val="clear" w:color="auto" w:fill="C6E5FE"/>
          </w:tcPr>
          <w:p>
            <w:pPr>
              <w:jc w:val="right"/>
              <w:ind w:right="50"/>
              <w:spacing w:after="0" w:line="156" w:lineRule="exact"/>
              <w:rPr>
                <w:sz w:val="20"/>
                <w:szCs w:val="20"/>
                <w:color w:val="auto"/>
              </w:rPr>
            </w:pPr>
            <w:r>
              <w:rPr>
                <w:rFonts w:ascii="Arial" w:cs="Arial" w:eastAsia="Arial" w:hAnsi="Arial"/>
                <w:sz w:val="18"/>
                <w:szCs w:val="18"/>
                <w:color w:val="auto"/>
                <w:w w:val="90"/>
              </w:rPr>
              <w:t>(2)</w:t>
            </w:r>
          </w:p>
        </w:tc>
        <w:tc>
          <w:tcPr>
            <w:tcW w:w="1180" w:type="dxa"/>
            <w:vAlign w:val="bottom"/>
            <w:shd w:val="clear" w:color="auto" w:fill="C6E5FE"/>
          </w:tcPr>
          <w:p>
            <w:pPr>
              <w:jc w:val="right"/>
              <w:ind w:right="10"/>
              <w:spacing w:after="0" w:line="156" w:lineRule="exact"/>
              <w:rPr>
                <w:sz w:val="20"/>
                <w:szCs w:val="20"/>
                <w:color w:val="auto"/>
              </w:rPr>
            </w:pPr>
            <w:r>
              <w:rPr>
                <w:rFonts w:ascii="Arial" w:cs="Arial" w:eastAsia="Arial" w:hAnsi="Arial"/>
                <w:sz w:val="18"/>
                <w:szCs w:val="18"/>
                <w:color w:val="auto"/>
              </w:rPr>
              <w:t>--</w:t>
            </w:r>
          </w:p>
        </w:tc>
        <w:tc>
          <w:tcPr>
            <w:tcW w:w="860" w:type="dxa"/>
            <w:vAlign w:val="bottom"/>
            <w:shd w:val="clear" w:color="auto" w:fill="C6E5FE"/>
          </w:tcPr>
          <w:p>
            <w:pPr>
              <w:jc w:val="right"/>
              <w:spacing w:after="0" w:line="156" w:lineRule="exact"/>
              <w:rPr>
                <w:sz w:val="20"/>
                <w:szCs w:val="20"/>
                <w:color w:val="auto"/>
              </w:rPr>
            </w:pPr>
            <w:r>
              <w:rPr>
                <w:rFonts w:ascii="Arial" w:cs="Arial" w:eastAsia="Arial" w:hAnsi="Arial"/>
                <w:sz w:val="18"/>
                <w:szCs w:val="18"/>
                <w:color w:val="auto"/>
                <w:w w:val="99"/>
              </w:rPr>
              <w:t>1,137,580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440" w:type="dxa"/>
            <w:vAlign w:val="bottom"/>
            <w:tcBorders>
              <w:bottom w:val="single" w:sz="8" w:color="C6E5FE"/>
            </w:tcBorders>
            <w:vMerge w:val="restart"/>
            <w:shd w:val="clear" w:color="auto" w:fill="C6E5FE"/>
          </w:tcPr>
          <w:p>
            <w:pPr>
              <w:ind w:left="320"/>
              <w:spacing w:after="0" w:line="189" w:lineRule="exact"/>
              <w:rPr>
                <w:sz w:val="20"/>
                <w:szCs w:val="20"/>
                <w:color w:val="auto"/>
              </w:rPr>
            </w:pPr>
            <w:r>
              <w:rPr>
                <w:rFonts w:ascii="Arial" w:cs="Arial" w:eastAsia="Arial" w:hAnsi="Arial"/>
                <w:sz w:val="18"/>
                <w:szCs w:val="18"/>
                <w:color w:val="auto"/>
              </w:rPr>
              <w:t>Chief</w:t>
            </w:r>
          </w:p>
        </w:tc>
        <w:tc>
          <w:tcPr>
            <w:tcW w:w="600" w:type="dxa"/>
            <w:vAlign w:val="bottom"/>
            <w:tcBorders>
              <w:bottom w:val="single" w:sz="8" w:color="auto"/>
            </w:tcBorders>
            <w:shd w:val="clear" w:color="auto" w:fill="C6E5FE"/>
          </w:tcPr>
          <w:p>
            <w:pPr>
              <w:spacing w:after="0"/>
              <w:rPr>
                <w:sz w:val="7"/>
                <w:szCs w:val="7"/>
                <w:color w:val="auto"/>
              </w:rPr>
            </w:pPr>
          </w:p>
        </w:tc>
        <w:tc>
          <w:tcPr>
            <w:tcW w:w="820" w:type="dxa"/>
            <w:vAlign w:val="bottom"/>
            <w:tcBorders>
              <w:bottom w:val="single" w:sz="8" w:color="auto"/>
            </w:tcBorders>
            <w:shd w:val="clear" w:color="auto" w:fill="C6E5FE"/>
          </w:tcPr>
          <w:p>
            <w:pPr>
              <w:spacing w:after="0"/>
              <w:rPr>
                <w:sz w:val="7"/>
                <w:szCs w:val="7"/>
                <w:color w:val="auto"/>
              </w:rPr>
            </w:pPr>
          </w:p>
        </w:tc>
        <w:tc>
          <w:tcPr>
            <w:tcW w:w="1040" w:type="dxa"/>
            <w:vAlign w:val="bottom"/>
            <w:tcBorders>
              <w:bottom w:val="single" w:sz="8" w:color="auto"/>
            </w:tcBorders>
            <w:shd w:val="clear" w:color="auto" w:fill="C6E5FE"/>
          </w:tcPr>
          <w:p>
            <w:pPr>
              <w:spacing w:after="0"/>
              <w:rPr>
                <w:sz w:val="7"/>
                <w:szCs w:val="7"/>
                <w:color w:val="auto"/>
              </w:rPr>
            </w:pPr>
          </w:p>
        </w:tc>
        <w:tc>
          <w:tcPr>
            <w:tcW w:w="800" w:type="dxa"/>
            <w:vAlign w:val="bottom"/>
            <w:tcBorders>
              <w:bottom w:val="single" w:sz="8" w:color="auto"/>
            </w:tcBorders>
            <w:shd w:val="clear" w:color="auto" w:fill="C6E5FE"/>
          </w:tcPr>
          <w:p>
            <w:pPr>
              <w:spacing w:after="0"/>
              <w:rPr>
                <w:sz w:val="7"/>
                <w:szCs w:val="7"/>
                <w:color w:val="auto"/>
              </w:rPr>
            </w:pPr>
          </w:p>
        </w:tc>
        <w:tc>
          <w:tcPr>
            <w:tcW w:w="980" w:type="dxa"/>
            <w:vAlign w:val="bottom"/>
            <w:tcBorders>
              <w:bottom w:val="single" w:sz="8" w:color="auto"/>
            </w:tcBorders>
            <w:shd w:val="clear" w:color="auto" w:fill="C6E5FE"/>
          </w:tcPr>
          <w:p>
            <w:pPr>
              <w:spacing w:after="0"/>
              <w:rPr>
                <w:sz w:val="7"/>
                <w:szCs w:val="7"/>
                <w:color w:val="auto"/>
              </w:rPr>
            </w:pPr>
          </w:p>
        </w:tc>
        <w:tc>
          <w:tcPr>
            <w:tcW w:w="1040" w:type="dxa"/>
            <w:vAlign w:val="bottom"/>
            <w:tcBorders>
              <w:bottom w:val="single" w:sz="8" w:color="auto"/>
            </w:tcBorders>
            <w:shd w:val="clear" w:color="auto" w:fill="C6E5FE"/>
          </w:tcPr>
          <w:p>
            <w:pPr>
              <w:spacing w:after="0"/>
              <w:rPr>
                <w:sz w:val="7"/>
                <w:szCs w:val="7"/>
                <w:color w:val="auto"/>
              </w:rPr>
            </w:pPr>
          </w:p>
        </w:tc>
        <w:tc>
          <w:tcPr>
            <w:tcW w:w="360" w:type="dxa"/>
            <w:vAlign w:val="bottom"/>
            <w:tcBorders>
              <w:bottom w:val="single" w:sz="8" w:color="auto"/>
            </w:tcBorders>
            <w:shd w:val="clear" w:color="auto" w:fill="C6E5FE"/>
          </w:tcPr>
          <w:p>
            <w:pPr>
              <w:spacing w:after="0"/>
              <w:rPr>
                <w:sz w:val="7"/>
                <w:szCs w:val="7"/>
                <w:color w:val="auto"/>
              </w:rPr>
            </w:pPr>
          </w:p>
        </w:tc>
        <w:tc>
          <w:tcPr>
            <w:tcW w:w="1180" w:type="dxa"/>
            <w:vAlign w:val="bottom"/>
            <w:tcBorders>
              <w:bottom w:val="single" w:sz="8" w:color="auto"/>
            </w:tcBorders>
            <w:shd w:val="clear" w:color="auto" w:fill="C6E5FE"/>
          </w:tcPr>
          <w:p>
            <w:pPr>
              <w:spacing w:after="0"/>
              <w:rPr>
                <w:sz w:val="7"/>
                <w:szCs w:val="7"/>
                <w:color w:val="auto"/>
              </w:rPr>
            </w:pPr>
          </w:p>
        </w:tc>
        <w:tc>
          <w:tcPr>
            <w:tcW w:w="860" w:type="dxa"/>
            <w:vAlign w:val="bottom"/>
            <w:tcBorders>
              <w:bottom w:val="single" w:sz="8" w:color="auto"/>
            </w:tcBorders>
            <w:shd w:val="clear" w:color="auto" w:fill="C6E5F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vMerge w:val="continue"/>
            <w:shd w:val="clear" w:color="auto" w:fill="C6E5FE"/>
          </w:tcPr>
          <w:p>
            <w:pPr>
              <w:spacing w:after="0"/>
              <w:rPr>
                <w:sz w:val="7"/>
                <w:szCs w:val="7"/>
                <w:color w:val="auto"/>
              </w:rPr>
            </w:pPr>
          </w:p>
        </w:tc>
        <w:tc>
          <w:tcPr>
            <w:tcW w:w="600" w:type="dxa"/>
            <w:vAlign w:val="bottom"/>
            <w:vMerge w:val="restart"/>
            <w:shd w:val="clear" w:color="auto" w:fill="C6E5FE"/>
          </w:tcPr>
          <w:p>
            <w:pPr>
              <w:jc w:val="right"/>
              <w:spacing w:after="0"/>
              <w:rPr>
                <w:sz w:val="20"/>
                <w:szCs w:val="20"/>
                <w:color w:val="auto"/>
              </w:rPr>
            </w:pPr>
            <w:r>
              <w:rPr>
                <w:rFonts w:ascii="Arial" w:cs="Arial" w:eastAsia="Arial" w:hAnsi="Arial"/>
                <w:sz w:val="18"/>
                <w:szCs w:val="18"/>
                <w:color w:val="auto"/>
              </w:rPr>
              <w:t>2021</w:t>
            </w:r>
          </w:p>
        </w:tc>
        <w:tc>
          <w:tcPr>
            <w:tcW w:w="820" w:type="dxa"/>
            <w:vAlign w:val="bottom"/>
            <w:vMerge w:val="restart"/>
            <w:shd w:val="clear" w:color="auto" w:fill="C6E5FE"/>
          </w:tcPr>
          <w:p>
            <w:pPr>
              <w:ind w:left="140"/>
              <w:spacing w:after="0"/>
              <w:rPr>
                <w:sz w:val="20"/>
                <w:szCs w:val="20"/>
                <w:color w:val="auto"/>
              </w:rPr>
            </w:pPr>
            <w:r>
              <w:rPr>
                <w:rFonts w:ascii="Arial" w:cs="Arial" w:eastAsia="Arial" w:hAnsi="Arial"/>
                <w:sz w:val="18"/>
                <w:szCs w:val="18"/>
                <w:color w:val="auto"/>
              </w:rPr>
              <w:t>600,000</w:t>
            </w:r>
          </w:p>
        </w:tc>
        <w:tc>
          <w:tcPr>
            <w:tcW w:w="1040" w:type="dxa"/>
            <w:vAlign w:val="bottom"/>
            <w:vMerge w:val="restart"/>
            <w:shd w:val="clear" w:color="auto" w:fill="C6E5FE"/>
          </w:tcPr>
          <w:p>
            <w:pPr>
              <w:jc w:val="right"/>
              <w:ind w:right="10"/>
              <w:spacing w:after="0"/>
              <w:rPr>
                <w:sz w:val="20"/>
                <w:szCs w:val="20"/>
                <w:color w:val="auto"/>
              </w:rPr>
            </w:pPr>
            <w:r>
              <w:rPr>
                <w:rFonts w:ascii="Arial" w:cs="Arial" w:eastAsia="Arial" w:hAnsi="Arial"/>
                <w:sz w:val="18"/>
                <w:szCs w:val="18"/>
                <w:color w:val="auto"/>
              </w:rPr>
              <w:t>400,000</w:t>
            </w:r>
          </w:p>
        </w:tc>
        <w:tc>
          <w:tcPr>
            <w:tcW w:w="800" w:type="dxa"/>
            <w:vAlign w:val="bottom"/>
            <w:vMerge w:val="restart"/>
            <w:shd w:val="clear" w:color="auto" w:fill="C6E5FE"/>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6E5FE"/>
          </w:tcPr>
          <w:p>
            <w:pPr>
              <w:jc w:val="right"/>
              <w:spacing w:after="0"/>
              <w:rPr>
                <w:sz w:val="20"/>
                <w:szCs w:val="20"/>
                <w:color w:val="auto"/>
              </w:rPr>
            </w:pPr>
            <w:r>
              <w:rPr>
                <w:rFonts w:ascii="Arial" w:cs="Arial" w:eastAsia="Arial" w:hAnsi="Arial"/>
                <w:sz w:val="18"/>
                <w:szCs w:val="18"/>
                <w:color w:val="auto"/>
              </w:rPr>
              <w:t>600,000</w:t>
            </w:r>
          </w:p>
        </w:tc>
        <w:tc>
          <w:tcPr>
            <w:tcW w:w="1040" w:type="dxa"/>
            <w:vAlign w:val="bottom"/>
            <w:vMerge w:val="restart"/>
            <w:shd w:val="clear" w:color="auto" w:fill="C6E5FE"/>
          </w:tcPr>
          <w:p>
            <w:pPr>
              <w:jc w:val="right"/>
              <w:ind w:right="70"/>
              <w:spacing w:after="0"/>
              <w:rPr>
                <w:sz w:val="20"/>
                <w:szCs w:val="20"/>
                <w:color w:val="auto"/>
              </w:rPr>
            </w:pPr>
            <w:r>
              <w:rPr>
                <w:rFonts w:ascii="Arial" w:cs="Arial" w:eastAsia="Arial" w:hAnsi="Arial"/>
                <w:sz w:val="18"/>
                <w:szCs w:val="18"/>
                <w:color w:val="auto"/>
              </w:rPr>
              <w:t>2,580</w:t>
            </w:r>
          </w:p>
        </w:tc>
        <w:tc>
          <w:tcPr>
            <w:tcW w:w="360" w:type="dxa"/>
            <w:vAlign w:val="bottom"/>
            <w:vMerge w:val="restart"/>
            <w:shd w:val="clear" w:color="auto" w:fill="C6E5FE"/>
          </w:tcPr>
          <w:p>
            <w:pPr>
              <w:jc w:val="right"/>
              <w:ind w:right="50"/>
              <w:spacing w:after="0"/>
              <w:rPr>
                <w:sz w:val="20"/>
                <w:szCs w:val="20"/>
                <w:color w:val="auto"/>
              </w:rPr>
            </w:pPr>
            <w:r>
              <w:rPr>
                <w:rFonts w:ascii="Arial" w:cs="Arial" w:eastAsia="Arial" w:hAnsi="Arial"/>
                <w:sz w:val="18"/>
                <w:szCs w:val="18"/>
                <w:color w:val="auto"/>
                <w:w w:val="90"/>
              </w:rPr>
              <w:t>(2)</w:t>
            </w:r>
          </w:p>
        </w:tc>
        <w:tc>
          <w:tcPr>
            <w:tcW w:w="1180" w:type="dxa"/>
            <w:vAlign w:val="bottom"/>
            <w:vMerge w:val="restart"/>
            <w:shd w:val="clear" w:color="auto" w:fill="C6E5FE"/>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6E5FE"/>
          </w:tcPr>
          <w:p>
            <w:pPr>
              <w:jc w:val="right"/>
              <w:spacing w:after="0"/>
              <w:rPr>
                <w:sz w:val="20"/>
                <w:szCs w:val="20"/>
                <w:color w:val="auto"/>
              </w:rPr>
            </w:pPr>
            <w:r>
              <w:rPr>
                <w:rFonts w:ascii="Arial" w:cs="Arial" w:eastAsia="Arial" w:hAnsi="Arial"/>
                <w:sz w:val="18"/>
                <w:szCs w:val="18"/>
                <w:color w:val="auto"/>
                <w:w w:val="99"/>
              </w:rPr>
              <w:t>1,602,580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440" w:type="dxa"/>
            <w:vAlign w:val="bottom"/>
            <w:vMerge w:val="restart"/>
            <w:shd w:val="clear" w:color="auto" w:fill="C6E5FE"/>
          </w:tcPr>
          <w:p>
            <w:pPr>
              <w:ind w:left="320"/>
              <w:spacing w:after="0" w:line="189" w:lineRule="exact"/>
              <w:rPr>
                <w:sz w:val="20"/>
                <w:szCs w:val="20"/>
                <w:color w:val="auto"/>
              </w:rPr>
            </w:pPr>
            <w:r>
              <w:rPr>
                <w:rFonts w:ascii="Arial" w:cs="Arial" w:eastAsia="Arial" w:hAnsi="Arial"/>
                <w:sz w:val="18"/>
                <w:szCs w:val="18"/>
                <w:color w:val="auto"/>
              </w:rPr>
              <w:t>Executive</w:t>
            </w:r>
          </w:p>
        </w:tc>
        <w:tc>
          <w:tcPr>
            <w:tcW w:w="600" w:type="dxa"/>
            <w:vAlign w:val="bottom"/>
            <w:vMerge w:val="continue"/>
            <w:shd w:val="clear" w:color="auto" w:fill="C6E5FE"/>
          </w:tcPr>
          <w:p>
            <w:pPr>
              <w:spacing w:after="0"/>
              <w:rPr>
                <w:sz w:val="11"/>
                <w:szCs w:val="11"/>
                <w:color w:val="auto"/>
              </w:rPr>
            </w:pPr>
          </w:p>
        </w:tc>
        <w:tc>
          <w:tcPr>
            <w:tcW w:w="820" w:type="dxa"/>
            <w:vAlign w:val="bottom"/>
            <w:vMerge w:val="continue"/>
            <w:shd w:val="clear" w:color="auto" w:fill="C6E5FE"/>
          </w:tcPr>
          <w:p>
            <w:pPr>
              <w:spacing w:after="0"/>
              <w:rPr>
                <w:sz w:val="11"/>
                <w:szCs w:val="11"/>
                <w:color w:val="auto"/>
              </w:rPr>
            </w:pPr>
          </w:p>
        </w:tc>
        <w:tc>
          <w:tcPr>
            <w:tcW w:w="1040" w:type="dxa"/>
            <w:vAlign w:val="bottom"/>
            <w:vMerge w:val="continue"/>
            <w:shd w:val="clear" w:color="auto" w:fill="C6E5FE"/>
          </w:tcPr>
          <w:p>
            <w:pPr>
              <w:spacing w:after="0"/>
              <w:rPr>
                <w:sz w:val="11"/>
                <w:szCs w:val="11"/>
                <w:color w:val="auto"/>
              </w:rPr>
            </w:pPr>
          </w:p>
        </w:tc>
        <w:tc>
          <w:tcPr>
            <w:tcW w:w="800" w:type="dxa"/>
            <w:vAlign w:val="bottom"/>
            <w:vMerge w:val="continue"/>
            <w:shd w:val="clear" w:color="auto" w:fill="C6E5FE"/>
          </w:tcPr>
          <w:p>
            <w:pPr>
              <w:spacing w:after="0"/>
              <w:rPr>
                <w:sz w:val="11"/>
                <w:szCs w:val="11"/>
                <w:color w:val="auto"/>
              </w:rPr>
            </w:pPr>
          </w:p>
        </w:tc>
        <w:tc>
          <w:tcPr>
            <w:tcW w:w="980" w:type="dxa"/>
            <w:vAlign w:val="bottom"/>
            <w:vMerge w:val="continue"/>
            <w:shd w:val="clear" w:color="auto" w:fill="C6E5FE"/>
          </w:tcPr>
          <w:p>
            <w:pPr>
              <w:spacing w:after="0"/>
              <w:rPr>
                <w:sz w:val="11"/>
                <w:szCs w:val="11"/>
                <w:color w:val="auto"/>
              </w:rPr>
            </w:pPr>
          </w:p>
        </w:tc>
        <w:tc>
          <w:tcPr>
            <w:tcW w:w="1040" w:type="dxa"/>
            <w:vAlign w:val="bottom"/>
            <w:vMerge w:val="continue"/>
            <w:shd w:val="clear" w:color="auto" w:fill="C6E5FE"/>
          </w:tcPr>
          <w:p>
            <w:pPr>
              <w:spacing w:after="0"/>
              <w:rPr>
                <w:sz w:val="11"/>
                <w:szCs w:val="11"/>
                <w:color w:val="auto"/>
              </w:rPr>
            </w:pPr>
          </w:p>
        </w:tc>
        <w:tc>
          <w:tcPr>
            <w:tcW w:w="360" w:type="dxa"/>
            <w:vAlign w:val="bottom"/>
            <w:vMerge w:val="continue"/>
            <w:shd w:val="clear" w:color="auto" w:fill="C6E5FE"/>
          </w:tcPr>
          <w:p>
            <w:pPr>
              <w:spacing w:after="0"/>
              <w:rPr>
                <w:sz w:val="11"/>
                <w:szCs w:val="11"/>
                <w:color w:val="auto"/>
              </w:rPr>
            </w:pPr>
          </w:p>
        </w:tc>
        <w:tc>
          <w:tcPr>
            <w:tcW w:w="1180" w:type="dxa"/>
            <w:vAlign w:val="bottom"/>
            <w:vMerge w:val="continue"/>
            <w:shd w:val="clear" w:color="auto" w:fill="C6E5FE"/>
          </w:tcPr>
          <w:p>
            <w:pPr>
              <w:spacing w:after="0"/>
              <w:rPr>
                <w:sz w:val="11"/>
                <w:szCs w:val="11"/>
                <w:color w:val="auto"/>
              </w:rPr>
            </w:pPr>
          </w:p>
        </w:tc>
        <w:tc>
          <w:tcPr>
            <w:tcW w:w="860" w:type="dxa"/>
            <w:vAlign w:val="bottom"/>
            <w:vMerge w:val="continue"/>
            <w:shd w:val="clear" w:color="auto" w:fill="C6E5F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440" w:type="dxa"/>
            <w:vAlign w:val="bottom"/>
            <w:vMerge w:val="continue"/>
            <w:shd w:val="clear" w:color="auto" w:fill="C6E5FE"/>
          </w:tcPr>
          <w:p>
            <w:pPr>
              <w:spacing w:after="0"/>
              <w:rPr>
                <w:sz w:val="4"/>
                <w:szCs w:val="4"/>
                <w:color w:val="auto"/>
              </w:rPr>
            </w:pPr>
          </w:p>
        </w:tc>
        <w:tc>
          <w:tcPr>
            <w:tcW w:w="600" w:type="dxa"/>
            <w:vAlign w:val="bottom"/>
            <w:shd w:val="clear" w:color="auto" w:fill="C6E5FE"/>
          </w:tcPr>
          <w:p>
            <w:pPr>
              <w:spacing w:after="0"/>
              <w:rPr>
                <w:sz w:val="4"/>
                <w:szCs w:val="4"/>
                <w:color w:val="auto"/>
              </w:rPr>
            </w:pPr>
          </w:p>
        </w:tc>
        <w:tc>
          <w:tcPr>
            <w:tcW w:w="820" w:type="dxa"/>
            <w:vAlign w:val="bottom"/>
            <w:shd w:val="clear" w:color="auto" w:fill="C6E5FE"/>
          </w:tcPr>
          <w:p>
            <w:pPr>
              <w:spacing w:after="0"/>
              <w:rPr>
                <w:sz w:val="4"/>
                <w:szCs w:val="4"/>
                <w:color w:val="auto"/>
              </w:rPr>
            </w:pPr>
          </w:p>
        </w:tc>
        <w:tc>
          <w:tcPr>
            <w:tcW w:w="1040" w:type="dxa"/>
            <w:vAlign w:val="bottom"/>
            <w:shd w:val="clear" w:color="auto" w:fill="C6E5FE"/>
          </w:tcPr>
          <w:p>
            <w:pPr>
              <w:spacing w:after="0"/>
              <w:rPr>
                <w:sz w:val="4"/>
                <w:szCs w:val="4"/>
                <w:color w:val="auto"/>
              </w:rPr>
            </w:pPr>
          </w:p>
        </w:tc>
        <w:tc>
          <w:tcPr>
            <w:tcW w:w="800" w:type="dxa"/>
            <w:vAlign w:val="bottom"/>
            <w:shd w:val="clear" w:color="auto" w:fill="C6E5FE"/>
          </w:tcPr>
          <w:p>
            <w:pPr>
              <w:spacing w:after="0"/>
              <w:rPr>
                <w:sz w:val="4"/>
                <w:szCs w:val="4"/>
                <w:color w:val="auto"/>
              </w:rPr>
            </w:pPr>
          </w:p>
        </w:tc>
        <w:tc>
          <w:tcPr>
            <w:tcW w:w="980" w:type="dxa"/>
            <w:vAlign w:val="bottom"/>
            <w:shd w:val="clear" w:color="auto" w:fill="C6E5FE"/>
          </w:tcPr>
          <w:p>
            <w:pPr>
              <w:spacing w:after="0"/>
              <w:rPr>
                <w:sz w:val="4"/>
                <w:szCs w:val="4"/>
                <w:color w:val="auto"/>
              </w:rPr>
            </w:pPr>
          </w:p>
        </w:tc>
        <w:tc>
          <w:tcPr>
            <w:tcW w:w="1040" w:type="dxa"/>
            <w:vAlign w:val="bottom"/>
            <w:shd w:val="clear" w:color="auto" w:fill="C6E5FE"/>
          </w:tcPr>
          <w:p>
            <w:pPr>
              <w:spacing w:after="0"/>
              <w:rPr>
                <w:sz w:val="4"/>
                <w:szCs w:val="4"/>
                <w:color w:val="auto"/>
              </w:rPr>
            </w:pPr>
          </w:p>
        </w:tc>
        <w:tc>
          <w:tcPr>
            <w:tcW w:w="360" w:type="dxa"/>
            <w:vAlign w:val="bottom"/>
            <w:shd w:val="clear" w:color="auto" w:fill="C6E5FE"/>
          </w:tcPr>
          <w:p>
            <w:pPr>
              <w:spacing w:after="0"/>
              <w:rPr>
                <w:sz w:val="4"/>
                <w:szCs w:val="4"/>
                <w:color w:val="auto"/>
              </w:rPr>
            </w:pPr>
          </w:p>
        </w:tc>
        <w:tc>
          <w:tcPr>
            <w:tcW w:w="1180" w:type="dxa"/>
            <w:vAlign w:val="bottom"/>
            <w:shd w:val="clear" w:color="auto" w:fill="C6E5FE"/>
          </w:tcPr>
          <w:p>
            <w:pPr>
              <w:spacing w:after="0"/>
              <w:rPr>
                <w:sz w:val="4"/>
                <w:szCs w:val="4"/>
                <w:color w:val="auto"/>
              </w:rPr>
            </w:pPr>
          </w:p>
        </w:tc>
        <w:tc>
          <w:tcPr>
            <w:tcW w:w="860" w:type="dxa"/>
            <w:vAlign w:val="bottom"/>
            <w:shd w:val="clear" w:color="auto" w:fill="C6E5F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C6E5FE"/>
          </w:tcPr>
          <w:p>
            <w:pPr>
              <w:ind w:left="320"/>
              <w:spacing w:after="0" w:line="189" w:lineRule="exact"/>
              <w:rPr>
                <w:sz w:val="20"/>
                <w:szCs w:val="20"/>
                <w:color w:val="auto"/>
              </w:rPr>
            </w:pPr>
            <w:r>
              <w:rPr>
                <w:rFonts w:ascii="Arial" w:cs="Arial" w:eastAsia="Arial" w:hAnsi="Arial"/>
                <w:sz w:val="18"/>
                <w:szCs w:val="18"/>
                <w:color w:val="auto"/>
              </w:rPr>
              <w:t>Officer and</w:t>
            </w:r>
          </w:p>
        </w:tc>
        <w:tc>
          <w:tcPr>
            <w:tcW w:w="600" w:type="dxa"/>
            <w:vAlign w:val="bottom"/>
            <w:shd w:val="clear" w:color="auto" w:fill="C6E5FE"/>
          </w:tcPr>
          <w:p>
            <w:pPr>
              <w:spacing w:after="0"/>
              <w:rPr>
                <w:sz w:val="16"/>
                <w:szCs w:val="16"/>
                <w:color w:val="auto"/>
              </w:rPr>
            </w:pPr>
          </w:p>
        </w:tc>
        <w:tc>
          <w:tcPr>
            <w:tcW w:w="820" w:type="dxa"/>
            <w:vAlign w:val="bottom"/>
            <w:shd w:val="clear" w:color="auto" w:fill="C6E5FE"/>
          </w:tcPr>
          <w:p>
            <w:pPr>
              <w:spacing w:after="0"/>
              <w:rPr>
                <w:sz w:val="16"/>
                <w:szCs w:val="16"/>
                <w:color w:val="auto"/>
              </w:rPr>
            </w:pPr>
          </w:p>
        </w:tc>
        <w:tc>
          <w:tcPr>
            <w:tcW w:w="1040" w:type="dxa"/>
            <w:vAlign w:val="bottom"/>
            <w:shd w:val="clear" w:color="auto" w:fill="C6E5FE"/>
          </w:tcPr>
          <w:p>
            <w:pPr>
              <w:spacing w:after="0"/>
              <w:rPr>
                <w:sz w:val="16"/>
                <w:szCs w:val="16"/>
                <w:color w:val="auto"/>
              </w:rPr>
            </w:pPr>
          </w:p>
        </w:tc>
        <w:tc>
          <w:tcPr>
            <w:tcW w:w="800" w:type="dxa"/>
            <w:vAlign w:val="bottom"/>
            <w:shd w:val="clear" w:color="auto" w:fill="C6E5FE"/>
          </w:tcPr>
          <w:p>
            <w:pPr>
              <w:spacing w:after="0"/>
              <w:rPr>
                <w:sz w:val="16"/>
                <w:szCs w:val="16"/>
                <w:color w:val="auto"/>
              </w:rPr>
            </w:pPr>
          </w:p>
        </w:tc>
        <w:tc>
          <w:tcPr>
            <w:tcW w:w="980" w:type="dxa"/>
            <w:vAlign w:val="bottom"/>
            <w:shd w:val="clear" w:color="auto" w:fill="C6E5FE"/>
          </w:tcPr>
          <w:p>
            <w:pPr>
              <w:spacing w:after="0"/>
              <w:rPr>
                <w:sz w:val="16"/>
                <w:szCs w:val="16"/>
                <w:color w:val="auto"/>
              </w:rPr>
            </w:pPr>
          </w:p>
        </w:tc>
        <w:tc>
          <w:tcPr>
            <w:tcW w:w="1040" w:type="dxa"/>
            <w:vAlign w:val="bottom"/>
            <w:shd w:val="clear" w:color="auto" w:fill="C6E5FE"/>
          </w:tcPr>
          <w:p>
            <w:pPr>
              <w:spacing w:after="0"/>
              <w:rPr>
                <w:sz w:val="16"/>
                <w:szCs w:val="16"/>
                <w:color w:val="auto"/>
              </w:rPr>
            </w:pPr>
          </w:p>
        </w:tc>
        <w:tc>
          <w:tcPr>
            <w:tcW w:w="360" w:type="dxa"/>
            <w:vAlign w:val="bottom"/>
            <w:shd w:val="clear" w:color="auto" w:fill="C6E5FE"/>
          </w:tcPr>
          <w:p>
            <w:pPr>
              <w:spacing w:after="0"/>
              <w:rPr>
                <w:sz w:val="16"/>
                <w:szCs w:val="16"/>
                <w:color w:val="auto"/>
              </w:rPr>
            </w:pPr>
          </w:p>
        </w:tc>
        <w:tc>
          <w:tcPr>
            <w:tcW w:w="1180" w:type="dxa"/>
            <w:vAlign w:val="bottom"/>
            <w:shd w:val="clear" w:color="auto" w:fill="C6E5FE"/>
          </w:tcPr>
          <w:p>
            <w:pPr>
              <w:spacing w:after="0"/>
              <w:rPr>
                <w:sz w:val="16"/>
                <w:szCs w:val="16"/>
                <w:color w:val="auto"/>
              </w:rPr>
            </w:pPr>
          </w:p>
        </w:tc>
        <w:tc>
          <w:tcPr>
            <w:tcW w:w="860" w:type="dxa"/>
            <w:vAlign w:val="bottom"/>
            <w:shd w:val="clear" w:color="auto" w:fill="C6E5F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40" w:type="dxa"/>
            <w:vAlign w:val="bottom"/>
            <w:tcBorders>
              <w:bottom w:val="single" w:sz="8" w:color="auto"/>
            </w:tcBorders>
            <w:shd w:val="clear" w:color="auto" w:fill="C6E5FE"/>
          </w:tcPr>
          <w:p>
            <w:pPr>
              <w:ind w:left="320"/>
              <w:spacing w:after="0"/>
              <w:rPr>
                <w:sz w:val="20"/>
                <w:szCs w:val="20"/>
                <w:color w:val="auto"/>
              </w:rPr>
            </w:pPr>
            <w:r>
              <w:rPr>
                <w:rFonts w:ascii="Arial" w:cs="Arial" w:eastAsia="Arial" w:hAnsi="Arial"/>
                <w:sz w:val="18"/>
                <w:szCs w:val="18"/>
                <w:color w:val="auto"/>
              </w:rPr>
              <w:t>President</w:t>
            </w:r>
          </w:p>
        </w:tc>
        <w:tc>
          <w:tcPr>
            <w:tcW w:w="600" w:type="dxa"/>
            <w:vAlign w:val="bottom"/>
            <w:tcBorders>
              <w:bottom w:val="single" w:sz="8" w:color="auto"/>
            </w:tcBorders>
            <w:shd w:val="clear" w:color="auto" w:fill="C6E5FE"/>
          </w:tcPr>
          <w:p>
            <w:pPr>
              <w:spacing w:after="0"/>
              <w:rPr>
                <w:sz w:val="18"/>
                <w:szCs w:val="18"/>
                <w:color w:val="auto"/>
              </w:rPr>
            </w:pPr>
          </w:p>
        </w:tc>
        <w:tc>
          <w:tcPr>
            <w:tcW w:w="820" w:type="dxa"/>
            <w:vAlign w:val="bottom"/>
            <w:tcBorders>
              <w:bottom w:val="single" w:sz="8" w:color="auto"/>
            </w:tcBorders>
            <w:shd w:val="clear" w:color="auto" w:fill="C6E5FE"/>
          </w:tcPr>
          <w:p>
            <w:pPr>
              <w:spacing w:after="0"/>
              <w:rPr>
                <w:sz w:val="18"/>
                <w:szCs w:val="18"/>
                <w:color w:val="auto"/>
              </w:rPr>
            </w:pPr>
          </w:p>
        </w:tc>
        <w:tc>
          <w:tcPr>
            <w:tcW w:w="1040" w:type="dxa"/>
            <w:vAlign w:val="bottom"/>
            <w:tcBorders>
              <w:bottom w:val="single" w:sz="8" w:color="auto"/>
            </w:tcBorders>
            <w:shd w:val="clear" w:color="auto" w:fill="C6E5FE"/>
          </w:tcPr>
          <w:p>
            <w:pPr>
              <w:spacing w:after="0"/>
              <w:rPr>
                <w:sz w:val="18"/>
                <w:szCs w:val="18"/>
                <w:color w:val="auto"/>
              </w:rPr>
            </w:pPr>
          </w:p>
        </w:tc>
        <w:tc>
          <w:tcPr>
            <w:tcW w:w="800" w:type="dxa"/>
            <w:vAlign w:val="bottom"/>
            <w:tcBorders>
              <w:bottom w:val="single" w:sz="8" w:color="auto"/>
            </w:tcBorders>
            <w:shd w:val="clear" w:color="auto" w:fill="C6E5FE"/>
          </w:tcPr>
          <w:p>
            <w:pPr>
              <w:spacing w:after="0"/>
              <w:rPr>
                <w:sz w:val="18"/>
                <w:szCs w:val="18"/>
                <w:color w:val="auto"/>
              </w:rPr>
            </w:pPr>
          </w:p>
        </w:tc>
        <w:tc>
          <w:tcPr>
            <w:tcW w:w="980" w:type="dxa"/>
            <w:vAlign w:val="bottom"/>
            <w:tcBorders>
              <w:bottom w:val="single" w:sz="8" w:color="auto"/>
            </w:tcBorders>
            <w:shd w:val="clear" w:color="auto" w:fill="C6E5FE"/>
          </w:tcPr>
          <w:p>
            <w:pPr>
              <w:spacing w:after="0"/>
              <w:rPr>
                <w:sz w:val="18"/>
                <w:szCs w:val="18"/>
                <w:color w:val="auto"/>
              </w:rPr>
            </w:pPr>
          </w:p>
        </w:tc>
        <w:tc>
          <w:tcPr>
            <w:tcW w:w="1040" w:type="dxa"/>
            <w:vAlign w:val="bottom"/>
            <w:tcBorders>
              <w:bottom w:val="single" w:sz="8" w:color="auto"/>
            </w:tcBorders>
            <w:shd w:val="clear" w:color="auto" w:fill="C6E5FE"/>
          </w:tcPr>
          <w:p>
            <w:pPr>
              <w:spacing w:after="0"/>
              <w:rPr>
                <w:sz w:val="18"/>
                <w:szCs w:val="18"/>
                <w:color w:val="auto"/>
              </w:rPr>
            </w:pPr>
          </w:p>
        </w:tc>
        <w:tc>
          <w:tcPr>
            <w:tcW w:w="360" w:type="dxa"/>
            <w:vAlign w:val="bottom"/>
            <w:tcBorders>
              <w:bottom w:val="single" w:sz="8" w:color="auto"/>
            </w:tcBorders>
            <w:shd w:val="clear" w:color="auto" w:fill="C6E5FE"/>
          </w:tcPr>
          <w:p>
            <w:pPr>
              <w:spacing w:after="0"/>
              <w:rPr>
                <w:sz w:val="18"/>
                <w:szCs w:val="18"/>
                <w:color w:val="auto"/>
              </w:rPr>
            </w:pPr>
          </w:p>
        </w:tc>
        <w:tc>
          <w:tcPr>
            <w:tcW w:w="1180" w:type="dxa"/>
            <w:vAlign w:val="bottom"/>
            <w:tcBorders>
              <w:bottom w:val="single" w:sz="8" w:color="auto"/>
            </w:tcBorders>
            <w:shd w:val="clear" w:color="auto" w:fill="C6E5FE"/>
          </w:tcPr>
          <w:p>
            <w:pPr>
              <w:spacing w:after="0"/>
              <w:rPr>
                <w:sz w:val="18"/>
                <w:szCs w:val="18"/>
                <w:color w:val="auto"/>
              </w:rPr>
            </w:pPr>
          </w:p>
        </w:tc>
        <w:tc>
          <w:tcPr>
            <w:tcW w:w="860" w:type="dxa"/>
            <w:vAlign w:val="bottom"/>
            <w:tcBorders>
              <w:bottom w:val="single" w:sz="8" w:color="auto"/>
            </w:tcBorders>
            <w:shd w:val="clear" w:color="auto" w:fill="C6E5F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40" w:type="dxa"/>
            <w:vAlign w:val="bottom"/>
          </w:tcPr>
          <w:p>
            <w:pPr>
              <w:jc w:val="center"/>
              <w:spacing w:after="0" w:line="156" w:lineRule="exact"/>
              <w:rPr>
                <w:sz w:val="20"/>
                <w:szCs w:val="20"/>
                <w:color w:val="auto"/>
              </w:rPr>
            </w:pPr>
            <w:r>
              <w:rPr>
                <w:rFonts w:ascii="Arial" w:cs="Arial" w:eastAsia="Arial" w:hAnsi="Arial"/>
                <w:sz w:val="18"/>
                <w:szCs w:val="18"/>
                <w:color w:val="auto"/>
                <w:w w:val="90"/>
              </w:rPr>
              <w:t>Margaret Cotter</w:t>
            </w:r>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2022</w:t>
            </w:r>
          </w:p>
        </w:tc>
        <w:tc>
          <w:tcPr>
            <w:tcW w:w="820" w:type="dxa"/>
            <w:vAlign w:val="bottom"/>
          </w:tcPr>
          <w:p>
            <w:pPr>
              <w:ind w:left="140"/>
              <w:spacing w:after="0" w:line="156" w:lineRule="exact"/>
              <w:rPr>
                <w:sz w:val="20"/>
                <w:szCs w:val="20"/>
                <w:color w:val="auto"/>
              </w:rPr>
            </w:pPr>
            <w:r>
              <w:rPr>
                <w:rFonts w:ascii="Arial" w:cs="Arial" w:eastAsia="Arial" w:hAnsi="Arial"/>
                <w:sz w:val="18"/>
                <w:szCs w:val="18"/>
                <w:color w:val="auto"/>
              </w:rPr>
              <w:t>450,000</w:t>
            </w:r>
          </w:p>
        </w:tc>
        <w:tc>
          <w:tcPr>
            <w:tcW w:w="1040" w:type="dxa"/>
            <w:vAlign w:val="bottom"/>
          </w:tcPr>
          <w:p>
            <w:pPr>
              <w:jc w:val="right"/>
              <w:ind w:right="10"/>
              <w:spacing w:after="0" w:line="156" w:lineRule="exact"/>
              <w:rPr>
                <w:sz w:val="20"/>
                <w:szCs w:val="20"/>
                <w:color w:val="auto"/>
              </w:rPr>
            </w:pPr>
            <w:r>
              <w:rPr>
                <w:rFonts w:ascii="Arial" w:cs="Arial" w:eastAsia="Arial" w:hAnsi="Arial"/>
                <w:sz w:val="18"/>
                <w:szCs w:val="18"/>
                <w:color w:val="auto"/>
              </w:rPr>
              <w:t>228,075</w:t>
            </w:r>
          </w:p>
        </w:tc>
        <w:tc>
          <w:tcPr>
            <w:tcW w:w="800" w:type="dxa"/>
            <w:vAlign w:val="bottom"/>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line="15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line="156" w:lineRule="exact"/>
              <w:rPr>
                <w:sz w:val="20"/>
                <w:szCs w:val="20"/>
                <w:color w:val="auto"/>
              </w:rPr>
            </w:pPr>
            <w:r>
              <w:rPr>
                <w:rFonts w:ascii="Arial" w:cs="Arial" w:eastAsia="Arial" w:hAnsi="Arial"/>
                <w:sz w:val="18"/>
                <w:szCs w:val="18"/>
                <w:color w:val="auto"/>
              </w:rPr>
              <w:t>14,780</w:t>
            </w:r>
          </w:p>
        </w:tc>
        <w:tc>
          <w:tcPr>
            <w:tcW w:w="360" w:type="dxa"/>
            <w:vAlign w:val="bottom"/>
          </w:tcPr>
          <w:p>
            <w:pPr>
              <w:jc w:val="right"/>
              <w:ind w:right="50"/>
              <w:spacing w:after="0" w:line="156" w:lineRule="exact"/>
              <w:rPr>
                <w:sz w:val="20"/>
                <w:szCs w:val="20"/>
                <w:color w:val="auto"/>
              </w:rPr>
            </w:pPr>
            <w:r>
              <w:rPr>
                <w:rFonts w:ascii="Arial" w:cs="Arial" w:eastAsia="Arial" w:hAnsi="Arial"/>
                <w:sz w:val="18"/>
                <w:szCs w:val="18"/>
                <w:color w:val="auto"/>
                <w:w w:val="90"/>
              </w:rPr>
              <w:t>(2)</w:t>
            </w:r>
          </w:p>
        </w:tc>
        <w:tc>
          <w:tcPr>
            <w:tcW w:w="1180" w:type="dxa"/>
            <w:vAlign w:val="bottom"/>
          </w:tcPr>
          <w:p>
            <w:pPr>
              <w:jc w:val="right"/>
              <w:ind w:right="10"/>
              <w:spacing w:after="0" w:line="15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8"/>
                <w:szCs w:val="18"/>
                <w:color w:val="auto"/>
              </w:rPr>
              <w:t>692,855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tcPr>
          <w:p>
            <w:pPr>
              <w:ind w:left="320"/>
              <w:spacing w:after="0" w:line="189" w:lineRule="exact"/>
              <w:rPr>
                <w:sz w:val="20"/>
                <w:szCs w:val="20"/>
                <w:color w:val="auto"/>
              </w:rPr>
            </w:pPr>
            <w:r>
              <w:rPr>
                <w:rFonts w:ascii="Arial" w:cs="Arial" w:eastAsia="Arial" w:hAnsi="Arial"/>
                <w:sz w:val="18"/>
                <w:szCs w:val="18"/>
                <w:color w:val="auto"/>
              </w:rPr>
              <w:t>EVP, Real</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40" w:type="dxa"/>
            <w:vAlign w:val="bottom"/>
          </w:tcPr>
          <w:p>
            <w:pPr>
              <w:ind w:left="320"/>
              <w:spacing w:after="0" w:line="157" w:lineRule="exact"/>
              <w:rPr>
                <w:sz w:val="20"/>
                <w:szCs w:val="20"/>
                <w:color w:val="auto"/>
              </w:rPr>
            </w:pPr>
            <w:r>
              <w:rPr>
                <w:rFonts w:ascii="Arial" w:cs="Arial" w:eastAsia="Arial" w:hAnsi="Arial"/>
                <w:sz w:val="18"/>
                <w:szCs w:val="18"/>
                <w:color w:val="auto"/>
              </w:rPr>
              <w:t>Estate Mgmt</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320"/>
              <w:spacing w:after="0" w:line="195" w:lineRule="exact"/>
              <w:rPr>
                <w:sz w:val="20"/>
                <w:szCs w:val="20"/>
                <w:color w:val="auto"/>
              </w:rPr>
            </w:pPr>
            <w:r>
              <w:rPr>
                <w:rFonts w:ascii="Arial" w:cs="Arial" w:eastAsia="Arial" w:hAnsi="Arial"/>
                <w:sz w:val="18"/>
                <w:szCs w:val="18"/>
                <w:color w:val="auto"/>
              </w:rPr>
              <w:t>&amp;</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2021</w:t>
            </w:r>
          </w:p>
        </w:tc>
        <w:tc>
          <w:tcPr>
            <w:tcW w:w="820" w:type="dxa"/>
            <w:vAlign w:val="bottom"/>
          </w:tcPr>
          <w:p>
            <w:pPr>
              <w:ind w:left="140"/>
              <w:spacing w:after="0" w:line="195" w:lineRule="exact"/>
              <w:rPr>
                <w:sz w:val="20"/>
                <w:szCs w:val="20"/>
                <w:color w:val="auto"/>
              </w:rPr>
            </w:pPr>
            <w:r>
              <w:rPr>
                <w:rFonts w:ascii="Arial" w:cs="Arial" w:eastAsia="Arial" w:hAnsi="Arial"/>
                <w:sz w:val="18"/>
                <w:szCs w:val="18"/>
                <w:color w:val="auto"/>
              </w:rPr>
              <w:t>450,000</w:t>
            </w: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195,000</w:t>
            </w:r>
          </w:p>
        </w:tc>
        <w:tc>
          <w:tcPr>
            <w:tcW w:w="8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157,500</w:t>
            </w:r>
          </w:p>
        </w:tc>
        <w:tc>
          <w:tcPr>
            <w:tcW w:w="10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12,980</w:t>
            </w:r>
          </w:p>
        </w:tc>
        <w:tc>
          <w:tcPr>
            <w:tcW w:w="3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0"/>
              </w:rPr>
              <w:t>(2)</w:t>
            </w:r>
          </w:p>
        </w:tc>
        <w:tc>
          <w:tcPr>
            <w:tcW w:w="11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815,480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Development</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40" w:type="dxa"/>
            <w:vAlign w:val="bottom"/>
            <w:shd w:val="clear" w:color="auto" w:fill="C6E5FE"/>
          </w:tcPr>
          <w:p>
            <w:pPr>
              <w:ind w:left="140"/>
              <w:spacing w:after="0" w:line="156" w:lineRule="exact"/>
              <w:rPr>
                <w:sz w:val="20"/>
                <w:szCs w:val="20"/>
                <w:color w:val="auto"/>
              </w:rPr>
            </w:pPr>
            <w:r>
              <w:rPr>
                <w:rFonts w:ascii="Arial" w:cs="Arial" w:eastAsia="Arial" w:hAnsi="Arial"/>
                <w:sz w:val="18"/>
                <w:szCs w:val="18"/>
                <w:color w:val="auto"/>
              </w:rPr>
              <w:t>S. Craig</w:t>
            </w:r>
          </w:p>
        </w:tc>
        <w:tc>
          <w:tcPr>
            <w:tcW w:w="600" w:type="dxa"/>
            <w:vAlign w:val="bottom"/>
            <w:shd w:val="clear" w:color="auto" w:fill="C6E5FE"/>
          </w:tcPr>
          <w:p>
            <w:pPr>
              <w:jc w:val="right"/>
              <w:spacing w:after="0" w:line="156" w:lineRule="exact"/>
              <w:rPr>
                <w:sz w:val="20"/>
                <w:szCs w:val="20"/>
                <w:color w:val="auto"/>
              </w:rPr>
            </w:pPr>
            <w:r>
              <w:rPr>
                <w:rFonts w:ascii="Arial" w:cs="Arial" w:eastAsia="Arial" w:hAnsi="Arial"/>
                <w:sz w:val="18"/>
                <w:szCs w:val="18"/>
                <w:color w:val="auto"/>
              </w:rPr>
              <w:t>2022</w:t>
            </w:r>
          </w:p>
        </w:tc>
        <w:tc>
          <w:tcPr>
            <w:tcW w:w="820" w:type="dxa"/>
            <w:vAlign w:val="bottom"/>
            <w:shd w:val="clear" w:color="auto" w:fill="C6E5FE"/>
          </w:tcPr>
          <w:p>
            <w:pPr>
              <w:ind w:left="140"/>
              <w:spacing w:after="0" w:line="156" w:lineRule="exact"/>
              <w:rPr>
                <w:sz w:val="20"/>
                <w:szCs w:val="20"/>
                <w:color w:val="auto"/>
              </w:rPr>
            </w:pPr>
            <w:r>
              <w:rPr>
                <w:rFonts w:ascii="Arial" w:cs="Arial" w:eastAsia="Arial" w:hAnsi="Arial"/>
                <w:sz w:val="18"/>
                <w:szCs w:val="18"/>
                <w:color w:val="auto"/>
              </w:rPr>
              <w:t>437,750</w:t>
            </w:r>
          </w:p>
        </w:tc>
        <w:tc>
          <w:tcPr>
            <w:tcW w:w="1040" w:type="dxa"/>
            <w:vAlign w:val="bottom"/>
            <w:shd w:val="clear" w:color="auto" w:fill="C6E5FE"/>
          </w:tcPr>
          <w:p>
            <w:pPr>
              <w:jc w:val="right"/>
              <w:ind w:right="10"/>
              <w:spacing w:after="0" w:line="156" w:lineRule="exact"/>
              <w:rPr>
                <w:sz w:val="20"/>
                <w:szCs w:val="20"/>
                <w:color w:val="auto"/>
              </w:rPr>
            </w:pPr>
            <w:r>
              <w:rPr>
                <w:rFonts w:ascii="Arial" w:cs="Arial" w:eastAsia="Arial" w:hAnsi="Arial"/>
                <w:sz w:val="18"/>
                <w:szCs w:val="18"/>
                <w:color w:val="auto"/>
              </w:rPr>
              <w:t>239,432</w:t>
            </w:r>
          </w:p>
        </w:tc>
        <w:tc>
          <w:tcPr>
            <w:tcW w:w="800" w:type="dxa"/>
            <w:vAlign w:val="bottom"/>
            <w:shd w:val="clear" w:color="auto" w:fill="C6E5FE"/>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980" w:type="dxa"/>
            <w:vAlign w:val="bottom"/>
            <w:shd w:val="clear" w:color="auto" w:fill="C6E5FE"/>
          </w:tcPr>
          <w:p>
            <w:pPr>
              <w:jc w:val="right"/>
              <w:ind w:right="50"/>
              <w:spacing w:after="0" w:line="156" w:lineRule="exact"/>
              <w:rPr>
                <w:sz w:val="20"/>
                <w:szCs w:val="20"/>
                <w:color w:val="auto"/>
              </w:rPr>
            </w:pPr>
            <w:r>
              <w:rPr>
                <w:rFonts w:ascii="Arial" w:cs="Arial" w:eastAsia="Arial" w:hAnsi="Arial"/>
                <w:sz w:val="18"/>
                <w:szCs w:val="18"/>
                <w:color w:val="auto"/>
              </w:rPr>
              <w:t>--</w:t>
            </w:r>
          </w:p>
        </w:tc>
        <w:tc>
          <w:tcPr>
            <w:tcW w:w="1040" w:type="dxa"/>
            <w:vAlign w:val="bottom"/>
            <w:shd w:val="clear" w:color="auto" w:fill="C6E5FE"/>
          </w:tcPr>
          <w:p>
            <w:pPr>
              <w:jc w:val="right"/>
              <w:ind w:right="70"/>
              <w:spacing w:after="0" w:line="156" w:lineRule="exact"/>
              <w:rPr>
                <w:sz w:val="20"/>
                <w:szCs w:val="20"/>
                <w:color w:val="auto"/>
              </w:rPr>
            </w:pPr>
            <w:r>
              <w:rPr>
                <w:rFonts w:ascii="Arial" w:cs="Arial" w:eastAsia="Arial" w:hAnsi="Arial"/>
                <w:sz w:val="18"/>
                <w:szCs w:val="18"/>
                <w:color w:val="auto"/>
              </w:rPr>
              <w:t>21,520</w:t>
            </w:r>
          </w:p>
        </w:tc>
        <w:tc>
          <w:tcPr>
            <w:tcW w:w="360" w:type="dxa"/>
            <w:vAlign w:val="bottom"/>
            <w:shd w:val="clear" w:color="auto" w:fill="C6E5FE"/>
          </w:tcPr>
          <w:p>
            <w:pPr>
              <w:jc w:val="right"/>
              <w:ind w:right="50"/>
              <w:spacing w:after="0" w:line="156" w:lineRule="exact"/>
              <w:rPr>
                <w:sz w:val="20"/>
                <w:szCs w:val="20"/>
                <w:color w:val="auto"/>
              </w:rPr>
            </w:pPr>
            <w:r>
              <w:rPr>
                <w:rFonts w:ascii="Arial" w:cs="Arial" w:eastAsia="Arial" w:hAnsi="Arial"/>
                <w:sz w:val="18"/>
                <w:szCs w:val="18"/>
                <w:color w:val="auto"/>
                <w:w w:val="90"/>
              </w:rPr>
              <w:t>(2)</w:t>
            </w:r>
          </w:p>
        </w:tc>
        <w:tc>
          <w:tcPr>
            <w:tcW w:w="1180" w:type="dxa"/>
            <w:vAlign w:val="bottom"/>
            <w:shd w:val="clear" w:color="auto" w:fill="C6E5FE"/>
          </w:tcPr>
          <w:p>
            <w:pPr>
              <w:jc w:val="right"/>
              <w:ind w:right="10"/>
              <w:spacing w:after="0" w:line="156" w:lineRule="exact"/>
              <w:rPr>
                <w:sz w:val="20"/>
                <w:szCs w:val="20"/>
                <w:color w:val="auto"/>
              </w:rPr>
            </w:pPr>
            <w:r>
              <w:rPr>
                <w:rFonts w:ascii="Arial" w:cs="Arial" w:eastAsia="Arial" w:hAnsi="Arial"/>
                <w:sz w:val="18"/>
                <w:szCs w:val="18"/>
                <w:color w:val="auto"/>
              </w:rPr>
              <w:t>--</w:t>
            </w:r>
          </w:p>
        </w:tc>
        <w:tc>
          <w:tcPr>
            <w:tcW w:w="860" w:type="dxa"/>
            <w:vAlign w:val="bottom"/>
            <w:shd w:val="clear" w:color="auto" w:fill="C6E5FE"/>
          </w:tcPr>
          <w:p>
            <w:pPr>
              <w:jc w:val="right"/>
              <w:spacing w:after="0" w:line="156" w:lineRule="exact"/>
              <w:rPr>
                <w:sz w:val="20"/>
                <w:szCs w:val="20"/>
                <w:color w:val="auto"/>
              </w:rPr>
            </w:pPr>
            <w:r>
              <w:rPr>
                <w:rFonts w:ascii="Arial" w:cs="Arial" w:eastAsia="Arial" w:hAnsi="Arial"/>
                <w:sz w:val="18"/>
                <w:szCs w:val="18"/>
                <w:color w:val="auto"/>
              </w:rPr>
              <w:t>698,702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tcBorders>
              <w:bottom w:val="single" w:sz="8" w:color="C6E5FE"/>
            </w:tcBorders>
            <w:shd w:val="clear" w:color="auto" w:fill="C6E5FE"/>
          </w:tcPr>
          <w:p>
            <w:pPr>
              <w:ind w:left="320"/>
              <w:spacing w:after="0" w:line="189" w:lineRule="exact"/>
              <w:rPr>
                <w:sz w:val="20"/>
                <w:szCs w:val="20"/>
                <w:color w:val="auto"/>
              </w:rPr>
            </w:pPr>
            <w:r>
              <w:rPr>
                <w:rFonts w:ascii="Arial" w:cs="Arial" w:eastAsia="Arial" w:hAnsi="Arial"/>
                <w:sz w:val="18"/>
                <w:szCs w:val="18"/>
                <w:color w:val="auto"/>
              </w:rPr>
              <w:t>Tompkins</w:t>
            </w:r>
          </w:p>
        </w:tc>
        <w:tc>
          <w:tcPr>
            <w:tcW w:w="600" w:type="dxa"/>
            <w:vAlign w:val="bottom"/>
            <w:tcBorders>
              <w:bottom w:val="single" w:sz="8" w:color="C6E5FE"/>
            </w:tcBorders>
            <w:shd w:val="clear" w:color="auto" w:fill="C6E5FE"/>
          </w:tcPr>
          <w:p>
            <w:pPr>
              <w:spacing w:after="0"/>
              <w:rPr>
                <w:sz w:val="18"/>
                <w:szCs w:val="18"/>
                <w:color w:val="auto"/>
              </w:rPr>
            </w:pPr>
          </w:p>
        </w:tc>
        <w:tc>
          <w:tcPr>
            <w:tcW w:w="820" w:type="dxa"/>
            <w:vAlign w:val="bottom"/>
            <w:tcBorders>
              <w:bottom w:val="single" w:sz="8" w:color="C6E5FE"/>
            </w:tcBorders>
            <w:shd w:val="clear" w:color="auto" w:fill="C6E5FE"/>
          </w:tcPr>
          <w:p>
            <w:pPr>
              <w:spacing w:after="0"/>
              <w:rPr>
                <w:sz w:val="18"/>
                <w:szCs w:val="18"/>
                <w:color w:val="auto"/>
              </w:rPr>
            </w:pPr>
          </w:p>
        </w:tc>
        <w:tc>
          <w:tcPr>
            <w:tcW w:w="1040" w:type="dxa"/>
            <w:vAlign w:val="bottom"/>
            <w:tcBorders>
              <w:bottom w:val="single" w:sz="8" w:color="C6E5FE"/>
            </w:tcBorders>
            <w:shd w:val="clear" w:color="auto" w:fill="C6E5FE"/>
          </w:tcPr>
          <w:p>
            <w:pPr>
              <w:spacing w:after="0"/>
              <w:rPr>
                <w:sz w:val="18"/>
                <w:szCs w:val="18"/>
                <w:color w:val="auto"/>
              </w:rPr>
            </w:pPr>
          </w:p>
        </w:tc>
        <w:tc>
          <w:tcPr>
            <w:tcW w:w="800" w:type="dxa"/>
            <w:vAlign w:val="bottom"/>
            <w:tcBorders>
              <w:bottom w:val="single" w:sz="8" w:color="C6E5FE"/>
            </w:tcBorders>
            <w:shd w:val="clear" w:color="auto" w:fill="C6E5FE"/>
          </w:tcPr>
          <w:p>
            <w:pPr>
              <w:spacing w:after="0"/>
              <w:rPr>
                <w:sz w:val="18"/>
                <w:szCs w:val="18"/>
                <w:color w:val="auto"/>
              </w:rPr>
            </w:pPr>
          </w:p>
        </w:tc>
        <w:tc>
          <w:tcPr>
            <w:tcW w:w="980" w:type="dxa"/>
            <w:vAlign w:val="bottom"/>
            <w:tcBorders>
              <w:bottom w:val="single" w:sz="8" w:color="C6E5FE"/>
            </w:tcBorders>
            <w:shd w:val="clear" w:color="auto" w:fill="C6E5FE"/>
          </w:tcPr>
          <w:p>
            <w:pPr>
              <w:spacing w:after="0"/>
              <w:rPr>
                <w:sz w:val="18"/>
                <w:szCs w:val="18"/>
                <w:color w:val="auto"/>
              </w:rPr>
            </w:pPr>
          </w:p>
        </w:tc>
        <w:tc>
          <w:tcPr>
            <w:tcW w:w="1040" w:type="dxa"/>
            <w:vAlign w:val="bottom"/>
            <w:tcBorders>
              <w:bottom w:val="single" w:sz="8" w:color="C6E5FE"/>
            </w:tcBorders>
            <w:shd w:val="clear" w:color="auto" w:fill="C6E5FE"/>
          </w:tcPr>
          <w:p>
            <w:pPr>
              <w:spacing w:after="0"/>
              <w:rPr>
                <w:sz w:val="18"/>
                <w:szCs w:val="18"/>
                <w:color w:val="auto"/>
              </w:rPr>
            </w:pPr>
          </w:p>
        </w:tc>
        <w:tc>
          <w:tcPr>
            <w:tcW w:w="360" w:type="dxa"/>
            <w:vAlign w:val="bottom"/>
            <w:tcBorders>
              <w:bottom w:val="single" w:sz="8" w:color="C6E5FE"/>
            </w:tcBorders>
            <w:shd w:val="clear" w:color="auto" w:fill="C6E5FE"/>
          </w:tcPr>
          <w:p>
            <w:pPr>
              <w:spacing w:after="0"/>
              <w:rPr>
                <w:sz w:val="18"/>
                <w:szCs w:val="18"/>
                <w:color w:val="auto"/>
              </w:rPr>
            </w:pPr>
          </w:p>
        </w:tc>
        <w:tc>
          <w:tcPr>
            <w:tcW w:w="1180" w:type="dxa"/>
            <w:vAlign w:val="bottom"/>
            <w:tcBorders>
              <w:bottom w:val="single" w:sz="8" w:color="C6E5FE"/>
            </w:tcBorders>
            <w:shd w:val="clear" w:color="auto" w:fill="C6E5FE"/>
          </w:tcPr>
          <w:p>
            <w:pPr>
              <w:spacing w:after="0"/>
              <w:rPr>
                <w:sz w:val="18"/>
                <w:szCs w:val="18"/>
                <w:color w:val="auto"/>
              </w:rPr>
            </w:pPr>
          </w:p>
        </w:tc>
        <w:tc>
          <w:tcPr>
            <w:tcW w:w="860" w:type="dxa"/>
            <w:vAlign w:val="bottom"/>
            <w:tcBorders>
              <w:bottom w:val="single" w:sz="8" w:color="C6E5FE"/>
            </w:tcBorders>
            <w:shd w:val="clear" w:color="auto" w:fill="C6E5F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40" w:type="dxa"/>
            <w:vAlign w:val="bottom"/>
            <w:tcBorders>
              <w:top w:val="single" w:sz="8" w:color="C6E5FE"/>
            </w:tcBorders>
            <w:shd w:val="clear" w:color="auto" w:fill="C6E5FE"/>
          </w:tcPr>
          <w:p>
            <w:pPr>
              <w:ind w:left="320"/>
              <w:spacing w:after="0" w:line="156" w:lineRule="exact"/>
              <w:rPr>
                <w:sz w:val="20"/>
                <w:szCs w:val="20"/>
                <w:color w:val="auto"/>
              </w:rPr>
            </w:pPr>
            <w:r>
              <w:rPr>
                <w:rFonts w:ascii="Arial" w:cs="Arial" w:eastAsia="Arial" w:hAnsi="Arial"/>
                <w:sz w:val="18"/>
                <w:szCs w:val="18"/>
                <w:color w:val="auto"/>
                <w:w w:val="99"/>
              </w:rPr>
              <w:t>EVP, General</w:t>
            </w:r>
          </w:p>
        </w:tc>
        <w:tc>
          <w:tcPr>
            <w:tcW w:w="600" w:type="dxa"/>
            <w:vAlign w:val="bottom"/>
            <w:tcBorders>
              <w:top w:val="single" w:sz="8" w:color="auto"/>
            </w:tcBorders>
            <w:shd w:val="clear" w:color="auto" w:fill="C6E5FE"/>
          </w:tcPr>
          <w:p>
            <w:pPr>
              <w:jc w:val="right"/>
              <w:spacing w:after="0" w:line="156" w:lineRule="exact"/>
              <w:rPr>
                <w:sz w:val="20"/>
                <w:szCs w:val="20"/>
                <w:color w:val="auto"/>
              </w:rPr>
            </w:pPr>
            <w:r>
              <w:rPr>
                <w:rFonts w:ascii="Arial" w:cs="Arial" w:eastAsia="Arial" w:hAnsi="Arial"/>
                <w:sz w:val="18"/>
                <w:szCs w:val="18"/>
                <w:color w:val="auto"/>
              </w:rPr>
              <w:t>2021</w:t>
            </w:r>
          </w:p>
        </w:tc>
        <w:tc>
          <w:tcPr>
            <w:tcW w:w="820" w:type="dxa"/>
            <w:vAlign w:val="bottom"/>
            <w:tcBorders>
              <w:top w:val="single" w:sz="8" w:color="auto"/>
            </w:tcBorders>
            <w:shd w:val="clear" w:color="auto" w:fill="C6E5FE"/>
          </w:tcPr>
          <w:p>
            <w:pPr>
              <w:ind w:left="140"/>
              <w:spacing w:after="0" w:line="156" w:lineRule="exact"/>
              <w:rPr>
                <w:sz w:val="20"/>
                <w:szCs w:val="20"/>
                <w:color w:val="auto"/>
              </w:rPr>
            </w:pPr>
            <w:r>
              <w:rPr>
                <w:rFonts w:ascii="Arial" w:cs="Arial" w:eastAsia="Arial" w:hAnsi="Arial"/>
                <w:sz w:val="18"/>
                <w:szCs w:val="18"/>
                <w:color w:val="auto"/>
              </w:rPr>
              <w:t>437,750</w:t>
            </w:r>
          </w:p>
        </w:tc>
        <w:tc>
          <w:tcPr>
            <w:tcW w:w="1040" w:type="dxa"/>
            <w:vAlign w:val="bottom"/>
            <w:tcBorders>
              <w:top w:val="single" w:sz="8" w:color="auto"/>
            </w:tcBorders>
            <w:shd w:val="clear" w:color="auto" w:fill="C6E5FE"/>
          </w:tcPr>
          <w:p>
            <w:pPr>
              <w:jc w:val="right"/>
              <w:ind w:right="10"/>
              <w:spacing w:after="0" w:line="156" w:lineRule="exact"/>
              <w:rPr>
                <w:sz w:val="20"/>
                <w:szCs w:val="20"/>
                <w:color w:val="auto"/>
              </w:rPr>
            </w:pPr>
            <w:r>
              <w:rPr>
                <w:rFonts w:ascii="Arial" w:cs="Arial" w:eastAsia="Arial" w:hAnsi="Arial"/>
                <w:sz w:val="18"/>
                <w:szCs w:val="18"/>
                <w:color w:val="auto"/>
              </w:rPr>
              <w:t>195,000</w:t>
            </w:r>
          </w:p>
        </w:tc>
        <w:tc>
          <w:tcPr>
            <w:tcW w:w="800" w:type="dxa"/>
            <w:vAlign w:val="bottom"/>
            <w:tcBorders>
              <w:top w:val="single" w:sz="8" w:color="auto"/>
            </w:tcBorders>
            <w:shd w:val="clear" w:color="auto" w:fill="C6E5FE"/>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6E5FE"/>
          </w:tcPr>
          <w:p>
            <w:pPr>
              <w:jc w:val="right"/>
              <w:spacing w:after="0" w:line="156" w:lineRule="exact"/>
              <w:rPr>
                <w:sz w:val="20"/>
                <w:szCs w:val="20"/>
                <w:color w:val="auto"/>
              </w:rPr>
            </w:pPr>
            <w:r>
              <w:rPr>
                <w:rFonts w:ascii="Arial" w:cs="Arial" w:eastAsia="Arial" w:hAnsi="Arial"/>
                <w:sz w:val="18"/>
                <w:szCs w:val="18"/>
                <w:color w:val="auto"/>
              </w:rPr>
              <w:t>153,212</w:t>
            </w:r>
          </w:p>
        </w:tc>
        <w:tc>
          <w:tcPr>
            <w:tcW w:w="1040" w:type="dxa"/>
            <w:vAlign w:val="bottom"/>
            <w:tcBorders>
              <w:top w:val="single" w:sz="8" w:color="auto"/>
            </w:tcBorders>
            <w:shd w:val="clear" w:color="auto" w:fill="C6E5FE"/>
          </w:tcPr>
          <w:p>
            <w:pPr>
              <w:jc w:val="right"/>
              <w:ind w:right="70"/>
              <w:spacing w:after="0" w:line="156" w:lineRule="exact"/>
              <w:rPr>
                <w:sz w:val="20"/>
                <w:szCs w:val="20"/>
                <w:color w:val="auto"/>
              </w:rPr>
            </w:pPr>
            <w:r>
              <w:rPr>
                <w:rFonts w:ascii="Arial" w:cs="Arial" w:eastAsia="Arial" w:hAnsi="Arial"/>
                <w:sz w:val="18"/>
                <w:szCs w:val="18"/>
                <w:color w:val="auto"/>
              </w:rPr>
              <w:t>20,920</w:t>
            </w:r>
          </w:p>
        </w:tc>
        <w:tc>
          <w:tcPr>
            <w:tcW w:w="360" w:type="dxa"/>
            <w:vAlign w:val="bottom"/>
            <w:tcBorders>
              <w:top w:val="single" w:sz="8" w:color="auto"/>
            </w:tcBorders>
            <w:shd w:val="clear" w:color="auto" w:fill="C6E5FE"/>
          </w:tcPr>
          <w:p>
            <w:pPr>
              <w:jc w:val="right"/>
              <w:ind w:right="50"/>
              <w:spacing w:after="0" w:line="156" w:lineRule="exact"/>
              <w:rPr>
                <w:sz w:val="20"/>
                <w:szCs w:val="20"/>
                <w:color w:val="auto"/>
              </w:rPr>
            </w:pPr>
            <w:r>
              <w:rPr>
                <w:rFonts w:ascii="Arial" w:cs="Arial" w:eastAsia="Arial" w:hAnsi="Arial"/>
                <w:sz w:val="18"/>
                <w:szCs w:val="18"/>
                <w:color w:val="auto"/>
                <w:w w:val="90"/>
              </w:rPr>
              <w:t>(2)</w:t>
            </w:r>
          </w:p>
        </w:tc>
        <w:tc>
          <w:tcPr>
            <w:tcW w:w="1180" w:type="dxa"/>
            <w:vAlign w:val="bottom"/>
            <w:tcBorders>
              <w:top w:val="single" w:sz="8" w:color="auto"/>
            </w:tcBorders>
            <w:shd w:val="clear" w:color="auto" w:fill="C6E5FE"/>
          </w:tcPr>
          <w:p>
            <w:pPr>
              <w:jc w:val="right"/>
              <w:ind w:right="10"/>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6E5FE"/>
          </w:tcPr>
          <w:p>
            <w:pPr>
              <w:jc w:val="right"/>
              <w:spacing w:after="0" w:line="156" w:lineRule="exact"/>
              <w:rPr>
                <w:sz w:val="20"/>
                <w:szCs w:val="20"/>
                <w:color w:val="auto"/>
              </w:rPr>
            </w:pPr>
            <w:r>
              <w:rPr>
                <w:rFonts w:ascii="Arial" w:cs="Arial" w:eastAsia="Arial" w:hAnsi="Arial"/>
                <w:sz w:val="18"/>
                <w:szCs w:val="18"/>
                <w:color w:val="auto"/>
              </w:rPr>
              <w:t>806,882</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6E5FE"/>
          </w:tcPr>
          <w:p>
            <w:pPr>
              <w:ind w:left="320"/>
              <w:spacing w:after="0" w:line="202" w:lineRule="exact"/>
              <w:rPr>
                <w:sz w:val="20"/>
                <w:szCs w:val="20"/>
                <w:color w:val="auto"/>
              </w:rPr>
            </w:pPr>
            <w:r>
              <w:rPr>
                <w:rFonts w:ascii="Arial" w:cs="Arial" w:eastAsia="Arial" w:hAnsi="Arial"/>
                <w:sz w:val="18"/>
                <w:szCs w:val="18"/>
                <w:color w:val="auto"/>
              </w:rPr>
              <w:t>Counsel</w:t>
            </w:r>
          </w:p>
        </w:tc>
        <w:tc>
          <w:tcPr>
            <w:tcW w:w="600" w:type="dxa"/>
            <w:vAlign w:val="bottom"/>
            <w:shd w:val="clear" w:color="auto" w:fill="C6E5FE"/>
          </w:tcPr>
          <w:p>
            <w:pPr>
              <w:spacing w:after="0"/>
              <w:rPr>
                <w:sz w:val="17"/>
                <w:szCs w:val="17"/>
                <w:color w:val="auto"/>
              </w:rPr>
            </w:pPr>
          </w:p>
        </w:tc>
        <w:tc>
          <w:tcPr>
            <w:tcW w:w="820" w:type="dxa"/>
            <w:vAlign w:val="bottom"/>
            <w:shd w:val="clear" w:color="auto" w:fill="C6E5FE"/>
          </w:tcPr>
          <w:p>
            <w:pPr>
              <w:spacing w:after="0"/>
              <w:rPr>
                <w:sz w:val="17"/>
                <w:szCs w:val="17"/>
                <w:color w:val="auto"/>
              </w:rPr>
            </w:pPr>
          </w:p>
        </w:tc>
        <w:tc>
          <w:tcPr>
            <w:tcW w:w="1040" w:type="dxa"/>
            <w:vAlign w:val="bottom"/>
            <w:shd w:val="clear" w:color="auto" w:fill="C6E5FE"/>
          </w:tcPr>
          <w:p>
            <w:pPr>
              <w:spacing w:after="0"/>
              <w:rPr>
                <w:sz w:val="17"/>
                <w:szCs w:val="17"/>
                <w:color w:val="auto"/>
              </w:rPr>
            </w:pPr>
          </w:p>
        </w:tc>
        <w:tc>
          <w:tcPr>
            <w:tcW w:w="800" w:type="dxa"/>
            <w:vAlign w:val="bottom"/>
            <w:shd w:val="clear" w:color="auto" w:fill="C6E5FE"/>
          </w:tcPr>
          <w:p>
            <w:pPr>
              <w:spacing w:after="0"/>
              <w:rPr>
                <w:sz w:val="17"/>
                <w:szCs w:val="17"/>
                <w:color w:val="auto"/>
              </w:rPr>
            </w:pPr>
          </w:p>
        </w:tc>
        <w:tc>
          <w:tcPr>
            <w:tcW w:w="980" w:type="dxa"/>
            <w:vAlign w:val="bottom"/>
            <w:shd w:val="clear" w:color="auto" w:fill="C6E5FE"/>
          </w:tcPr>
          <w:p>
            <w:pPr>
              <w:spacing w:after="0"/>
              <w:rPr>
                <w:sz w:val="17"/>
                <w:szCs w:val="17"/>
                <w:color w:val="auto"/>
              </w:rPr>
            </w:pPr>
          </w:p>
        </w:tc>
        <w:tc>
          <w:tcPr>
            <w:tcW w:w="1040" w:type="dxa"/>
            <w:vAlign w:val="bottom"/>
            <w:shd w:val="clear" w:color="auto" w:fill="C6E5FE"/>
          </w:tcPr>
          <w:p>
            <w:pPr>
              <w:spacing w:after="0"/>
              <w:rPr>
                <w:sz w:val="17"/>
                <w:szCs w:val="17"/>
                <w:color w:val="auto"/>
              </w:rPr>
            </w:pPr>
          </w:p>
        </w:tc>
        <w:tc>
          <w:tcPr>
            <w:tcW w:w="360" w:type="dxa"/>
            <w:vAlign w:val="bottom"/>
            <w:shd w:val="clear" w:color="auto" w:fill="C6E5FE"/>
          </w:tcPr>
          <w:p>
            <w:pPr>
              <w:spacing w:after="0"/>
              <w:rPr>
                <w:sz w:val="17"/>
                <w:szCs w:val="17"/>
                <w:color w:val="auto"/>
              </w:rPr>
            </w:pPr>
          </w:p>
        </w:tc>
        <w:tc>
          <w:tcPr>
            <w:tcW w:w="1180" w:type="dxa"/>
            <w:vAlign w:val="bottom"/>
            <w:shd w:val="clear" w:color="auto" w:fill="C6E5FE"/>
          </w:tcPr>
          <w:p>
            <w:pPr>
              <w:spacing w:after="0"/>
              <w:rPr>
                <w:sz w:val="17"/>
                <w:szCs w:val="17"/>
                <w:color w:val="auto"/>
              </w:rPr>
            </w:pPr>
          </w:p>
        </w:tc>
        <w:tc>
          <w:tcPr>
            <w:tcW w:w="860" w:type="dxa"/>
            <w:vAlign w:val="bottom"/>
            <w:shd w:val="clear" w:color="auto" w:fill="C6E5F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40" w:right="20" w:hanging="332"/>
        <w:spacing w:after="0" w:line="235" w:lineRule="auto"/>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Stock awards granted as a component of the 2022 and 2021 annual incentive awards are reported in this column as 2022 and 2021 compensation, respectively, to reflect the applicable service period for such awards. Amounts represent the aggregate grant date fair value of awards computed in accordance with ASC Topic 718. The assumptions used in the valuation of these awards are discussed in Notes 15 to our consolidated financial statements. For a discussion of the material terms of each outstanding stock award, see “Outstanding Equity Awards at Year Ended December 31, 2022.”</w:t>
      </w:r>
    </w:p>
    <w:p>
      <w:pPr>
        <w:spacing w:after="0" w:line="117" w:lineRule="exact"/>
        <w:rPr>
          <w:rFonts w:ascii="Arial" w:cs="Arial" w:eastAsia="Arial" w:hAnsi="Arial"/>
          <w:sz w:val="15"/>
          <w:szCs w:val="15"/>
          <w:color w:val="auto"/>
        </w:rPr>
      </w:pPr>
    </w:p>
    <w:p>
      <w:pPr>
        <w:ind w:left="840" w:hanging="332"/>
        <w:spacing w:after="0"/>
        <w:tabs>
          <w:tab w:leader="none" w:pos="8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our matching employer contributions under our 401(k) Plan and the imputed tax of key person insurance.</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2020 Stock Incentive Plan</w:t>
      </w:r>
    </w:p>
    <w:p>
      <w:pPr>
        <w:spacing w:after="0" w:line="175" w:lineRule="exact"/>
        <w:rPr>
          <w:sz w:val="20"/>
          <w:szCs w:val="20"/>
          <w:color w:val="auto"/>
        </w:rPr>
      </w:pPr>
    </w:p>
    <w:p>
      <w:pPr>
        <w:jc w:val="both"/>
        <w:ind w:left="180" w:right="740" w:firstLine="648"/>
        <w:spacing w:after="0" w:line="271" w:lineRule="auto"/>
        <w:rPr>
          <w:sz w:val="20"/>
          <w:szCs w:val="20"/>
          <w:color w:val="auto"/>
        </w:rPr>
      </w:pPr>
      <w:r>
        <w:rPr>
          <w:rFonts w:ascii="Arial" w:cs="Arial" w:eastAsia="Arial" w:hAnsi="Arial"/>
          <w:sz w:val="16"/>
          <w:szCs w:val="16"/>
          <w:color w:val="auto"/>
        </w:rPr>
        <w:t>On November 4, 2020, our Board adopted the Reading International, Inc. 2020 Stock Incentive Plan, and recommended that the adoption of the 2020 Stock Incentive Plan be approved by our stockholders as required under listing rules of The Nasdaq Capital Market on which our shares are listed for trading. The terms of the 2020 Stock Incentive Plan are substantially similar to the terms of the 2010 Stock Incentive Plan (“2010 Stock Incentive Plan”), as amended by the following amendments: (i) Amendment to the 2010 Stock Incentive Plan effective May 19, 2011;</w:t>
      </w:r>
    </w:p>
    <w:p>
      <w:pPr>
        <w:spacing w:after="0" w:line="3" w:lineRule="exact"/>
        <w:rPr>
          <w:sz w:val="20"/>
          <w:szCs w:val="20"/>
          <w:color w:val="auto"/>
        </w:rPr>
      </w:pPr>
    </w:p>
    <w:p>
      <w:pPr>
        <w:jc w:val="both"/>
        <w:ind w:left="180" w:right="740" w:firstLine="4"/>
        <w:spacing w:after="0" w:line="259" w:lineRule="auto"/>
        <w:tabs>
          <w:tab w:leader="none" w:pos="461"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First Amendment to the 2010 Stock Incentive Plan effective March 10, 2016; (iii) Second Amendment to the 2010 Stock Incentive Plan effective as of April 26, 2017; and (iv) amendment to the 2010 Stock Incentive Plan effective as of November 7, 2017. The 2020 Stock Incentive Plan initially authorizes an aggregate of 1,250,000 shares of Class A Stock and 200,000 shares of Class B Stock for issuance under the plan, subject to adjustment. The 1,250,000 shares of Class A Stock and 200,000 shares of Class B Stock are in line with the amount of shares of Class A Stock and Class B Stock, respectively, that were authorized under the 2010 Stock</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83755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320"/>
          </w:cols>
          <w:pgMar w:left="1440" w:top="472" w:right="1139" w:bottom="1440" w:gutter="0" w:footer="0" w:header="0"/>
        </w:sectPr>
      </w:pPr>
    </w:p>
    <w:bookmarkStart w:id="46" w:name="page47"/>
    <w:bookmarkEnd w:id="46"/>
    <w:p>
      <w:pPr>
        <w:jc w:val="both"/>
        <w:ind w:left="180" w:right="439"/>
        <w:spacing w:after="0" w:line="283" w:lineRule="auto"/>
        <w:rPr>
          <w:sz w:val="20"/>
          <w:szCs w:val="20"/>
          <w:color w:val="auto"/>
        </w:rPr>
      </w:pPr>
      <w:r>
        <w:rPr>
          <w:rFonts w:ascii="Arial" w:cs="Arial" w:eastAsia="Arial" w:hAnsi="Arial"/>
          <w:sz w:val="16"/>
          <w:szCs w:val="16"/>
          <w:color w:val="auto"/>
        </w:rPr>
        <w:t>Incentive Plan. In addition, to the extent any awards outstanding under the 2010 Stock Incentive Plan as of November 3, 2020 are subsequently forfeited or any related shares are repurchased, a corresponding number of shares are automatically returned for issuance under the 2020 Stock Incentive Plan, thus resulting in an increase in the number of shares available for issuance under the 2020 Stock Incentive Plan (up to an additional 42,589 shares of Class A Stock). As of June 30, 2023, 629,124 shares had been returned for issuance under the 2020 Stock Incentive Plan for a total of 278,193 shares available for issuance as of that date.</w:t>
      </w:r>
    </w:p>
    <w:p>
      <w:pPr>
        <w:spacing w:after="0" w:line="156" w:lineRule="exact"/>
        <w:rPr>
          <w:sz w:val="20"/>
          <w:szCs w:val="20"/>
          <w:color w:val="auto"/>
        </w:rPr>
      </w:pPr>
    </w:p>
    <w:p>
      <w:pPr>
        <w:jc w:val="both"/>
        <w:ind w:left="180" w:right="439" w:firstLine="648"/>
        <w:spacing w:after="0" w:line="279" w:lineRule="auto"/>
        <w:rPr>
          <w:sz w:val="20"/>
          <w:szCs w:val="20"/>
          <w:color w:val="auto"/>
        </w:rPr>
      </w:pPr>
      <w:r>
        <w:rPr>
          <w:rFonts w:ascii="Arial" w:cs="Arial" w:eastAsia="Arial" w:hAnsi="Arial"/>
          <w:sz w:val="16"/>
          <w:szCs w:val="16"/>
          <w:color w:val="auto"/>
        </w:rPr>
        <w:t>Our Board adopted the 2020 Stock Incentive Plan to provide a means by which employees, directors and consultants of Reading and our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Incentive Plan.</w:t>
      </w:r>
    </w:p>
    <w:p>
      <w:pPr>
        <w:spacing w:after="0" w:line="161" w:lineRule="exact"/>
        <w:rPr>
          <w:sz w:val="20"/>
          <w:szCs w:val="20"/>
          <w:color w:val="auto"/>
        </w:rPr>
      </w:pPr>
    </w:p>
    <w:p>
      <w:pPr>
        <w:jc w:val="both"/>
        <w:ind w:left="180" w:right="439" w:firstLine="648"/>
        <w:spacing w:after="0" w:line="260" w:lineRule="auto"/>
        <w:rPr>
          <w:sz w:val="20"/>
          <w:szCs w:val="20"/>
          <w:color w:val="auto"/>
        </w:rPr>
      </w:pPr>
      <w:r>
        <w:rPr>
          <w:rFonts w:ascii="Arial" w:cs="Arial" w:eastAsia="Arial" w:hAnsi="Arial"/>
          <w:sz w:val="17"/>
          <w:szCs w:val="17"/>
          <w:color w:val="auto"/>
        </w:rPr>
        <w:t>Our Board delegated administration of the 2020 Stock Incentive Plan to our Compensation Committee, and has delegated to our Chairperson the authority to grant awards to eligible persons who are not then subject to Section 16 of the Securities and Exchange Act of 1934 and are not “covered employees” as defined in the 2020 Stock Incentive Plan. With such delegated authority, our Compensation Committee has the power to construe and interpret the 2020 Stock Incentive Plan and to determine the persons to whom and the dates on which awards will be granted, what types or combinations of types of awards will be granted, the number of shares of Common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w:t>
      </w:r>
    </w:p>
    <w:p>
      <w:pPr>
        <w:spacing w:after="0" w:line="160" w:lineRule="exact"/>
        <w:rPr>
          <w:sz w:val="20"/>
          <w:szCs w:val="20"/>
          <w:color w:val="auto"/>
        </w:rPr>
      </w:pPr>
    </w:p>
    <w:p>
      <w:pPr>
        <w:jc w:val="both"/>
        <w:ind w:left="180" w:right="439" w:firstLine="648"/>
        <w:spacing w:after="0" w:line="244" w:lineRule="auto"/>
        <w:rPr>
          <w:sz w:val="20"/>
          <w:szCs w:val="20"/>
          <w:color w:val="auto"/>
        </w:rPr>
      </w:pPr>
      <w:r>
        <w:rPr>
          <w:rFonts w:ascii="Arial" w:cs="Arial" w:eastAsia="Arial" w:hAnsi="Arial"/>
          <w:sz w:val="18"/>
          <w:szCs w:val="18"/>
          <w:color w:val="auto"/>
        </w:rPr>
        <w:t>In the event of a “Corporate Transaction” (as defined in the 2020 Stock Incentive Plan), any surviving or acquiring corporation may assume awards outstanding under the 2020 Stock Incentive Plan or may substitute similar awards. Unless the stock award agreement provides otherwise, in the event any surviving or acquiring corporation does not assume such awards or substitute similar awards, then the awards will terminate if not exercised at or prior to such event. The 2020 Stock Incentive Plan provides that, in the event of a dissolution or liquidation of our Company, all outstanding awards under the 2020 Stock Incentive Plan will terminate prior to such event and shares of bonus stock and restricted stock subject to our Company’s repurchase option or to forfeiture may be repurchased by our Company or forfeited, notwithstanding whether the holder of such stock is still providing services to our Company.</w:t>
      </w:r>
    </w:p>
    <w:p>
      <w:pPr>
        <w:spacing w:after="0" w:line="172" w:lineRule="exact"/>
        <w:rPr>
          <w:sz w:val="20"/>
          <w:szCs w:val="20"/>
          <w:color w:val="auto"/>
        </w:rPr>
      </w:pPr>
    </w:p>
    <w:p>
      <w:pPr>
        <w:jc w:val="both"/>
        <w:ind w:left="180" w:right="439" w:firstLine="648"/>
        <w:spacing w:after="0" w:line="249" w:lineRule="auto"/>
        <w:rPr>
          <w:sz w:val="20"/>
          <w:szCs w:val="20"/>
          <w:color w:val="auto"/>
        </w:rPr>
      </w:pPr>
      <w:r>
        <w:rPr>
          <w:rFonts w:ascii="Arial" w:cs="Arial" w:eastAsia="Arial" w:hAnsi="Arial"/>
          <w:sz w:val="18"/>
          <w:szCs w:val="18"/>
          <w:color w:val="auto"/>
        </w:rPr>
        <w:t>All stock awards issued under the 2020 Stock Incentive Plan are subject to reduction, cancellation, forfeiture and recoupment to the extent necessary to comply with applicable law or the Nasdaq Listing Rules. An acceptance of a stock award under the 2020 Stock Incentive Plan is an agreement by the participant to be bound by any such laws or rules.</w:t>
      </w:r>
    </w:p>
    <w:p>
      <w:pPr>
        <w:spacing w:after="0" w:line="181" w:lineRule="exact"/>
        <w:rPr>
          <w:sz w:val="20"/>
          <w:szCs w:val="20"/>
          <w:color w:val="auto"/>
        </w:rPr>
      </w:pPr>
    </w:p>
    <w:p>
      <w:pPr>
        <w:jc w:val="both"/>
        <w:ind w:left="180" w:right="439" w:firstLine="648"/>
        <w:spacing w:after="0" w:line="291" w:lineRule="auto"/>
        <w:rPr>
          <w:sz w:val="20"/>
          <w:szCs w:val="20"/>
          <w:color w:val="auto"/>
        </w:rPr>
      </w:pPr>
      <w:r>
        <w:rPr>
          <w:rFonts w:ascii="Arial" w:cs="Arial" w:eastAsia="Arial" w:hAnsi="Arial"/>
          <w:sz w:val="17"/>
          <w:szCs w:val="17"/>
          <w:color w:val="auto"/>
        </w:rPr>
        <w:t>For a more detailed summary of our 2020 Stock Incentive Plan, and for a copy of the entire 2020 Stock Incentive Plan, see our “SEC Schedule 14A, Proxy Statement”, filed with the SEC on November 6, 2020.</w:t>
      </w:r>
    </w:p>
    <w:p>
      <w:pPr>
        <w:spacing w:after="0" w:line="14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b w:val="1"/>
          <w:bCs w:val="1"/>
          <w:color w:val="auto"/>
        </w:rPr>
        <w:t>Outstanding Equity Awards</w:t>
      </w:r>
    </w:p>
    <w:p>
      <w:pPr>
        <w:spacing w:after="0" w:line="189" w:lineRule="exact"/>
        <w:rPr>
          <w:sz w:val="20"/>
          <w:szCs w:val="20"/>
          <w:color w:val="auto"/>
        </w:rPr>
      </w:pPr>
    </w:p>
    <w:p>
      <w:pPr>
        <w:ind w:left="180" w:right="780" w:firstLine="648"/>
        <w:spacing w:after="0" w:line="235" w:lineRule="auto"/>
        <w:rPr>
          <w:sz w:val="20"/>
          <w:szCs w:val="20"/>
          <w:color w:val="auto"/>
        </w:rPr>
      </w:pPr>
      <w:r>
        <w:rPr>
          <w:rFonts w:ascii="Arial" w:cs="Arial" w:eastAsia="Arial" w:hAnsi="Arial"/>
          <w:sz w:val="18"/>
          <w:szCs w:val="18"/>
          <w:color w:val="auto"/>
        </w:rPr>
        <w:t>The following table sets forth outstanding equity awards held by our NEOs as of December 31, 2022 under our 2020 Stock Incentive Plan and its predecessor:</w:t>
      </w:r>
    </w:p>
    <w:p>
      <w:pPr>
        <w:spacing w:after="0" w:line="142" w:lineRule="exact"/>
        <w:rPr>
          <w:sz w:val="20"/>
          <w:szCs w:val="20"/>
          <w:color w:val="auto"/>
        </w:rPr>
      </w:pPr>
    </w:p>
    <w:tbl>
      <w:tblPr>
        <w:tblLayout w:type="fixed"/>
        <w:tblInd w:w="190" w:type="dxa"/>
        <w:tblCellMar>
          <w:top w:w="0" w:type="dxa"/>
          <w:left w:w="0" w:type="dxa"/>
          <w:bottom w:w="0" w:type="dxa"/>
          <w:right w:w="0" w:type="dxa"/>
        </w:tblCellMar>
      </w:tblPr>
      <w:tr>
        <w:trPr>
          <w:trHeight w:val="351"/>
        </w:trPr>
        <w:tc>
          <w:tcPr>
            <w:tcW w:w="180" w:type="dxa"/>
            <w:vAlign w:val="bottom"/>
            <w:tcBorders>
              <w:top w:val="single" w:sz="8" w:color="auto"/>
              <w:left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gridSpan w:val="2"/>
          </w:tcPr>
          <w:p>
            <w:pPr>
              <w:jc w:val="right"/>
              <w:ind w:right="213"/>
              <w:spacing w:after="0"/>
              <w:rPr>
                <w:sz w:val="20"/>
                <w:szCs w:val="20"/>
                <w:color w:val="auto"/>
              </w:rPr>
            </w:pPr>
            <w:r>
              <w:rPr>
                <w:rFonts w:ascii="Arial" w:cs="Arial" w:eastAsia="Arial" w:hAnsi="Arial"/>
                <w:sz w:val="18"/>
                <w:szCs w:val="18"/>
                <w:b w:val="1"/>
                <w:bCs w:val="1"/>
                <w:color w:val="auto"/>
              </w:rPr>
              <w:t>Stock Options</w:t>
            </w:r>
          </w:p>
        </w:tc>
        <w:tc>
          <w:tcPr>
            <w:tcW w:w="70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540" w:type="dxa"/>
            <w:vAlign w:val="bottom"/>
            <w:tcBorders>
              <w:top w:val="single" w:sz="8" w:color="auto"/>
              <w:right w:val="single" w:sz="8" w:color="auto"/>
            </w:tcBorders>
            <w:gridSpan w:val="5"/>
          </w:tcPr>
          <w:p>
            <w:pPr>
              <w:jc w:val="right"/>
              <w:ind w:right="633"/>
              <w:spacing w:after="0"/>
              <w:rPr>
                <w:sz w:val="20"/>
                <w:szCs w:val="20"/>
                <w:color w:val="auto"/>
              </w:rPr>
            </w:pPr>
            <w:r>
              <w:rPr>
                <w:rFonts w:ascii="Arial" w:cs="Arial" w:eastAsia="Arial" w:hAnsi="Arial"/>
                <w:sz w:val="18"/>
                <w:szCs w:val="18"/>
                <w:b w:val="1"/>
                <w:bCs w:val="1"/>
                <w:color w:val="auto"/>
                <w:w w:val="93"/>
              </w:rPr>
              <w:t>Restricted Stock Units</w:t>
            </w:r>
          </w:p>
        </w:tc>
        <w:tc>
          <w:tcPr>
            <w:tcW w:w="0" w:type="dxa"/>
            <w:vAlign w:val="bottom"/>
          </w:tcPr>
          <w:p>
            <w:pPr>
              <w:spacing w:after="0"/>
              <w:rPr>
                <w:sz w:val="1"/>
                <w:szCs w:val="1"/>
                <w:color w:val="auto"/>
              </w:rPr>
            </w:pPr>
          </w:p>
        </w:tc>
      </w:tr>
      <w:tr>
        <w:trPr>
          <w:trHeight w:val="108"/>
        </w:trPr>
        <w:tc>
          <w:tcPr>
            <w:tcW w:w="180" w:type="dxa"/>
            <w:vAlign w:val="bottom"/>
            <w:tcBorders>
              <w:left w:val="single" w:sz="8" w:color="auto"/>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9"/>
        </w:trPr>
        <w:tc>
          <w:tcPr>
            <w:tcW w:w="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No. of</w:t>
            </w:r>
          </w:p>
        </w:tc>
        <w:tc>
          <w:tcPr>
            <w:tcW w:w="11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No. Of</w:t>
            </w:r>
          </w:p>
        </w:tc>
        <w:tc>
          <w:tcPr>
            <w:tcW w:w="7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00" w:type="dxa"/>
            <w:vAlign w:val="bottom"/>
            <w:vMerge w:val="restart"/>
          </w:tcPr>
          <w:p>
            <w:pPr>
              <w:jc w:val="center"/>
              <w:ind w:left="33"/>
              <w:spacing w:after="0"/>
              <w:rPr>
                <w:sz w:val="20"/>
                <w:szCs w:val="20"/>
                <w:color w:val="auto"/>
              </w:rPr>
            </w:pPr>
            <w:r>
              <w:rPr>
                <w:rFonts w:ascii="Arial" w:cs="Arial" w:eastAsia="Arial" w:hAnsi="Arial"/>
                <w:sz w:val="17"/>
                <w:szCs w:val="17"/>
                <w:b w:val="1"/>
                <w:bCs w:val="1"/>
                <w:color w:val="auto"/>
                <w:w w:val="91"/>
              </w:rPr>
              <w:t>No. of</w:t>
            </w:r>
          </w:p>
        </w:tc>
        <w:tc>
          <w:tcPr>
            <w:tcW w:w="14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No. of</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Market or</w:t>
            </w:r>
          </w:p>
        </w:tc>
        <w:tc>
          <w:tcPr>
            <w:tcW w:w="0" w:type="dxa"/>
            <w:vAlign w:val="bottom"/>
          </w:tcPr>
          <w:p>
            <w:pPr>
              <w:spacing w:after="0"/>
              <w:rPr>
                <w:sz w:val="1"/>
                <w:szCs w:val="1"/>
                <w:color w:val="auto"/>
              </w:rPr>
            </w:pPr>
          </w:p>
        </w:tc>
      </w:tr>
      <w:tr>
        <w:trPr>
          <w:trHeight w:val="81"/>
        </w:trPr>
        <w:tc>
          <w:tcPr>
            <w:tcW w:w="1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No. of Shares</w:t>
            </w:r>
          </w:p>
        </w:tc>
        <w:tc>
          <w:tcPr>
            <w:tcW w:w="110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rPr>
              <w:t>Market</w:t>
            </w:r>
          </w:p>
        </w:tc>
        <w:tc>
          <w:tcPr>
            <w:tcW w:w="8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Payout</w:t>
            </w:r>
          </w:p>
        </w:tc>
        <w:tc>
          <w:tcPr>
            <w:tcW w:w="0" w:type="dxa"/>
            <w:vAlign w:val="bottom"/>
          </w:tcPr>
          <w:p>
            <w:pPr>
              <w:spacing w:after="0"/>
              <w:rPr>
                <w:sz w:val="1"/>
                <w:szCs w:val="1"/>
                <w:color w:val="auto"/>
              </w:rPr>
            </w:pPr>
          </w:p>
        </w:tc>
      </w:tr>
      <w:tr>
        <w:trPr>
          <w:trHeight w:val="176"/>
        </w:trPr>
        <w:tc>
          <w:tcPr>
            <w:tcW w:w="180" w:type="dxa"/>
            <w:vAlign w:val="bottom"/>
            <w:tcBorders>
              <w:lef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1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w w:val="92"/>
              </w:rPr>
              <w:t>Common</w:t>
            </w:r>
          </w:p>
        </w:tc>
        <w:tc>
          <w:tcPr>
            <w:tcW w:w="70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w w:val="86"/>
              </w:rPr>
              <w:t>Shares or</w:t>
            </w:r>
          </w:p>
        </w:tc>
        <w:tc>
          <w:tcPr>
            <w:tcW w:w="820" w:type="dxa"/>
            <w:vAlign w:val="bottom"/>
            <w:tcBorders>
              <w:right w:val="single" w:sz="8" w:color="auto"/>
            </w:tcBorders>
            <w:gridSpan w:val="2"/>
            <w:vMerge w:val="continue"/>
          </w:tcPr>
          <w:p>
            <w:pPr>
              <w:spacing w:after="0"/>
              <w:rPr>
                <w:sz w:val="15"/>
                <w:szCs w:val="15"/>
                <w:color w:val="auto"/>
              </w:rPr>
            </w:pPr>
          </w:p>
        </w:tc>
        <w:tc>
          <w:tcPr>
            <w:tcW w:w="8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w w:val="91"/>
              </w:rPr>
              <w:t>Unearned</w:t>
            </w:r>
          </w:p>
        </w:tc>
        <w:tc>
          <w:tcPr>
            <w:tcW w:w="7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 w:type="dxa"/>
            <w:vAlign w:val="bottom"/>
            <w:tcBorders>
              <w:lef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jc w:val="center"/>
              <w:spacing w:after="0" w:line="68" w:lineRule="exact"/>
              <w:rPr>
                <w:sz w:val="20"/>
                <w:szCs w:val="20"/>
                <w:color w:val="auto"/>
              </w:rPr>
            </w:pPr>
            <w:r>
              <w:rPr>
                <w:rFonts w:ascii="Arial" w:cs="Arial" w:eastAsia="Arial" w:hAnsi="Arial"/>
                <w:sz w:val="7"/>
                <w:szCs w:val="7"/>
                <w:b w:val="1"/>
                <w:bCs w:val="1"/>
                <w:color w:val="auto"/>
              </w:rPr>
              <w:t>Shares</w:t>
            </w: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92"/>
              </w:rPr>
              <w:t>Underlying</w:t>
            </w: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84"/>
              </w:rPr>
              <w:t>Shares</w:t>
            </w:r>
          </w:p>
        </w:tc>
        <w:tc>
          <w:tcPr>
            <w:tcW w:w="7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91"/>
              </w:rPr>
              <w:t>Option</w:t>
            </w:r>
          </w:p>
        </w:tc>
        <w:tc>
          <w:tcPr>
            <w:tcW w:w="740" w:type="dxa"/>
            <w:vAlign w:val="bottom"/>
            <w:tcBorders>
              <w:right w:val="single" w:sz="8" w:color="auto"/>
            </w:tcBorders>
            <w:gridSpan w:val="2"/>
            <w:vMerge w:val="restart"/>
          </w:tcPr>
          <w:p>
            <w:pPr>
              <w:jc w:val="center"/>
              <w:spacing w:after="0" w:line="149" w:lineRule="exact"/>
              <w:rPr>
                <w:sz w:val="20"/>
                <w:szCs w:val="20"/>
                <w:color w:val="auto"/>
              </w:rPr>
            </w:pPr>
            <w:r>
              <w:rPr>
                <w:rFonts w:ascii="Arial" w:cs="Arial" w:eastAsia="Arial" w:hAnsi="Arial"/>
                <w:sz w:val="17"/>
                <w:szCs w:val="17"/>
                <w:b w:val="1"/>
                <w:bCs w:val="1"/>
                <w:color w:val="auto"/>
                <w:w w:val="88"/>
              </w:rPr>
              <w:t>Units of</w:t>
            </w:r>
          </w:p>
        </w:tc>
        <w:tc>
          <w:tcPr>
            <w:tcW w:w="820" w:type="dxa"/>
            <w:vAlign w:val="bottom"/>
            <w:tcBorders>
              <w:right w:val="single" w:sz="8" w:color="auto"/>
            </w:tcBorders>
            <w:gridSpan w:val="2"/>
            <w:vMerge w:val="restart"/>
          </w:tcPr>
          <w:p>
            <w:pPr>
              <w:jc w:val="center"/>
              <w:spacing w:after="0" w:line="149" w:lineRule="exact"/>
              <w:rPr>
                <w:sz w:val="20"/>
                <w:szCs w:val="20"/>
                <w:color w:val="auto"/>
              </w:rPr>
            </w:pPr>
            <w:r>
              <w:rPr>
                <w:rFonts w:ascii="Arial" w:cs="Arial" w:eastAsia="Arial" w:hAnsi="Arial"/>
                <w:sz w:val="17"/>
                <w:szCs w:val="17"/>
                <w:b w:val="1"/>
                <w:bCs w:val="1"/>
                <w:color w:val="auto"/>
                <w:w w:val="90"/>
              </w:rPr>
              <w:t>Value of</w:t>
            </w:r>
          </w:p>
        </w:tc>
        <w:tc>
          <w:tcPr>
            <w:tcW w:w="8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92"/>
              </w:rPr>
              <w:t>Common</w:t>
            </w:r>
          </w:p>
        </w:tc>
        <w:tc>
          <w:tcPr>
            <w:tcW w:w="780" w:type="dxa"/>
            <w:vAlign w:val="bottom"/>
            <w:tcBorders>
              <w:right w:val="single" w:sz="8" w:color="auto"/>
            </w:tcBorders>
          </w:tcPr>
          <w:p>
            <w:pPr>
              <w:jc w:val="center"/>
              <w:spacing w:after="0" w:line="68" w:lineRule="exact"/>
              <w:rPr>
                <w:sz w:val="20"/>
                <w:szCs w:val="20"/>
                <w:color w:val="auto"/>
              </w:rPr>
            </w:pPr>
            <w:r>
              <w:rPr>
                <w:rFonts w:ascii="Arial" w:cs="Arial" w:eastAsia="Arial" w:hAnsi="Arial"/>
                <w:sz w:val="7"/>
                <w:szCs w:val="7"/>
                <w:b w:val="1"/>
                <w:bCs w:val="1"/>
                <w:color w:val="auto"/>
              </w:rPr>
              <w:t>Value of</w:t>
            </w:r>
          </w:p>
        </w:tc>
        <w:tc>
          <w:tcPr>
            <w:tcW w:w="0" w:type="dxa"/>
            <w:vAlign w:val="bottom"/>
          </w:tcPr>
          <w:p>
            <w:pPr>
              <w:spacing w:after="0"/>
              <w:rPr>
                <w:sz w:val="1"/>
                <w:szCs w:val="1"/>
                <w:color w:val="auto"/>
              </w:rPr>
            </w:pPr>
          </w:p>
        </w:tc>
      </w:tr>
      <w:tr>
        <w:trPr>
          <w:trHeight w:val="81"/>
        </w:trPr>
        <w:tc>
          <w:tcPr>
            <w:tcW w:w="1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7"/>
                <w:szCs w:val="17"/>
                <w:b w:val="1"/>
                <w:bCs w:val="1"/>
                <w:color w:val="auto"/>
                <w:w w:val="92"/>
              </w:rPr>
              <w:t>Underlying</w:t>
            </w:r>
          </w:p>
        </w:tc>
        <w:tc>
          <w:tcPr>
            <w:tcW w:w="112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gridSpan w:val="2"/>
            <w:vMerge w:val="continue"/>
          </w:tcPr>
          <w:p>
            <w:pPr>
              <w:spacing w:after="0"/>
              <w:rPr>
                <w:sz w:val="7"/>
                <w:szCs w:val="7"/>
                <w:color w:val="auto"/>
              </w:rPr>
            </w:pPr>
          </w:p>
        </w:tc>
        <w:tc>
          <w:tcPr>
            <w:tcW w:w="820" w:type="dxa"/>
            <w:vAlign w:val="bottom"/>
            <w:tcBorders>
              <w:right w:val="single" w:sz="8" w:color="auto"/>
            </w:tcBorders>
            <w:gridSpan w:val="2"/>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7"/>
                <w:szCs w:val="17"/>
                <w:b w:val="1"/>
                <w:bCs w:val="1"/>
                <w:color w:val="auto"/>
                <w:w w:val="91"/>
              </w:rPr>
              <w:t>Unearned</w:t>
            </w:r>
          </w:p>
        </w:tc>
        <w:tc>
          <w:tcPr>
            <w:tcW w:w="0" w:type="dxa"/>
            <w:vAlign w:val="bottom"/>
          </w:tcPr>
          <w:p>
            <w:pPr>
              <w:spacing w:after="0"/>
              <w:rPr>
                <w:sz w:val="1"/>
                <w:szCs w:val="1"/>
                <w:color w:val="auto"/>
              </w:rPr>
            </w:pPr>
          </w:p>
        </w:tc>
      </w:tr>
      <w:tr>
        <w:trPr>
          <w:trHeight w:val="81"/>
        </w:trPr>
        <w:tc>
          <w:tcPr>
            <w:tcW w:w="1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7"/>
                <w:szCs w:val="17"/>
                <w:b w:val="1"/>
                <w:bCs w:val="1"/>
                <w:color w:val="auto"/>
                <w:w w:val="88"/>
              </w:rPr>
              <w:t>Unexercised</w:t>
            </w:r>
          </w:p>
        </w:tc>
        <w:tc>
          <w:tcPr>
            <w:tcW w:w="11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7"/>
                <w:szCs w:val="17"/>
                <w:b w:val="1"/>
                <w:bCs w:val="1"/>
                <w:color w:val="auto"/>
                <w:w w:val="94"/>
              </w:rPr>
              <w:t>Underlying</w:t>
            </w:r>
          </w:p>
        </w:tc>
        <w:tc>
          <w:tcPr>
            <w:tcW w:w="7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7"/>
                <w:szCs w:val="17"/>
                <w:b w:val="1"/>
                <w:bCs w:val="1"/>
                <w:color w:val="auto"/>
                <w:w w:val="93"/>
              </w:rPr>
              <w:t>Expiration</w:t>
            </w:r>
          </w:p>
        </w:tc>
        <w:tc>
          <w:tcPr>
            <w:tcW w:w="600" w:type="dxa"/>
            <w:vAlign w:val="bottom"/>
            <w:vMerge w:val="restart"/>
          </w:tcPr>
          <w:p>
            <w:pPr>
              <w:jc w:val="center"/>
              <w:ind w:left="33"/>
              <w:spacing w:after="0" w:line="162" w:lineRule="exact"/>
              <w:rPr>
                <w:sz w:val="20"/>
                <w:szCs w:val="20"/>
                <w:color w:val="auto"/>
              </w:rPr>
            </w:pPr>
            <w:r>
              <w:rPr>
                <w:rFonts w:ascii="Arial" w:cs="Arial" w:eastAsia="Arial" w:hAnsi="Arial"/>
                <w:sz w:val="17"/>
                <w:szCs w:val="17"/>
                <w:b w:val="1"/>
                <w:bCs w:val="1"/>
                <w:color w:val="auto"/>
                <w:w w:val="86"/>
              </w:rPr>
              <w:t>Stock</w:t>
            </w:r>
          </w:p>
        </w:tc>
        <w:tc>
          <w:tcPr>
            <w:tcW w:w="1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gridSpan w:val="2"/>
            <w:vMerge w:val="restart"/>
          </w:tcPr>
          <w:p>
            <w:pPr>
              <w:jc w:val="center"/>
              <w:spacing w:after="0" w:line="162" w:lineRule="exact"/>
              <w:rPr>
                <w:sz w:val="20"/>
                <w:szCs w:val="20"/>
                <w:color w:val="auto"/>
              </w:rPr>
            </w:pPr>
            <w:r>
              <w:rPr>
                <w:rFonts w:ascii="Arial" w:cs="Arial" w:eastAsia="Arial" w:hAnsi="Arial"/>
                <w:sz w:val="17"/>
                <w:szCs w:val="17"/>
                <w:b w:val="1"/>
                <w:bCs w:val="1"/>
                <w:color w:val="auto"/>
                <w:w w:val="86"/>
              </w:rPr>
              <w:t>Shares or</w:t>
            </w:r>
          </w:p>
        </w:tc>
        <w:tc>
          <w:tcPr>
            <w:tcW w:w="8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7"/>
                <w:szCs w:val="17"/>
                <w:b w:val="1"/>
                <w:bCs w:val="1"/>
                <w:color w:val="auto"/>
                <w:w w:val="84"/>
              </w:rPr>
              <w:t>Shares</w:t>
            </w:r>
          </w:p>
        </w:tc>
        <w:tc>
          <w:tcPr>
            <w:tcW w:w="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7"/>
                <w:szCs w:val="17"/>
                <w:b w:val="1"/>
                <w:bCs w:val="1"/>
                <w:color w:val="auto"/>
                <w:w w:val="88"/>
              </w:rPr>
              <w:t>Unexercised</w:t>
            </w:r>
          </w:p>
        </w:tc>
        <w:tc>
          <w:tcPr>
            <w:tcW w:w="112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gridSpan w:val="2"/>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7"/>
                <w:szCs w:val="17"/>
                <w:b w:val="1"/>
                <w:bCs w:val="1"/>
                <w:color w:val="auto"/>
                <w:w w:val="88"/>
              </w:rPr>
              <w:t>Shares</w:t>
            </w:r>
          </w:p>
        </w:tc>
        <w:tc>
          <w:tcPr>
            <w:tcW w:w="0" w:type="dxa"/>
            <w:vAlign w:val="bottom"/>
          </w:tcPr>
          <w:p>
            <w:pPr>
              <w:spacing w:after="0"/>
              <w:rPr>
                <w:sz w:val="1"/>
                <w:szCs w:val="1"/>
                <w:color w:val="auto"/>
              </w:rPr>
            </w:pPr>
          </w:p>
        </w:tc>
      </w:tr>
      <w:tr>
        <w:trPr>
          <w:trHeight w:val="81"/>
        </w:trPr>
        <w:tc>
          <w:tcPr>
            <w:tcW w:w="1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Options</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Unexercised</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Option</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Date</w:t>
            </w:r>
          </w:p>
        </w:tc>
        <w:tc>
          <w:tcPr>
            <w:tcW w:w="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94"/>
              </w:rPr>
              <w:t>that Have</w:t>
            </w:r>
          </w:p>
        </w:tc>
        <w:tc>
          <w:tcPr>
            <w:tcW w:w="8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91"/>
              </w:rPr>
              <w:t>Units that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91"/>
              </w:rPr>
              <w:t>That Have</w:t>
            </w:r>
          </w:p>
        </w:tc>
        <w:tc>
          <w:tcPr>
            <w:tcW w:w="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7"/>
                <w:szCs w:val="17"/>
                <w:b w:val="1"/>
                <w:bCs w:val="1"/>
                <w:color w:val="auto"/>
                <w:w w:val="90"/>
              </w:rPr>
              <w:t>Options</w:t>
            </w:r>
          </w:p>
        </w:tc>
        <w:tc>
          <w:tcPr>
            <w:tcW w:w="11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7"/>
                <w:szCs w:val="17"/>
                <w:b w:val="1"/>
                <w:bCs w:val="1"/>
                <w:color w:val="auto"/>
                <w:w w:val="94"/>
              </w:rPr>
              <w:t>That</w:t>
            </w:r>
          </w:p>
        </w:tc>
        <w:tc>
          <w:tcPr>
            <w:tcW w:w="0" w:type="dxa"/>
            <w:vAlign w:val="bottom"/>
          </w:tcPr>
          <w:p>
            <w:pPr>
              <w:spacing w:after="0"/>
              <w:rPr>
                <w:sz w:val="1"/>
                <w:szCs w:val="1"/>
                <w:color w:val="auto"/>
              </w:rPr>
            </w:pPr>
          </w:p>
        </w:tc>
      </w:tr>
      <w:tr>
        <w:trPr>
          <w:trHeight w:val="81"/>
        </w:trPr>
        <w:tc>
          <w:tcPr>
            <w:tcW w:w="1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88"/>
              </w:rPr>
              <w:t>Exercisable</w:t>
            </w:r>
          </w:p>
        </w:tc>
        <w:tc>
          <w:tcPr>
            <w:tcW w:w="11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Unexercisable</w:t>
            </w:r>
          </w:p>
        </w:tc>
        <w:tc>
          <w:tcPr>
            <w:tcW w:w="11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Unearned</w:t>
            </w:r>
          </w:p>
        </w:tc>
        <w:tc>
          <w:tcPr>
            <w:tcW w:w="7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85"/>
              </w:rPr>
              <w:t>Exercise</w:t>
            </w:r>
          </w:p>
        </w:tc>
        <w:tc>
          <w:tcPr>
            <w:tcW w:w="800" w:type="dxa"/>
            <w:vAlign w:val="bottom"/>
            <w:tcBorders>
              <w:right w:val="single" w:sz="8" w:color="auto"/>
            </w:tcBorders>
          </w:tcPr>
          <w:p>
            <w:pPr>
              <w:spacing w:after="0"/>
              <w:rPr>
                <w:sz w:val="7"/>
                <w:szCs w:val="7"/>
                <w:color w:val="auto"/>
              </w:rPr>
            </w:pPr>
          </w:p>
        </w:tc>
        <w:tc>
          <w:tcPr>
            <w:tcW w:w="600" w:type="dxa"/>
            <w:vAlign w:val="bottom"/>
          </w:tcPr>
          <w:p>
            <w:pPr>
              <w:jc w:val="center"/>
              <w:ind w:left="33"/>
              <w:spacing w:after="0" w:line="81" w:lineRule="exact"/>
              <w:rPr>
                <w:sz w:val="20"/>
                <w:szCs w:val="20"/>
                <w:color w:val="auto"/>
              </w:rPr>
            </w:pPr>
            <w:r>
              <w:rPr>
                <w:rFonts w:ascii="Arial" w:cs="Arial" w:eastAsia="Arial" w:hAnsi="Arial"/>
                <w:sz w:val="9"/>
                <w:szCs w:val="9"/>
                <w:b w:val="1"/>
                <w:bCs w:val="1"/>
                <w:color w:val="auto"/>
              </w:rPr>
              <w:t>Not</w:t>
            </w:r>
          </w:p>
        </w:tc>
        <w:tc>
          <w:tcPr>
            <w:tcW w:w="1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gridSpan w:val="2"/>
          </w:tcPr>
          <w:p>
            <w:pPr>
              <w:jc w:val="center"/>
              <w:spacing w:after="0" w:line="81" w:lineRule="exact"/>
              <w:rPr>
                <w:sz w:val="20"/>
                <w:szCs w:val="20"/>
                <w:color w:val="auto"/>
              </w:rPr>
            </w:pPr>
            <w:r>
              <w:rPr>
                <w:rFonts w:ascii="Arial" w:cs="Arial" w:eastAsia="Arial" w:hAnsi="Arial"/>
                <w:sz w:val="9"/>
                <w:szCs w:val="9"/>
                <w:b w:val="1"/>
                <w:bCs w:val="1"/>
                <w:color w:val="auto"/>
              </w:rPr>
              <w:t>Have Not</w:t>
            </w:r>
          </w:p>
        </w:tc>
        <w:tc>
          <w:tcPr>
            <w:tcW w:w="8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Not</w:t>
            </w: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w w:val="94"/>
              </w:rPr>
              <w:t>Have Not</w:t>
            </w:r>
          </w:p>
        </w:tc>
        <w:tc>
          <w:tcPr>
            <w:tcW w:w="0" w:type="dxa"/>
            <w:vAlign w:val="bottom"/>
          </w:tcPr>
          <w:p>
            <w:pPr>
              <w:spacing w:after="0"/>
              <w:rPr>
                <w:sz w:val="1"/>
                <w:szCs w:val="1"/>
                <w:color w:val="auto"/>
              </w:rPr>
            </w:pPr>
          </w:p>
        </w:tc>
      </w:tr>
      <w:tr>
        <w:trPr>
          <w:trHeight w:val="68"/>
        </w:trPr>
        <w:tc>
          <w:tcPr>
            <w:tcW w:w="180" w:type="dxa"/>
            <w:vAlign w:val="bottom"/>
            <w:tcBorders>
              <w:lef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Options</w:t>
            </w:r>
          </w:p>
        </w:tc>
        <w:tc>
          <w:tcPr>
            <w:tcW w:w="7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00" w:type="dxa"/>
            <w:vAlign w:val="bottom"/>
            <w:vMerge w:val="restart"/>
          </w:tcPr>
          <w:p>
            <w:pPr>
              <w:jc w:val="center"/>
              <w:ind w:left="33"/>
              <w:spacing w:after="0"/>
              <w:rPr>
                <w:sz w:val="20"/>
                <w:szCs w:val="20"/>
                <w:color w:val="auto"/>
              </w:rPr>
            </w:pPr>
            <w:r>
              <w:rPr>
                <w:rFonts w:ascii="Arial" w:cs="Arial" w:eastAsia="Arial" w:hAnsi="Arial"/>
                <w:sz w:val="17"/>
                <w:szCs w:val="17"/>
                <w:b w:val="1"/>
                <w:bCs w:val="1"/>
                <w:color w:val="auto"/>
                <w:w w:val="86"/>
              </w:rPr>
              <w:t>Vested</w:t>
            </w:r>
          </w:p>
        </w:tc>
        <w:tc>
          <w:tcPr>
            <w:tcW w:w="140" w:type="dxa"/>
            <w:vAlign w:val="bottom"/>
            <w:tcBorders>
              <w:right w:val="single" w:sz="8" w:color="auto"/>
            </w:tcBorders>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7"/>
                <w:szCs w:val="17"/>
                <w:b w:val="1"/>
                <w:bCs w:val="1"/>
                <w:color w:val="auto"/>
                <w:w w:val="86"/>
              </w:rPr>
              <w:t>Vested</w:t>
            </w:r>
          </w:p>
        </w:tc>
        <w:tc>
          <w:tcPr>
            <w:tcW w:w="240" w:type="dxa"/>
            <w:vAlign w:val="bottom"/>
            <w:tcBorders>
              <w:right w:val="single" w:sz="8" w:color="auto"/>
            </w:tcBorders>
          </w:tcPr>
          <w:p>
            <w:pPr>
              <w:jc w:val="right"/>
              <w:ind w:right="29"/>
              <w:spacing w:after="0" w:line="68" w:lineRule="exact"/>
              <w:rPr>
                <w:sz w:val="20"/>
                <w:szCs w:val="20"/>
                <w:color w:val="auto"/>
              </w:rPr>
            </w:pPr>
            <w:r>
              <w:rPr>
                <w:rFonts w:ascii="Arial" w:cs="Arial" w:eastAsia="Arial" w:hAnsi="Arial"/>
                <w:sz w:val="7"/>
                <w:szCs w:val="7"/>
                <w:color w:val="auto"/>
              </w:rPr>
              <w:t>(1</w:t>
            </w:r>
            <w:r>
              <w:rPr>
                <w:rFonts w:ascii="Arial" w:cs="Arial" w:eastAsia="Arial" w:hAnsi="Arial"/>
                <w:sz w:val="7"/>
                <w:szCs w:val="7"/>
                <w:b w:val="1"/>
                <w:bCs w:val="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Vested</w:t>
            </w:r>
          </w:p>
        </w:tc>
        <w:tc>
          <w:tcPr>
            <w:tcW w:w="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3"/>
              </w:rPr>
              <w:t>Class</w:t>
            </w:r>
          </w:p>
        </w:tc>
        <w:tc>
          <w:tcPr>
            <w:tcW w:w="9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vMerge w:val="continue"/>
          </w:tcPr>
          <w:p>
            <w:pPr>
              <w:spacing w:after="0"/>
              <w:rPr>
                <w:sz w:val="19"/>
                <w:szCs w:val="19"/>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Price</w:t>
            </w:r>
          </w:p>
        </w:tc>
        <w:tc>
          <w:tcPr>
            <w:tcW w:w="800" w:type="dxa"/>
            <w:vAlign w:val="bottom"/>
            <w:tcBorders>
              <w:right w:val="single" w:sz="8" w:color="auto"/>
            </w:tcBorders>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580" w:type="dxa"/>
            <w:vAlign w:val="bottom"/>
            <w:vMerge w:val="continue"/>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vMerge w:val="continue"/>
          </w:tcPr>
          <w:p>
            <w:pPr>
              <w:spacing w:after="0"/>
              <w:rPr>
                <w:sz w:val="19"/>
                <w:szCs w:val="19"/>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Vested</w:t>
            </w:r>
          </w:p>
        </w:tc>
        <w:tc>
          <w:tcPr>
            <w:tcW w:w="0" w:type="dxa"/>
            <w:vAlign w:val="bottom"/>
          </w:tcPr>
          <w:p>
            <w:pPr>
              <w:spacing w:after="0"/>
              <w:rPr>
                <w:sz w:val="1"/>
                <w:szCs w:val="1"/>
                <w:color w:val="auto"/>
              </w:rPr>
            </w:pPr>
          </w:p>
        </w:tc>
      </w:tr>
      <w:tr>
        <w:trPr>
          <w:trHeight w:val="148"/>
        </w:trPr>
        <w:tc>
          <w:tcPr>
            <w:tcW w:w="180" w:type="dxa"/>
            <w:vAlign w:val="bottom"/>
            <w:tcBorders>
              <w:left w:val="single" w:sz="8" w:color="auto"/>
            </w:tcBorders>
          </w:tcPr>
          <w:p>
            <w:pPr>
              <w:spacing w:after="0"/>
              <w:rPr>
                <w:sz w:val="12"/>
                <w:szCs w:val="12"/>
                <w:color w:val="auto"/>
              </w:rPr>
            </w:pPr>
          </w:p>
        </w:tc>
        <w:tc>
          <w:tcPr>
            <w:tcW w:w="6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7"/>
                <w:szCs w:val="17"/>
                <w:b w:val="1"/>
                <w:bCs w:val="1"/>
                <w:color w:val="auto"/>
              </w:rPr>
              <w:t>Name</w:t>
            </w:r>
          </w:p>
        </w:tc>
        <w:tc>
          <w:tcPr>
            <w:tcW w:w="52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6"/>
              </w:rPr>
              <w:t>($)</w:t>
            </w:r>
          </w:p>
        </w:tc>
        <w:tc>
          <w:tcPr>
            <w:tcW w:w="80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580" w:type="dxa"/>
            <w:vAlign w:val="bottom"/>
            <w:vMerge w:val="restart"/>
          </w:tcPr>
          <w:p>
            <w:pPr>
              <w:jc w:val="center"/>
              <w:ind w:left="133"/>
              <w:spacing w:after="0"/>
              <w:rPr>
                <w:sz w:val="20"/>
                <w:szCs w:val="20"/>
                <w:color w:val="auto"/>
              </w:rPr>
            </w:pPr>
            <w:r>
              <w:rPr>
                <w:rFonts w:ascii="Arial" w:cs="Arial" w:eastAsia="Arial" w:hAnsi="Arial"/>
                <w:sz w:val="17"/>
                <w:szCs w:val="17"/>
                <w:b w:val="1"/>
                <w:bCs w:val="1"/>
                <w:color w:val="auto"/>
                <w:w w:val="96"/>
              </w:rPr>
              <w:t>($)</w:t>
            </w:r>
          </w:p>
        </w:tc>
        <w:tc>
          <w:tcPr>
            <w:tcW w:w="2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80" w:type="dxa"/>
            <w:vAlign w:val="bottom"/>
            <w:tcBorders>
              <w:left w:val="single" w:sz="8" w:color="auto"/>
            </w:tcBorders>
          </w:tcPr>
          <w:p>
            <w:pPr>
              <w:spacing w:after="0"/>
              <w:rPr>
                <w:sz w:val="8"/>
                <w:szCs w:val="8"/>
                <w:color w:val="auto"/>
              </w:rPr>
            </w:pPr>
          </w:p>
        </w:tc>
        <w:tc>
          <w:tcPr>
            <w:tcW w:w="620" w:type="dxa"/>
            <w:vAlign w:val="bottom"/>
            <w:tcBorders>
              <w:right w:val="single" w:sz="8" w:color="auto"/>
            </w:tcBorders>
            <w:gridSpan w:val="2"/>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8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Borders>
              <w:left w:val="single" w:sz="8" w:color="auto"/>
            </w:tcBorders>
            <w:shd w:val="clear" w:color="auto" w:fill="C6E5FE"/>
          </w:tcPr>
          <w:p>
            <w:pPr>
              <w:spacing w:after="0"/>
              <w:rPr>
                <w:sz w:val="14"/>
                <w:szCs w:val="14"/>
                <w:color w:val="auto"/>
              </w:rPr>
            </w:pPr>
          </w:p>
        </w:tc>
        <w:tc>
          <w:tcPr>
            <w:tcW w:w="440" w:type="dxa"/>
            <w:vAlign w:val="bottom"/>
            <w:shd w:val="clear" w:color="auto" w:fill="C6E5FE"/>
          </w:tcPr>
          <w:p>
            <w:pPr>
              <w:spacing w:after="0"/>
              <w:rPr>
                <w:sz w:val="14"/>
                <w:szCs w:val="14"/>
                <w:color w:val="auto"/>
              </w:rPr>
            </w:pPr>
          </w:p>
        </w:tc>
        <w:tc>
          <w:tcPr>
            <w:tcW w:w="180" w:type="dxa"/>
            <w:vAlign w:val="bottom"/>
            <w:tcBorders>
              <w:right w:val="single" w:sz="8" w:color="auto"/>
            </w:tcBorders>
            <w:shd w:val="clear" w:color="auto" w:fill="C6E5FE"/>
          </w:tcPr>
          <w:p>
            <w:pPr>
              <w:spacing w:after="0"/>
              <w:rPr>
                <w:sz w:val="14"/>
                <w:szCs w:val="14"/>
                <w:color w:val="auto"/>
              </w:rPr>
            </w:pPr>
          </w:p>
        </w:tc>
        <w:tc>
          <w:tcPr>
            <w:tcW w:w="520" w:type="dxa"/>
            <w:vAlign w:val="bottom"/>
            <w:tcBorders>
              <w:right w:val="single" w:sz="8" w:color="auto"/>
            </w:tcBorders>
            <w:shd w:val="clear" w:color="auto" w:fill="C6E5FE"/>
          </w:tcPr>
          <w:p>
            <w:pPr>
              <w:jc w:val="center"/>
              <w:spacing w:after="0" w:line="169" w:lineRule="exact"/>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rPr>
              <w:t>89,459</w:t>
            </w:r>
          </w:p>
        </w:tc>
        <w:tc>
          <w:tcPr>
            <w:tcW w:w="112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rPr>
              <w:t>$16.14</w:t>
            </w:r>
          </w:p>
        </w:tc>
        <w:tc>
          <w:tcPr>
            <w:tcW w:w="80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w w:val="94"/>
              </w:rPr>
              <w:t>3/14/2024</w:t>
            </w:r>
          </w:p>
        </w:tc>
        <w:tc>
          <w:tcPr>
            <w:tcW w:w="600" w:type="dxa"/>
            <w:vAlign w:val="bottom"/>
            <w:shd w:val="clear" w:color="auto" w:fill="C6E5FE"/>
          </w:tcPr>
          <w:p>
            <w:pPr>
              <w:spacing w:after="0"/>
              <w:rPr>
                <w:sz w:val="14"/>
                <w:szCs w:val="14"/>
                <w:color w:val="auto"/>
              </w:rPr>
            </w:pPr>
          </w:p>
        </w:tc>
        <w:tc>
          <w:tcPr>
            <w:tcW w:w="14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w w:val="82"/>
              </w:rPr>
              <w:t>--</w:t>
            </w:r>
          </w:p>
        </w:tc>
        <w:tc>
          <w:tcPr>
            <w:tcW w:w="580" w:type="dxa"/>
            <w:vAlign w:val="bottom"/>
            <w:shd w:val="clear" w:color="auto" w:fill="C6E5FE"/>
          </w:tcPr>
          <w:p>
            <w:pPr>
              <w:spacing w:after="0"/>
              <w:rPr>
                <w:sz w:val="14"/>
                <w:szCs w:val="14"/>
                <w:color w:val="auto"/>
              </w:rPr>
            </w:pPr>
          </w:p>
        </w:tc>
        <w:tc>
          <w:tcPr>
            <w:tcW w:w="24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shd w:val="clear" w:color="auto" w:fill="C6E5FE"/>
          </w:tcPr>
          <w:p>
            <w:pPr>
              <w:spacing w:after="0"/>
              <w:rPr>
                <w:sz w:val="18"/>
                <w:szCs w:val="18"/>
                <w:color w:val="auto"/>
              </w:rPr>
            </w:pPr>
          </w:p>
        </w:tc>
        <w:tc>
          <w:tcPr>
            <w:tcW w:w="440" w:type="dxa"/>
            <w:vAlign w:val="bottom"/>
            <w:shd w:val="clear" w:color="auto" w:fill="C6E5FE"/>
          </w:tcPr>
          <w:p>
            <w:pPr>
              <w:spacing w:after="0"/>
              <w:rPr>
                <w:sz w:val="18"/>
                <w:szCs w:val="18"/>
                <w:color w:val="auto"/>
              </w:rPr>
            </w:pPr>
          </w:p>
        </w:tc>
        <w:tc>
          <w:tcPr>
            <w:tcW w:w="180" w:type="dxa"/>
            <w:vAlign w:val="bottom"/>
            <w:tcBorders>
              <w:right w:val="single" w:sz="8" w:color="auto"/>
            </w:tcBorders>
            <w:shd w:val="clear" w:color="auto" w:fill="C6E5FE"/>
          </w:tcPr>
          <w:p>
            <w:pPr>
              <w:spacing w:after="0"/>
              <w:rPr>
                <w:sz w:val="18"/>
                <w:szCs w:val="18"/>
                <w:color w:val="auto"/>
              </w:rPr>
            </w:pP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spacing w:after="0"/>
              <w:rPr>
                <w:sz w:val="18"/>
                <w:szCs w:val="18"/>
                <w:color w:val="auto"/>
              </w:rPr>
            </w:pPr>
          </w:p>
        </w:tc>
        <w:tc>
          <w:tcPr>
            <w:tcW w:w="740" w:type="dxa"/>
            <w:vAlign w:val="bottom"/>
            <w:tcBorders>
              <w:right w:val="single" w:sz="8" w:color="auto"/>
            </w:tcBorders>
            <w:gridSpan w:val="2"/>
            <w:shd w:val="clear" w:color="auto" w:fill="C6E5FE"/>
          </w:tcPr>
          <w:p>
            <w:pPr>
              <w:jc w:val="right"/>
              <w:ind w:right="8"/>
              <w:spacing w:after="0"/>
              <w:rPr>
                <w:sz w:val="20"/>
                <w:szCs w:val="20"/>
                <w:color w:val="auto"/>
              </w:rPr>
            </w:pPr>
            <w:r>
              <w:rPr>
                <w:rFonts w:ascii="Arial" w:cs="Arial" w:eastAsia="Arial" w:hAnsi="Arial"/>
                <w:sz w:val="18"/>
                <w:szCs w:val="18"/>
                <w:color w:val="auto"/>
                <w:w w:val="94"/>
              </w:rPr>
              <w:t xml:space="preserve">12,837 </w:t>
            </w:r>
            <w:r>
              <w:rPr>
                <w:rFonts w:ascii="Arial" w:cs="Arial" w:eastAsia="Arial" w:hAnsi="Arial"/>
                <w:sz w:val="8"/>
                <w:szCs w:val="8"/>
                <w:color w:val="auto"/>
                <w:w w:val="94"/>
              </w:rPr>
              <w:t>(2)</w:t>
            </w:r>
          </w:p>
        </w:tc>
        <w:tc>
          <w:tcPr>
            <w:tcW w:w="820" w:type="dxa"/>
            <w:vAlign w:val="bottom"/>
            <w:tcBorders>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35,558</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gridSpan w:val="3"/>
            <w:shd w:val="clear" w:color="auto" w:fill="C6E5FE"/>
          </w:tcPr>
          <w:p>
            <w:pPr>
              <w:ind w:left="20"/>
              <w:spacing w:after="0" w:line="203" w:lineRule="exact"/>
              <w:rPr>
                <w:sz w:val="20"/>
                <w:szCs w:val="20"/>
                <w:color w:val="auto"/>
              </w:rPr>
            </w:pPr>
            <w:r>
              <w:rPr>
                <w:rFonts w:ascii="Arial" w:cs="Arial" w:eastAsia="Arial" w:hAnsi="Arial"/>
                <w:sz w:val="18"/>
                <w:szCs w:val="18"/>
                <w:color w:val="auto"/>
              </w:rPr>
              <w:t>Ellen M.</w:t>
            </w:r>
          </w:p>
        </w:tc>
        <w:tc>
          <w:tcPr>
            <w:tcW w:w="520" w:type="dxa"/>
            <w:vAlign w:val="bottom"/>
            <w:tcBorders>
              <w:right w:val="single" w:sz="8" w:color="auto"/>
            </w:tcBorders>
            <w:shd w:val="clear" w:color="auto" w:fill="C6E5FE"/>
          </w:tcPr>
          <w:p>
            <w:pPr>
              <w:jc w:val="center"/>
              <w:spacing w:after="0" w:line="203" w:lineRule="exact"/>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6E5FE"/>
          </w:tcPr>
          <w:p>
            <w:pPr>
              <w:jc w:val="right"/>
              <w:spacing w:after="0" w:line="203" w:lineRule="exact"/>
              <w:rPr>
                <w:sz w:val="20"/>
                <w:szCs w:val="20"/>
                <w:color w:val="auto"/>
              </w:rPr>
            </w:pPr>
            <w:r>
              <w:rPr>
                <w:rFonts w:ascii="Arial" w:cs="Arial" w:eastAsia="Arial" w:hAnsi="Arial"/>
                <w:sz w:val="18"/>
                <w:szCs w:val="18"/>
                <w:color w:val="auto"/>
              </w:rPr>
              <w:t>15,528</w:t>
            </w: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(2)</w:t>
            </w:r>
          </w:p>
        </w:tc>
        <w:tc>
          <w:tcPr>
            <w:tcW w:w="820" w:type="dxa"/>
            <w:vAlign w:val="bottom"/>
            <w:tcBorders>
              <w:right w:val="single" w:sz="8" w:color="auto"/>
            </w:tcBorders>
            <w:gridSpan w:val="2"/>
            <w:shd w:val="clear" w:color="auto" w:fill="C6E5FE"/>
          </w:tcPr>
          <w:p>
            <w:pPr>
              <w:jc w:val="right"/>
              <w:spacing w:after="0" w:line="203" w:lineRule="exact"/>
              <w:rPr>
                <w:sz w:val="20"/>
                <w:szCs w:val="20"/>
                <w:color w:val="auto"/>
              </w:rPr>
            </w:pPr>
            <w:r>
              <w:rPr>
                <w:rFonts w:ascii="Arial" w:cs="Arial" w:eastAsia="Arial" w:hAnsi="Arial"/>
                <w:sz w:val="18"/>
                <w:szCs w:val="18"/>
                <w:color w:val="auto"/>
              </w:rPr>
              <w:t>43,013</w:t>
            </w:r>
          </w:p>
        </w:tc>
        <w:tc>
          <w:tcPr>
            <w:tcW w:w="800" w:type="dxa"/>
            <w:vAlign w:val="bottom"/>
            <w:tcBorders>
              <w:right w:val="single" w:sz="8" w:color="auto"/>
            </w:tcBorders>
            <w:shd w:val="clear" w:color="auto" w:fill="C6E5FE"/>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 w:type="dxa"/>
            <w:vAlign w:val="bottom"/>
            <w:tcBorders>
              <w:left w:val="single" w:sz="8" w:color="auto"/>
              <w:right w:val="single" w:sz="8" w:color="auto"/>
            </w:tcBorders>
            <w:gridSpan w:val="3"/>
            <w:shd w:val="clear" w:color="auto" w:fill="C6E5FE"/>
          </w:tcPr>
          <w:p>
            <w:pPr>
              <w:ind w:left="20"/>
              <w:spacing w:after="0"/>
              <w:rPr>
                <w:sz w:val="20"/>
                <w:szCs w:val="20"/>
                <w:color w:val="auto"/>
              </w:rPr>
            </w:pPr>
            <w:r>
              <w:rPr>
                <w:rFonts w:ascii="Arial" w:cs="Arial" w:eastAsia="Arial" w:hAnsi="Arial"/>
                <w:sz w:val="18"/>
                <w:szCs w:val="18"/>
                <w:color w:val="auto"/>
              </w:rPr>
              <w:t>Cotter</w:t>
            </w: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6E5FE"/>
          </w:tcPr>
          <w:p>
            <w:pPr>
              <w:jc w:val="right"/>
              <w:spacing w:after="0"/>
              <w:rPr>
                <w:sz w:val="20"/>
                <w:szCs w:val="20"/>
                <w:color w:val="auto"/>
              </w:rPr>
            </w:pPr>
            <w:r>
              <w:rPr>
                <w:rFonts w:ascii="Arial" w:cs="Arial" w:eastAsia="Arial" w:hAnsi="Arial"/>
                <w:sz w:val="18"/>
                <w:szCs w:val="18"/>
                <w:color w:val="auto"/>
              </w:rPr>
              <w:t>31,056</w:t>
            </w: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(2)</w:t>
            </w:r>
          </w:p>
        </w:tc>
        <w:tc>
          <w:tcPr>
            <w:tcW w:w="820" w:type="dxa"/>
            <w:vAlign w:val="bottom"/>
            <w:tcBorders>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86,025</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shd w:val="clear" w:color="auto" w:fill="C6E5FE"/>
          </w:tcPr>
          <w:p>
            <w:pPr>
              <w:spacing w:after="0"/>
              <w:rPr>
                <w:sz w:val="18"/>
                <w:szCs w:val="18"/>
                <w:color w:val="auto"/>
              </w:rPr>
            </w:pPr>
          </w:p>
        </w:tc>
        <w:tc>
          <w:tcPr>
            <w:tcW w:w="440" w:type="dxa"/>
            <w:vAlign w:val="bottom"/>
            <w:shd w:val="clear" w:color="auto" w:fill="C6E5FE"/>
          </w:tcPr>
          <w:p>
            <w:pPr>
              <w:spacing w:after="0"/>
              <w:rPr>
                <w:sz w:val="18"/>
                <w:szCs w:val="18"/>
                <w:color w:val="auto"/>
              </w:rPr>
            </w:pPr>
          </w:p>
        </w:tc>
        <w:tc>
          <w:tcPr>
            <w:tcW w:w="180" w:type="dxa"/>
            <w:vAlign w:val="bottom"/>
            <w:tcBorders>
              <w:right w:val="single" w:sz="8" w:color="auto"/>
            </w:tcBorders>
            <w:shd w:val="clear" w:color="auto" w:fill="C6E5FE"/>
          </w:tcPr>
          <w:p>
            <w:pPr>
              <w:spacing w:after="0"/>
              <w:rPr>
                <w:sz w:val="18"/>
                <w:szCs w:val="18"/>
                <w:color w:val="auto"/>
              </w:rPr>
            </w:pP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6E5FE"/>
          </w:tcPr>
          <w:p>
            <w:pPr>
              <w:jc w:val="right"/>
              <w:ind w:right="8"/>
              <w:spacing w:after="0"/>
              <w:rPr>
                <w:sz w:val="20"/>
                <w:szCs w:val="20"/>
                <w:color w:val="auto"/>
              </w:rPr>
            </w:pPr>
            <w:r>
              <w:rPr>
                <w:rFonts w:ascii="Arial" w:cs="Arial" w:eastAsia="Arial" w:hAnsi="Arial"/>
                <w:sz w:val="18"/>
                <w:szCs w:val="18"/>
                <w:color w:val="auto"/>
                <w:w w:val="94"/>
              </w:rPr>
              <w:t xml:space="preserve">35,971 </w:t>
            </w:r>
            <w:r>
              <w:rPr>
                <w:rFonts w:ascii="Arial" w:cs="Arial" w:eastAsia="Arial" w:hAnsi="Arial"/>
                <w:sz w:val="8"/>
                <w:szCs w:val="8"/>
                <w:color w:val="auto"/>
                <w:w w:val="94"/>
              </w:rPr>
              <w:t>(2)</w:t>
            </w:r>
          </w:p>
        </w:tc>
        <w:tc>
          <w:tcPr>
            <w:tcW w:w="820" w:type="dxa"/>
            <w:vAlign w:val="bottom"/>
            <w:tcBorders>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99,640</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shd w:val="clear" w:color="auto" w:fill="C6E5FE"/>
          </w:tcPr>
          <w:p>
            <w:pPr>
              <w:spacing w:after="0"/>
              <w:rPr>
                <w:sz w:val="18"/>
                <w:szCs w:val="18"/>
                <w:color w:val="auto"/>
              </w:rPr>
            </w:pPr>
          </w:p>
        </w:tc>
        <w:tc>
          <w:tcPr>
            <w:tcW w:w="440" w:type="dxa"/>
            <w:vAlign w:val="bottom"/>
            <w:shd w:val="clear" w:color="auto" w:fill="C6E5FE"/>
          </w:tcPr>
          <w:p>
            <w:pPr>
              <w:spacing w:after="0"/>
              <w:rPr>
                <w:sz w:val="18"/>
                <w:szCs w:val="18"/>
                <w:color w:val="auto"/>
              </w:rPr>
            </w:pPr>
          </w:p>
        </w:tc>
        <w:tc>
          <w:tcPr>
            <w:tcW w:w="180" w:type="dxa"/>
            <w:vAlign w:val="bottom"/>
            <w:tcBorders>
              <w:right w:val="single" w:sz="8" w:color="auto"/>
            </w:tcBorders>
            <w:shd w:val="clear" w:color="auto" w:fill="C6E5FE"/>
          </w:tcPr>
          <w:p>
            <w:pPr>
              <w:spacing w:after="0"/>
              <w:rPr>
                <w:sz w:val="18"/>
                <w:szCs w:val="18"/>
                <w:color w:val="auto"/>
              </w:rPr>
            </w:pP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6E5FE"/>
          </w:tcPr>
          <w:p>
            <w:pPr>
              <w:jc w:val="right"/>
              <w:spacing w:after="0"/>
              <w:rPr>
                <w:sz w:val="20"/>
                <w:szCs w:val="20"/>
                <w:color w:val="auto"/>
              </w:rPr>
            </w:pPr>
            <w:r>
              <w:rPr>
                <w:rFonts w:ascii="Arial" w:cs="Arial" w:eastAsia="Arial" w:hAnsi="Arial"/>
                <w:sz w:val="18"/>
                <w:szCs w:val="18"/>
                <w:color w:val="auto"/>
              </w:rPr>
              <w:t>47,961</w:t>
            </w: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(2)</w:t>
            </w:r>
          </w:p>
        </w:tc>
        <w:tc>
          <w:tcPr>
            <w:tcW w:w="820" w:type="dxa"/>
            <w:vAlign w:val="bottom"/>
            <w:tcBorders>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132,852</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180" w:type="dxa"/>
            <w:vAlign w:val="bottom"/>
            <w:tcBorders>
              <w:left w:val="single" w:sz="8" w:color="auto"/>
            </w:tcBorders>
            <w:shd w:val="clear" w:color="auto" w:fill="C6E5FE"/>
          </w:tcPr>
          <w:p>
            <w:pPr>
              <w:spacing w:after="0"/>
              <w:rPr>
                <w:sz w:val="21"/>
                <w:szCs w:val="21"/>
                <w:color w:val="auto"/>
              </w:rPr>
            </w:pPr>
          </w:p>
        </w:tc>
        <w:tc>
          <w:tcPr>
            <w:tcW w:w="440" w:type="dxa"/>
            <w:vAlign w:val="bottom"/>
            <w:shd w:val="clear" w:color="auto" w:fill="C6E5FE"/>
          </w:tcPr>
          <w:p>
            <w:pPr>
              <w:spacing w:after="0"/>
              <w:rPr>
                <w:sz w:val="21"/>
                <w:szCs w:val="21"/>
                <w:color w:val="auto"/>
              </w:rPr>
            </w:pPr>
          </w:p>
        </w:tc>
        <w:tc>
          <w:tcPr>
            <w:tcW w:w="180" w:type="dxa"/>
            <w:vAlign w:val="bottom"/>
            <w:tcBorders>
              <w:right w:val="single" w:sz="8" w:color="auto"/>
            </w:tcBorders>
            <w:shd w:val="clear" w:color="auto" w:fill="C6E5FE"/>
          </w:tcPr>
          <w:p>
            <w:pPr>
              <w:spacing w:after="0"/>
              <w:rPr>
                <w:sz w:val="21"/>
                <w:szCs w:val="21"/>
                <w:color w:val="auto"/>
              </w:rPr>
            </w:pP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6E5FE"/>
          </w:tcPr>
          <w:p>
            <w:pPr>
              <w:jc w:val="right"/>
              <w:spacing w:after="0"/>
              <w:rPr>
                <w:sz w:val="20"/>
                <w:szCs w:val="20"/>
                <w:color w:val="auto"/>
              </w:rPr>
            </w:pPr>
            <w:r>
              <w:rPr>
                <w:rFonts w:ascii="Arial" w:cs="Arial" w:eastAsia="Arial" w:hAnsi="Arial"/>
                <w:sz w:val="18"/>
                <w:szCs w:val="18"/>
                <w:color w:val="auto"/>
              </w:rPr>
              <w:t>42,056</w:t>
            </w: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(2)</w:t>
            </w:r>
          </w:p>
        </w:tc>
        <w:tc>
          <w:tcPr>
            <w:tcW w:w="820" w:type="dxa"/>
            <w:vAlign w:val="bottom"/>
            <w:tcBorders>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116,495</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17,806</w:t>
            </w:r>
          </w:p>
        </w:tc>
        <w:tc>
          <w:tcPr>
            <w:tcW w:w="11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$16.14</w:t>
            </w:r>
          </w:p>
        </w:tc>
        <w:tc>
          <w:tcPr>
            <w:tcW w:w="8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3/14/2024</w:t>
            </w:r>
          </w:p>
        </w:tc>
        <w:tc>
          <w:tcPr>
            <w:tcW w:w="6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Margaret</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4,783</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w w:val="90"/>
              </w:rPr>
              <w:t>(3)</w:t>
            </w: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13,249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0" w:type="dxa"/>
            <w:vAlign w:val="bottom"/>
            <w:tcBorders>
              <w:left w:val="single" w:sz="8" w:color="auto"/>
              <w:right w:val="single" w:sz="8" w:color="auto"/>
            </w:tcBorders>
            <w:gridSpan w:val="3"/>
            <w:vMerge w:val="continue"/>
          </w:tcPr>
          <w:p>
            <w:pPr>
              <w:spacing w:after="0"/>
              <w:rPr>
                <w:sz w:val="15"/>
                <w:szCs w:val="15"/>
                <w:color w:val="auto"/>
              </w:rPr>
            </w:pPr>
          </w:p>
        </w:tc>
        <w:tc>
          <w:tcPr>
            <w:tcW w:w="5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11,354</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w w:val="90"/>
              </w:rPr>
              <w:t>(3)</w:t>
            </w:r>
          </w:p>
        </w:tc>
        <w:tc>
          <w:tcPr>
            <w:tcW w:w="820" w:type="dxa"/>
            <w:vAlign w:val="bottom"/>
            <w:tcBorders>
              <w:right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31,451</w:t>
            </w:r>
          </w:p>
        </w:tc>
        <w:tc>
          <w:tcPr>
            <w:tcW w:w="8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Cotter</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8"/>
              <w:spacing w:after="0"/>
              <w:rPr>
                <w:sz w:val="20"/>
                <w:szCs w:val="20"/>
                <w:color w:val="auto"/>
              </w:rPr>
            </w:pPr>
            <w:r>
              <w:rPr>
                <w:rFonts w:ascii="Arial" w:cs="Arial" w:eastAsia="Arial" w:hAnsi="Arial"/>
                <w:sz w:val="18"/>
                <w:szCs w:val="18"/>
                <w:color w:val="auto"/>
              </w:rPr>
              <w:t xml:space="preserve">7,570 </w:t>
            </w:r>
            <w:r>
              <w:rPr>
                <w:rFonts w:ascii="Arial" w:cs="Arial" w:eastAsia="Arial" w:hAnsi="Arial"/>
                <w:sz w:val="8"/>
                <w:szCs w:val="8"/>
                <w:color w:val="auto"/>
              </w:rPr>
              <w:t>(3)</w:t>
            </w: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20,969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26,304</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w w:val="90"/>
              </w:rPr>
              <w:t>(3)</w:t>
            </w: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72,862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11,691</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w w:val="90"/>
              </w:rPr>
              <w:t>(3)</w:t>
            </w: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32,384</w:t>
            </w: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10,304</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9"/>
                <w:szCs w:val="9"/>
                <w:color w:val="auto"/>
                <w:w w:val="90"/>
              </w:rPr>
              <w:t>(3)</w:t>
            </w: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28,542</w:t>
            </w:r>
          </w:p>
        </w:tc>
        <w:tc>
          <w:tcPr>
            <w:tcW w:w="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shd w:val="clear" w:color="auto" w:fill="C6E5FE"/>
          </w:tcPr>
          <w:p>
            <w:pPr>
              <w:spacing w:after="0"/>
              <w:rPr>
                <w:sz w:val="18"/>
                <w:szCs w:val="18"/>
                <w:color w:val="auto"/>
              </w:rPr>
            </w:pPr>
          </w:p>
        </w:tc>
        <w:tc>
          <w:tcPr>
            <w:tcW w:w="440" w:type="dxa"/>
            <w:vAlign w:val="bottom"/>
            <w:shd w:val="clear" w:color="auto" w:fill="C6E5FE"/>
          </w:tcPr>
          <w:p>
            <w:pPr>
              <w:spacing w:after="0"/>
              <w:rPr>
                <w:sz w:val="18"/>
                <w:szCs w:val="18"/>
                <w:color w:val="auto"/>
              </w:rPr>
            </w:pPr>
          </w:p>
        </w:tc>
        <w:tc>
          <w:tcPr>
            <w:tcW w:w="180" w:type="dxa"/>
            <w:vAlign w:val="bottom"/>
            <w:tcBorders>
              <w:right w:val="single" w:sz="8" w:color="auto"/>
            </w:tcBorders>
            <w:shd w:val="clear" w:color="auto" w:fill="C6E5FE"/>
          </w:tcPr>
          <w:p>
            <w:pPr>
              <w:spacing w:after="0"/>
              <w:rPr>
                <w:sz w:val="18"/>
                <w:szCs w:val="18"/>
                <w:color w:val="auto"/>
              </w:rPr>
            </w:pP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17,857</w:t>
            </w:r>
          </w:p>
        </w:tc>
        <w:tc>
          <w:tcPr>
            <w:tcW w:w="1120" w:type="dxa"/>
            <w:vAlign w:val="bottom"/>
            <w:tcBorders>
              <w:right w:val="single" w:sz="8" w:color="auto"/>
            </w:tcBorders>
            <w:shd w:val="clear" w:color="auto" w:fill="C6E5FE"/>
          </w:tcPr>
          <w:p>
            <w:pPr>
              <w:spacing w:after="0"/>
              <w:rPr>
                <w:sz w:val="18"/>
                <w:szCs w:val="18"/>
                <w:color w:val="auto"/>
              </w:rPr>
            </w:pPr>
          </w:p>
        </w:tc>
        <w:tc>
          <w:tcPr>
            <w:tcW w:w="1100" w:type="dxa"/>
            <w:vAlign w:val="bottom"/>
            <w:tcBorders>
              <w:right w:val="single" w:sz="8" w:color="auto"/>
            </w:tcBorders>
            <w:shd w:val="clear" w:color="auto" w:fill="C6E5FE"/>
          </w:tcPr>
          <w:p>
            <w:pPr>
              <w:spacing w:after="0"/>
              <w:rPr>
                <w:sz w:val="18"/>
                <w:szCs w:val="18"/>
                <w:color w:val="auto"/>
              </w:rPr>
            </w:pP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$16.11</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w w:val="94"/>
              </w:rPr>
              <w:t>3/13/2024</w:t>
            </w:r>
          </w:p>
        </w:tc>
        <w:tc>
          <w:tcPr>
            <w:tcW w:w="600" w:type="dxa"/>
            <w:vAlign w:val="bottom"/>
            <w:shd w:val="clear" w:color="auto" w:fill="C6E5FE"/>
          </w:tcPr>
          <w:p>
            <w:pPr>
              <w:spacing w:after="0"/>
              <w:rPr>
                <w:sz w:val="18"/>
                <w:szCs w:val="18"/>
                <w:color w:val="auto"/>
              </w:rPr>
            </w:pP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w w:val="82"/>
              </w:rPr>
              <w:t>--</w:t>
            </w:r>
          </w:p>
        </w:tc>
        <w:tc>
          <w:tcPr>
            <w:tcW w:w="580" w:type="dxa"/>
            <w:vAlign w:val="bottom"/>
            <w:shd w:val="clear" w:color="auto" w:fill="C6E5FE"/>
          </w:tcPr>
          <w:p>
            <w:pPr>
              <w:spacing w:after="0"/>
              <w:rPr>
                <w:sz w:val="18"/>
                <w:szCs w:val="18"/>
                <w:color w:val="auto"/>
              </w:rPr>
            </w:pPr>
          </w:p>
        </w:tc>
        <w:tc>
          <w:tcPr>
            <w:tcW w:w="2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shd w:val="clear" w:color="auto" w:fill="C6E5FE"/>
          </w:tcPr>
          <w:p>
            <w:pPr>
              <w:spacing w:after="0"/>
              <w:rPr>
                <w:sz w:val="18"/>
                <w:szCs w:val="18"/>
                <w:color w:val="auto"/>
              </w:rPr>
            </w:pPr>
          </w:p>
        </w:tc>
        <w:tc>
          <w:tcPr>
            <w:tcW w:w="440" w:type="dxa"/>
            <w:vAlign w:val="bottom"/>
            <w:shd w:val="clear" w:color="auto" w:fill="C6E5FE"/>
          </w:tcPr>
          <w:p>
            <w:pPr>
              <w:spacing w:after="0"/>
              <w:rPr>
                <w:sz w:val="18"/>
                <w:szCs w:val="18"/>
                <w:color w:val="auto"/>
              </w:rPr>
            </w:pPr>
          </w:p>
        </w:tc>
        <w:tc>
          <w:tcPr>
            <w:tcW w:w="180" w:type="dxa"/>
            <w:vAlign w:val="bottom"/>
            <w:tcBorders>
              <w:right w:val="single" w:sz="8" w:color="auto"/>
            </w:tcBorders>
            <w:shd w:val="clear" w:color="auto" w:fill="C6E5FE"/>
          </w:tcPr>
          <w:p>
            <w:pPr>
              <w:spacing w:after="0"/>
              <w:rPr>
                <w:sz w:val="18"/>
                <w:szCs w:val="18"/>
                <w:color w:val="auto"/>
              </w:rPr>
            </w:pP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spacing w:after="0"/>
              <w:rPr>
                <w:sz w:val="18"/>
                <w:szCs w:val="18"/>
                <w:color w:val="auto"/>
              </w:rPr>
            </w:pPr>
          </w:p>
        </w:tc>
        <w:tc>
          <w:tcPr>
            <w:tcW w:w="1120" w:type="dxa"/>
            <w:vAlign w:val="bottom"/>
            <w:tcBorders>
              <w:right w:val="single" w:sz="8" w:color="auto"/>
            </w:tcBorders>
            <w:shd w:val="clear" w:color="auto" w:fill="C6E5FE"/>
          </w:tcPr>
          <w:p>
            <w:pPr>
              <w:spacing w:after="0"/>
              <w:rPr>
                <w:sz w:val="18"/>
                <w:szCs w:val="18"/>
                <w:color w:val="auto"/>
              </w:rPr>
            </w:pPr>
          </w:p>
        </w:tc>
        <w:tc>
          <w:tcPr>
            <w:tcW w:w="11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6E5FE"/>
          </w:tcPr>
          <w:p>
            <w:pPr>
              <w:jc w:val="right"/>
              <w:spacing w:after="0"/>
              <w:rPr>
                <w:sz w:val="20"/>
                <w:szCs w:val="20"/>
                <w:color w:val="auto"/>
              </w:rPr>
            </w:pPr>
            <w:r>
              <w:rPr>
                <w:rFonts w:ascii="Arial" w:cs="Arial" w:eastAsia="Arial" w:hAnsi="Arial"/>
                <w:sz w:val="18"/>
                <w:szCs w:val="18"/>
                <w:color w:val="auto"/>
              </w:rPr>
              <w:t>4,783</w:t>
            </w: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(4)</w:t>
            </w:r>
          </w:p>
        </w:tc>
        <w:tc>
          <w:tcPr>
            <w:tcW w:w="820" w:type="dxa"/>
            <w:vAlign w:val="bottom"/>
            <w:tcBorders>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13,249</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gridSpan w:val="3"/>
            <w:vMerge w:val="restart"/>
            <w:shd w:val="clear" w:color="auto" w:fill="C6E5FE"/>
          </w:tcPr>
          <w:p>
            <w:pPr>
              <w:ind w:left="20"/>
              <w:spacing w:after="0"/>
              <w:rPr>
                <w:sz w:val="20"/>
                <w:szCs w:val="20"/>
                <w:color w:val="auto"/>
              </w:rPr>
            </w:pPr>
            <w:r>
              <w:rPr>
                <w:rFonts w:ascii="Arial" w:cs="Arial" w:eastAsia="Arial" w:hAnsi="Arial"/>
                <w:sz w:val="18"/>
                <w:szCs w:val="18"/>
                <w:color w:val="auto"/>
              </w:rPr>
              <w:t>S. Craig</w:t>
            </w: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6E5FE"/>
          </w:tcPr>
          <w:p>
            <w:pPr>
              <w:jc w:val="right"/>
              <w:spacing w:after="0"/>
              <w:rPr>
                <w:sz w:val="20"/>
                <w:szCs w:val="20"/>
                <w:color w:val="auto"/>
              </w:rPr>
            </w:pPr>
            <w:r>
              <w:rPr>
                <w:rFonts w:ascii="Arial" w:cs="Arial" w:eastAsia="Arial" w:hAnsi="Arial"/>
                <w:sz w:val="18"/>
                <w:szCs w:val="18"/>
                <w:color w:val="auto"/>
              </w:rPr>
              <w:t>11,354</w:t>
            </w: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(4)</w:t>
            </w:r>
          </w:p>
        </w:tc>
        <w:tc>
          <w:tcPr>
            <w:tcW w:w="820" w:type="dxa"/>
            <w:vAlign w:val="bottom"/>
            <w:tcBorders>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31,451</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right w:val="single" w:sz="8" w:color="auto"/>
            </w:tcBorders>
            <w:gridSpan w:val="3"/>
            <w:vMerge w:val="continue"/>
            <w:shd w:val="clear" w:color="auto" w:fill="C6E5FE"/>
          </w:tcPr>
          <w:p>
            <w:pPr>
              <w:spacing w:after="0"/>
              <w:rPr>
                <w:sz w:val="14"/>
                <w:szCs w:val="14"/>
                <w:color w:val="auto"/>
              </w:rPr>
            </w:pPr>
          </w:p>
        </w:tc>
        <w:tc>
          <w:tcPr>
            <w:tcW w:w="520" w:type="dxa"/>
            <w:vAlign w:val="bottom"/>
            <w:tcBorders>
              <w:right w:val="single" w:sz="8" w:color="auto"/>
            </w:tcBorders>
            <w:shd w:val="clear" w:color="auto" w:fill="C6E5FE"/>
          </w:tcPr>
          <w:p>
            <w:pPr>
              <w:jc w:val="center"/>
              <w:spacing w:after="0" w:line="162" w:lineRule="exact"/>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line="16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line="16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line="162"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line="162"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line="162" w:lineRule="exact"/>
              <w:rPr>
                <w:sz w:val="20"/>
                <w:szCs w:val="20"/>
                <w:color w:val="auto"/>
              </w:rPr>
            </w:pPr>
            <w:r>
              <w:rPr>
                <w:rFonts w:ascii="Arial" w:cs="Arial" w:eastAsia="Arial" w:hAnsi="Arial"/>
                <w:sz w:val="18"/>
                <w:szCs w:val="18"/>
                <w:color w:val="auto"/>
              </w:rPr>
              <w:t>--</w:t>
            </w:r>
          </w:p>
        </w:tc>
        <w:tc>
          <w:tcPr>
            <w:tcW w:w="600" w:type="dxa"/>
            <w:vAlign w:val="bottom"/>
            <w:shd w:val="clear" w:color="auto" w:fill="C6E5FE"/>
          </w:tcPr>
          <w:p>
            <w:pPr>
              <w:jc w:val="right"/>
              <w:spacing w:after="0" w:line="162" w:lineRule="exact"/>
              <w:rPr>
                <w:sz w:val="20"/>
                <w:szCs w:val="20"/>
                <w:color w:val="auto"/>
              </w:rPr>
            </w:pPr>
            <w:r>
              <w:rPr>
                <w:rFonts w:ascii="Arial" w:cs="Arial" w:eastAsia="Arial" w:hAnsi="Arial"/>
                <w:sz w:val="18"/>
                <w:szCs w:val="18"/>
                <w:color w:val="auto"/>
              </w:rPr>
              <w:t>7,570</w:t>
            </w: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(4)</w:t>
            </w:r>
          </w:p>
        </w:tc>
        <w:tc>
          <w:tcPr>
            <w:tcW w:w="820" w:type="dxa"/>
            <w:vAlign w:val="bottom"/>
            <w:tcBorders>
              <w:right w:val="single" w:sz="8" w:color="auto"/>
            </w:tcBorders>
            <w:gridSpan w:val="2"/>
            <w:shd w:val="clear" w:color="auto" w:fill="C6E5FE"/>
          </w:tcPr>
          <w:p>
            <w:pPr>
              <w:jc w:val="right"/>
              <w:spacing w:after="0" w:line="162" w:lineRule="exact"/>
              <w:rPr>
                <w:sz w:val="20"/>
                <w:szCs w:val="20"/>
                <w:color w:val="auto"/>
              </w:rPr>
            </w:pPr>
            <w:r>
              <w:rPr>
                <w:rFonts w:ascii="Arial" w:cs="Arial" w:eastAsia="Arial" w:hAnsi="Arial"/>
                <w:sz w:val="18"/>
                <w:szCs w:val="18"/>
                <w:color w:val="auto"/>
              </w:rPr>
              <w:t>20,969</w:t>
            </w:r>
          </w:p>
        </w:tc>
        <w:tc>
          <w:tcPr>
            <w:tcW w:w="800" w:type="dxa"/>
            <w:vAlign w:val="bottom"/>
            <w:tcBorders>
              <w:right w:val="single" w:sz="8" w:color="auto"/>
            </w:tcBorders>
            <w:shd w:val="clear" w:color="auto" w:fill="C6E5FE"/>
          </w:tcPr>
          <w:p>
            <w:pPr>
              <w:jc w:val="right"/>
              <w:spacing w:after="0" w:line="162"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6E5FE"/>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gridSpan w:val="3"/>
            <w:shd w:val="clear" w:color="auto" w:fill="C6E5FE"/>
          </w:tcPr>
          <w:p>
            <w:pPr>
              <w:ind w:left="20"/>
              <w:spacing w:after="0"/>
              <w:rPr>
                <w:sz w:val="20"/>
                <w:szCs w:val="20"/>
                <w:color w:val="auto"/>
              </w:rPr>
            </w:pPr>
            <w:r>
              <w:rPr>
                <w:rFonts w:ascii="Arial" w:cs="Arial" w:eastAsia="Arial" w:hAnsi="Arial"/>
                <w:sz w:val="18"/>
                <w:szCs w:val="18"/>
                <w:color w:val="auto"/>
                <w:w w:val="94"/>
              </w:rPr>
              <w:t>Tompkins</w:t>
            </w:r>
          </w:p>
        </w:tc>
        <w:tc>
          <w:tcPr>
            <w:tcW w:w="520" w:type="dxa"/>
            <w:vAlign w:val="bottom"/>
            <w:tcBorders>
              <w:right w:val="single" w:sz="8" w:color="auto"/>
            </w:tcBorders>
            <w:vMerge w:val="restart"/>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6E5FE"/>
          </w:tcPr>
          <w:p>
            <w:pPr>
              <w:jc w:val="right"/>
              <w:spacing w:after="0"/>
              <w:rPr>
                <w:sz w:val="20"/>
                <w:szCs w:val="20"/>
                <w:color w:val="auto"/>
              </w:rPr>
            </w:pPr>
            <w:r>
              <w:rPr>
                <w:rFonts w:ascii="Arial" w:cs="Arial" w:eastAsia="Arial" w:hAnsi="Arial"/>
                <w:sz w:val="18"/>
                <w:szCs w:val="18"/>
                <w:color w:val="auto"/>
              </w:rPr>
              <w:t>26,304</w:t>
            </w:r>
          </w:p>
        </w:tc>
        <w:tc>
          <w:tcPr>
            <w:tcW w:w="14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9"/>
                <w:szCs w:val="9"/>
                <w:color w:val="auto"/>
                <w:w w:val="90"/>
              </w:rPr>
              <w:t>(4)</w:t>
            </w:r>
          </w:p>
        </w:tc>
        <w:tc>
          <w:tcPr>
            <w:tcW w:w="820" w:type="dxa"/>
            <w:vAlign w:val="bottom"/>
            <w:tcBorders>
              <w:right w:val="single" w:sz="8" w:color="auto"/>
            </w:tcBorders>
            <w:gridSpan w:val="2"/>
            <w:vMerge w:val="restart"/>
            <w:shd w:val="clear" w:color="auto" w:fill="C6E5FE"/>
          </w:tcPr>
          <w:p>
            <w:pPr>
              <w:jc w:val="right"/>
              <w:spacing w:after="0"/>
              <w:rPr>
                <w:sz w:val="20"/>
                <w:szCs w:val="20"/>
                <w:color w:val="auto"/>
              </w:rPr>
            </w:pPr>
            <w:r>
              <w:rPr>
                <w:rFonts w:ascii="Arial" w:cs="Arial" w:eastAsia="Arial" w:hAnsi="Arial"/>
                <w:sz w:val="18"/>
                <w:szCs w:val="18"/>
                <w:color w:val="auto"/>
              </w:rPr>
              <w:t>72,862</w:t>
            </w:r>
          </w:p>
        </w:tc>
        <w:tc>
          <w:tcPr>
            <w:tcW w:w="80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vMerge w:val="restart"/>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80" w:type="dxa"/>
            <w:vAlign w:val="bottom"/>
            <w:tcBorders>
              <w:left w:val="single" w:sz="8" w:color="auto"/>
            </w:tcBorders>
            <w:shd w:val="clear" w:color="auto" w:fill="C6E5FE"/>
          </w:tcPr>
          <w:p>
            <w:pPr>
              <w:spacing w:after="0"/>
              <w:rPr>
                <w:sz w:val="4"/>
                <w:szCs w:val="4"/>
                <w:color w:val="auto"/>
              </w:rPr>
            </w:pPr>
          </w:p>
        </w:tc>
        <w:tc>
          <w:tcPr>
            <w:tcW w:w="440" w:type="dxa"/>
            <w:vAlign w:val="bottom"/>
            <w:shd w:val="clear" w:color="auto" w:fill="C6E5FE"/>
          </w:tcPr>
          <w:p>
            <w:pPr>
              <w:spacing w:after="0"/>
              <w:rPr>
                <w:sz w:val="4"/>
                <w:szCs w:val="4"/>
                <w:color w:val="auto"/>
              </w:rPr>
            </w:pPr>
          </w:p>
        </w:tc>
        <w:tc>
          <w:tcPr>
            <w:tcW w:w="180" w:type="dxa"/>
            <w:vAlign w:val="bottom"/>
            <w:tcBorders>
              <w:right w:val="single" w:sz="8" w:color="auto"/>
            </w:tcBorders>
            <w:shd w:val="clear" w:color="auto" w:fill="C6E5FE"/>
          </w:tcPr>
          <w:p>
            <w:pPr>
              <w:spacing w:after="0"/>
              <w:rPr>
                <w:sz w:val="4"/>
                <w:szCs w:val="4"/>
                <w:color w:val="auto"/>
              </w:rPr>
            </w:pPr>
          </w:p>
        </w:tc>
        <w:tc>
          <w:tcPr>
            <w:tcW w:w="520" w:type="dxa"/>
            <w:vAlign w:val="bottom"/>
            <w:tcBorders>
              <w:right w:val="single" w:sz="8" w:color="auto"/>
            </w:tcBorders>
            <w:vMerge w:val="continue"/>
            <w:shd w:val="clear" w:color="auto" w:fill="C6E5FE"/>
          </w:tcPr>
          <w:p>
            <w:pPr>
              <w:spacing w:after="0"/>
              <w:rPr>
                <w:sz w:val="4"/>
                <w:szCs w:val="4"/>
                <w:color w:val="auto"/>
              </w:rPr>
            </w:pPr>
          </w:p>
        </w:tc>
        <w:tc>
          <w:tcPr>
            <w:tcW w:w="960" w:type="dxa"/>
            <w:vAlign w:val="bottom"/>
            <w:tcBorders>
              <w:right w:val="single" w:sz="8" w:color="auto"/>
            </w:tcBorders>
            <w:vMerge w:val="continue"/>
            <w:shd w:val="clear" w:color="auto" w:fill="C6E5FE"/>
          </w:tcPr>
          <w:p>
            <w:pPr>
              <w:spacing w:after="0"/>
              <w:rPr>
                <w:sz w:val="4"/>
                <w:szCs w:val="4"/>
                <w:color w:val="auto"/>
              </w:rPr>
            </w:pPr>
          </w:p>
        </w:tc>
        <w:tc>
          <w:tcPr>
            <w:tcW w:w="1120" w:type="dxa"/>
            <w:vAlign w:val="bottom"/>
            <w:tcBorders>
              <w:right w:val="single" w:sz="8" w:color="auto"/>
            </w:tcBorders>
            <w:vMerge w:val="continue"/>
            <w:shd w:val="clear" w:color="auto" w:fill="C6E5FE"/>
          </w:tcPr>
          <w:p>
            <w:pPr>
              <w:spacing w:after="0"/>
              <w:rPr>
                <w:sz w:val="4"/>
                <w:szCs w:val="4"/>
                <w:color w:val="auto"/>
              </w:rPr>
            </w:pPr>
          </w:p>
        </w:tc>
        <w:tc>
          <w:tcPr>
            <w:tcW w:w="1100" w:type="dxa"/>
            <w:vAlign w:val="bottom"/>
            <w:tcBorders>
              <w:right w:val="single" w:sz="8" w:color="auto"/>
            </w:tcBorders>
            <w:vMerge w:val="continue"/>
            <w:shd w:val="clear" w:color="auto" w:fill="C6E5FE"/>
          </w:tcPr>
          <w:p>
            <w:pPr>
              <w:spacing w:after="0"/>
              <w:rPr>
                <w:sz w:val="4"/>
                <w:szCs w:val="4"/>
                <w:color w:val="auto"/>
              </w:rPr>
            </w:pPr>
          </w:p>
        </w:tc>
        <w:tc>
          <w:tcPr>
            <w:tcW w:w="700" w:type="dxa"/>
            <w:vAlign w:val="bottom"/>
            <w:tcBorders>
              <w:right w:val="single" w:sz="8" w:color="auto"/>
            </w:tcBorders>
            <w:vMerge w:val="continue"/>
            <w:shd w:val="clear" w:color="auto" w:fill="C6E5FE"/>
          </w:tcPr>
          <w:p>
            <w:pPr>
              <w:spacing w:after="0"/>
              <w:rPr>
                <w:sz w:val="4"/>
                <w:szCs w:val="4"/>
                <w:color w:val="auto"/>
              </w:rPr>
            </w:pPr>
          </w:p>
        </w:tc>
        <w:tc>
          <w:tcPr>
            <w:tcW w:w="800" w:type="dxa"/>
            <w:vAlign w:val="bottom"/>
            <w:tcBorders>
              <w:right w:val="single" w:sz="8" w:color="auto"/>
            </w:tcBorders>
            <w:vMerge w:val="continue"/>
            <w:shd w:val="clear" w:color="auto" w:fill="C6E5FE"/>
          </w:tcPr>
          <w:p>
            <w:pPr>
              <w:spacing w:after="0"/>
              <w:rPr>
                <w:sz w:val="4"/>
                <w:szCs w:val="4"/>
                <w:color w:val="auto"/>
              </w:rPr>
            </w:pPr>
          </w:p>
        </w:tc>
        <w:tc>
          <w:tcPr>
            <w:tcW w:w="600" w:type="dxa"/>
            <w:vAlign w:val="bottom"/>
            <w:vMerge w:val="continue"/>
            <w:shd w:val="clear" w:color="auto" w:fill="C6E5FE"/>
          </w:tcPr>
          <w:p>
            <w:pPr>
              <w:spacing w:after="0"/>
              <w:rPr>
                <w:sz w:val="4"/>
                <w:szCs w:val="4"/>
                <w:color w:val="auto"/>
              </w:rPr>
            </w:pPr>
          </w:p>
        </w:tc>
        <w:tc>
          <w:tcPr>
            <w:tcW w:w="140" w:type="dxa"/>
            <w:vAlign w:val="bottom"/>
            <w:tcBorders>
              <w:right w:val="single" w:sz="8" w:color="auto"/>
            </w:tcBorders>
            <w:vMerge w:val="continue"/>
            <w:shd w:val="clear" w:color="auto" w:fill="C6E5FE"/>
          </w:tcPr>
          <w:p>
            <w:pPr>
              <w:spacing w:after="0"/>
              <w:rPr>
                <w:sz w:val="4"/>
                <w:szCs w:val="4"/>
                <w:color w:val="auto"/>
              </w:rPr>
            </w:pPr>
          </w:p>
        </w:tc>
        <w:tc>
          <w:tcPr>
            <w:tcW w:w="820" w:type="dxa"/>
            <w:vAlign w:val="bottom"/>
            <w:tcBorders>
              <w:right w:val="single" w:sz="8" w:color="auto"/>
            </w:tcBorders>
            <w:gridSpan w:val="2"/>
            <w:vMerge w:val="continue"/>
            <w:shd w:val="clear" w:color="auto" w:fill="C6E5FE"/>
          </w:tcPr>
          <w:p>
            <w:pPr>
              <w:spacing w:after="0"/>
              <w:rPr>
                <w:sz w:val="4"/>
                <w:szCs w:val="4"/>
                <w:color w:val="auto"/>
              </w:rPr>
            </w:pPr>
          </w:p>
        </w:tc>
        <w:tc>
          <w:tcPr>
            <w:tcW w:w="800" w:type="dxa"/>
            <w:vAlign w:val="bottom"/>
            <w:tcBorders>
              <w:right w:val="single" w:sz="8" w:color="auto"/>
            </w:tcBorders>
            <w:vMerge w:val="continue"/>
            <w:shd w:val="clear" w:color="auto" w:fill="C6E5FE"/>
          </w:tcPr>
          <w:p>
            <w:pPr>
              <w:spacing w:after="0"/>
              <w:rPr>
                <w:sz w:val="4"/>
                <w:szCs w:val="4"/>
                <w:color w:val="auto"/>
              </w:rPr>
            </w:pPr>
          </w:p>
        </w:tc>
        <w:tc>
          <w:tcPr>
            <w:tcW w:w="780" w:type="dxa"/>
            <w:vAlign w:val="bottom"/>
            <w:tcBorders>
              <w:right w:val="single" w:sz="8" w:color="auto"/>
            </w:tcBorders>
            <w:vMerge w:val="continue"/>
            <w:shd w:val="clear" w:color="auto" w:fill="C6E5F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shd w:val="clear" w:color="auto" w:fill="C6E5FE"/>
          </w:tcPr>
          <w:p>
            <w:pPr>
              <w:spacing w:after="0"/>
              <w:rPr>
                <w:sz w:val="18"/>
                <w:szCs w:val="18"/>
                <w:color w:val="auto"/>
              </w:rPr>
            </w:pPr>
          </w:p>
        </w:tc>
        <w:tc>
          <w:tcPr>
            <w:tcW w:w="440" w:type="dxa"/>
            <w:vAlign w:val="bottom"/>
            <w:shd w:val="clear" w:color="auto" w:fill="C6E5FE"/>
          </w:tcPr>
          <w:p>
            <w:pPr>
              <w:spacing w:after="0"/>
              <w:rPr>
                <w:sz w:val="18"/>
                <w:szCs w:val="18"/>
                <w:color w:val="auto"/>
              </w:rPr>
            </w:pPr>
          </w:p>
        </w:tc>
        <w:tc>
          <w:tcPr>
            <w:tcW w:w="180" w:type="dxa"/>
            <w:vAlign w:val="bottom"/>
            <w:tcBorders>
              <w:right w:val="single" w:sz="8" w:color="auto"/>
            </w:tcBorders>
            <w:shd w:val="clear" w:color="auto" w:fill="C6E5FE"/>
          </w:tcPr>
          <w:p>
            <w:pPr>
              <w:spacing w:after="0"/>
              <w:rPr>
                <w:sz w:val="18"/>
                <w:szCs w:val="18"/>
                <w:color w:val="auto"/>
              </w:rPr>
            </w:pPr>
          </w:p>
        </w:tc>
        <w:tc>
          <w:tcPr>
            <w:tcW w:w="520" w:type="dxa"/>
            <w:vAlign w:val="bottom"/>
            <w:tcBorders>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6E5FE"/>
          </w:tcPr>
          <w:p>
            <w:pPr>
              <w:jc w:val="right"/>
              <w:spacing w:after="0"/>
              <w:rPr>
                <w:sz w:val="20"/>
                <w:szCs w:val="20"/>
                <w:color w:val="auto"/>
              </w:rPr>
            </w:pPr>
            <w:r>
              <w:rPr>
                <w:rFonts w:ascii="Arial" w:cs="Arial" w:eastAsia="Arial" w:hAnsi="Arial"/>
                <w:sz w:val="18"/>
                <w:szCs w:val="18"/>
                <w:color w:val="auto"/>
              </w:rPr>
              <w:t>11,691</w:t>
            </w:r>
          </w:p>
        </w:tc>
        <w:tc>
          <w:tcPr>
            <w:tcW w:w="140" w:type="dxa"/>
            <w:vAlign w:val="bottom"/>
            <w:tcBorders>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(4)</w:t>
            </w:r>
          </w:p>
        </w:tc>
        <w:tc>
          <w:tcPr>
            <w:tcW w:w="820" w:type="dxa"/>
            <w:vAlign w:val="bottom"/>
            <w:tcBorders>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32,384</w:t>
            </w:r>
          </w:p>
        </w:tc>
        <w:tc>
          <w:tcPr>
            <w:tcW w:w="800" w:type="dxa"/>
            <w:vAlign w:val="bottom"/>
            <w:tcBorders>
              <w:right w:val="single" w:sz="8" w:color="auto"/>
            </w:tcBorders>
            <w:shd w:val="clear" w:color="auto" w:fill="C6E5FE"/>
          </w:tcPr>
          <w:p>
            <w:pPr>
              <w:spacing w:after="0"/>
              <w:rPr>
                <w:sz w:val="18"/>
                <w:szCs w:val="18"/>
                <w:color w:val="auto"/>
              </w:rPr>
            </w:pPr>
          </w:p>
        </w:tc>
        <w:tc>
          <w:tcPr>
            <w:tcW w:w="780" w:type="dxa"/>
            <w:vAlign w:val="bottom"/>
            <w:tcBorders>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shd w:val="clear" w:color="auto" w:fill="C6E5FE"/>
          </w:tcPr>
          <w:p>
            <w:pPr>
              <w:spacing w:after="0"/>
              <w:rPr>
                <w:sz w:val="18"/>
                <w:szCs w:val="18"/>
                <w:color w:val="auto"/>
              </w:rPr>
            </w:pPr>
          </w:p>
        </w:tc>
        <w:tc>
          <w:tcPr>
            <w:tcW w:w="440" w:type="dxa"/>
            <w:vAlign w:val="bottom"/>
            <w:shd w:val="clear" w:color="auto" w:fill="C6E5FE"/>
          </w:tcPr>
          <w:p>
            <w:pPr>
              <w:spacing w:after="0"/>
              <w:rPr>
                <w:sz w:val="18"/>
                <w:szCs w:val="18"/>
                <w:color w:val="auto"/>
              </w:rPr>
            </w:pPr>
          </w:p>
        </w:tc>
        <w:tc>
          <w:tcPr>
            <w:tcW w:w="180" w:type="dxa"/>
            <w:vAlign w:val="bottom"/>
            <w:tcBorders>
              <w:right w:val="single" w:sz="8" w:color="auto"/>
            </w:tcBorders>
            <w:shd w:val="clear" w:color="auto" w:fill="C6E5FE"/>
          </w:tcPr>
          <w:p>
            <w:pPr>
              <w:spacing w:after="0"/>
              <w:rPr>
                <w:sz w:val="18"/>
                <w:szCs w:val="18"/>
                <w:color w:val="auto"/>
              </w:rPr>
            </w:pPr>
          </w:p>
        </w:tc>
        <w:tc>
          <w:tcPr>
            <w:tcW w:w="520" w:type="dxa"/>
            <w:vAlign w:val="bottom"/>
            <w:tcBorders>
              <w:bottom w:val="single" w:sz="8" w:color="auto"/>
              <w:right w:val="single" w:sz="8" w:color="auto"/>
            </w:tcBorders>
            <w:shd w:val="clear" w:color="auto" w:fill="C6E5FE"/>
          </w:tcPr>
          <w:p>
            <w:pPr>
              <w:jc w:val="center"/>
              <w:spacing w:after="0"/>
              <w:rPr>
                <w:sz w:val="20"/>
                <w:szCs w:val="20"/>
                <w:color w:val="auto"/>
              </w:rPr>
            </w:pPr>
            <w:r>
              <w:rPr>
                <w:rFonts w:ascii="Arial" w:cs="Arial" w:eastAsia="Arial" w:hAnsi="Arial"/>
                <w:sz w:val="18"/>
                <w:szCs w:val="18"/>
                <w:color w:val="auto"/>
              </w:rPr>
              <w:t>A</w:t>
            </w:r>
          </w:p>
        </w:tc>
        <w:tc>
          <w:tcPr>
            <w:tcW w:w="96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6E5FE"/>
          </w:tcPr>
          <w:p>
            <w:pPr>
              <w:jc w:val="right"/>
              <w:spacing w:after="0"/>
              <w:rPr>
                <w:sz w:val="20"/>
                <w:szCs w:val="20"/>
                <w:color w:val="auto"/>
              </w:rPr>
            </w:pPr>
            <w:r>
              <w:rPr>
                <w:rFonts w:ascii="Arial" w:cs="Arial" w:eastAsia="Arial" w:hAnsi="Arial"/>
                <w:sz w:val="18"/>
                <w:szCs w:val="18"/>
                <w:color w:val="auto"/>
              </w:rPr>
              <w:t>13,671</w:t>
            </w:r>
          </w:p>
        </w:tc>
        <w:tc>
          <w:tcPr>
            <w:tcW w:w="140" w:type="dxa"/>
            <w:vAlign w:val="bottom"/>
            <w:tcBorders>
              <w:bottom w:val="single" w:sz="8" w:color="auto"/>
              <w:right w:val="single" w:sz="8" w:color="auto"/>
            </w:tcBorders>
            <w:shd w:val="clear" w:color="auto" w:fill="C6E5FE"/>
          </w:tcPr>
          <w:p>
            <w:pPr>
              <w:jc w:val="right"/>
              <w:spacing w:after="0"/>
              <w:rPr>
                <w:sz w:val="20"/>
                <w:szCs w:val="20"/>
                <w:color w:val="auto"/>
              </w:rPr>
            </w:pPr>
            <w:r>
              <w:rPr>
                <w:rFonts w:ascii="Arial" w:cs="Arial" w:eastAsia="Arial" w:hAnsi="Arial"/>
                <w:sz w:val="9"/>
                <w:szCs w:val="9"/>
                <w:color w:val="auto"/>
                <w:w w:val="90"/>
              </w:rPr>
              <w:t>(4)</w:t>
            </w:r>
          </w:p>
        </w:tc>
        <w:tc>
          <w:tcPr>
            <w:tcW w:w="820" w:type="dxa"/>
            <w:vAlign w:val="bottom"/>
            <w:tcBorders>
              <w:bottom w:val="single" w:sz="8" w:color="auto"/>
              <w:right w:val="single" w:sz="8" w:color="auto"/>
            </w:tcBorders>
            <w:gridSpan w:val="2"/>
            <w:shd w:val="clear" w:color="auto" w:fill="C6E5FE"/>
          </w:tcPr>
          <w:p>
            <w:pPr>
              <w:jc w:val="right"/>
              <w:spacing w:after="0"/>
              <w:rPr>
                <w:sz w:val="20"/>
                <w:szCs w:val="20"/>
                <w:color w:val="auto"/>
              </w:rPr>
            </w:pPr>
            <w:r>
              <w:rPr>
                <w:rFonts w:ascii="Arial" w:cs="Arial" w:eastAsia="Arial" w:hAnsi="Arial"/>
                <w:sz w:val="18"/>
                <w:szCs w:val="18"/>
                <w:color w:val="auto"/>
              </w:rPr>
              <w:t>37,869</w:t>
            </w:r>
          </w:p>
        </w:tc>
        <w:tc>
          <w:tcPr>
            <w:tcW w:w="800" w:type="dxa"/>
            <w:vAlign w:val="bottom"/>
            <w:tcBorders>
              <w:bottom w:val="single" w:sz="8" w:color="auto"/>
              <w:right w:val="single" w:sz="8" w:color="auto"/>
            </w:tcBorders>
            <w:shd w:val="clear" w:color="auto" w:fill="C6E5FE"/>
          </w:tcPr>
          <w:p>
            <w:pPr>
              <w:spacing w:after="0"/>
              <w:rPr>
                <w:sz w:val="18"/>
                <w:szCs w:val="18"/>
                <w:color w:val="auto"/>
              </w:rPr>
            </w:pPr>
          </w:p>
        </w:tc>
        <w:tc>
          <w:tcPr>
            <w:tcW w:w="780" w:type="dxa"/>
            <w:vAlign w:val="bottom"/>
            <w:tcBorders>
              <w:bottom w:val="single" w:sz="8" w:color="auto"/>
              <w:right w:val="single" w:sz="8" w:color="auto"/>
            </w:tcBorders>
            <w:shd w:val="clear" w:color="auto" w:fill="C6E5FE"/>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7555" cy="51435"/>
                    </a:xfrm>
                    <a:prstGeom prst="rect">
                      <a:avLst/>
                    </a:prstGeom>
                    <a:noFill/>
                  </pic:spPr>
                </pic:pic>
              </a:graphicData>
            </a:graphic>
          </wp:anchor>
        </w:drawing>
      </w:r>
    </w:p>
    <w:p>
      <w:pPr>
        <w:sectPr>
          <w:pgSz w:w="11900" w:h="16838" w:orient="portrait"/>
          <w:cols w:equalWidth="0" w:num="1">
            <w:col w:w="9320"/>
          </w:cols>
          <w:pgMar w:left="1440" w:top="472" w:right="1139" w:bottom="1440" w:gutter="0" w:footer="0" w:header="0"/>
        </w:sectPr>
      </w:pPr>
    </w:p>
    <w:bookmarkStart w:id="48" w:name="page49"/>
    <w:bookmarkEnd w:id="48"/>
    <w:p>
      <w:pPr>
        <w:ind w:left="680" w:right="539" w:hanging="496"/>
        <w:spacing w:after="0" w:line="258" w:lineRule="auto"/>
        <w:tabs>
          <w:tab w:leader="none" w:pos="713" w:val="left"/>
        </w:tabs>
        <w:numPr>
          <w:ilvl w:val="0"/>
          <w:numId w:val="35"/>
        </w:numPr>
        <w:rPr>
          <w:rFonts w:ascii="Arial" w:cs="Arial" w:eastAsia="Arial" w:hAnsi="Arial"/>
          <w:sz w:val="14"/>
          <w:szCs w:val="14"/>
          <w:color w:val="auto"/>
        </w:rPr>
      </w:pPr>
      <w:r>
        <w:rPr>
          <w:rFonts w:ascii="Arial" w:cs="Arial" w:eastAsia="Arial" w:hAnsi="Arial"/>
          <w:sz w:val="16"/>
          <w:szCs w:val="16"/>
          <w:color w:val="auto"/>
        </w:rPr>
        <w:t>Reflects the amount calculated by multiplying the number of unvested restricted shares by the closing price of our Class A Stock as of December 31, 2022 or $2.77.</w:t>
      </w:r>
    </w:p>
    <w:p>
      <w:pPr>
        <w:spacing w:after="0" w:line="117" w:lineRule="exact"/>
        <w:rPr>
          <w:rFonts w:ascii="Arial" w:cs="Arial" w:eastAsia="Arial" w:hAnsi="Arial"/>
          <w:sz w:val="14"/>
          <w:szCs w:val="14"/>
          <w:color w:val="auto"/>
        </w:rPr>
      </w:pPr>
    </w:p>
    <w:p>
      <w:pPr>
        <w:ind w:left="720" w:hanging="536"/>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12,837 units of RSUs will vest on March 10, 2024.</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7,764 units of RSUs will vest on April 5, 2024 and April 5, 2025.</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31,056 units of PRSUs will vest on April 5, 2024.</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11,991 units of RSUs will vest on April 18, 2024. 11,990 units of RSUs will vest on April 18, 2025 and April 26, 2026.</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47,961 units of PRSUs will vest on April 18, 2025.</w:t>
      </w:r>
    </w:p>
    <w:p>
      <w:pPr>
        <w:spacing w:after="0" w:line="167" w:lineRule="exact"/>
        <w:rPr>
          <w:sz w:val="20"/>
          <w:szCs w:val="20"/>
          <w:color w:val="auto"/>
        </w:rPr>
      </w:pPr>
    </w:p>
    <w:p>
      <w:pPr>
        <w:ind w:left="680" w:right="1219"/>
        <w:spacing w:after="0" w:line="309" w:lineRule="auto"/>
        <w:rPr>
          <w:sz w:val="20"/>
          <w:szCs w:val="20"/>
          <w:color w:val="auto"/>
        </w:rPr>
      </w:pPr>
      <w:r>
        <w:rPr>
          <w:rFonts w:ascii="Arial" w:cs="Arial" w:eastAsia="Arial" w:hAnsi="Arial"/>
          <w:sz w:val="14"/>
          <w:szCs w:val="14"/>
          <w:color w:val="auto"/>
        </w:rPr>
        <w:t>On April 21, 2023, 42,056 units of RSUs were granted to Ellen M. Cotter in lieu of receiving a cash bonus for compensation earned in 2022. Such grant of RSUs will vest on the one-year anniversary of the date of grant.</w:t>
      </w:r>
    </w:p>
    <w:p>
      <w:pPr>
        <w:spacing w:after="0" w:line="85" w:lineRule="exact"/>
        <w:rPr>
          <w:sz w:val="20"/>
          <w:szCs w:val="20"/>
          <w:color w:val="auto"/>
        </w:rPr>
      </w:pPr>
    </w:p>
    <w:p>
      <w:pPr>
        <w:ind w:left="720" w:hanging="53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4,783 units of RSUs will vest on March 10, 2024.</w:t>
      </w:r>
    </w:p>
    <w:p>
      <w:pPr>
        <w:spacing w:after="0" w:line="153"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5,677 units will vest on April 5, 2024 and April 5, 2025.</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7,570 units of PRSUs will vest on April 5, 2024.</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8,768 units of RSUs will vest on April 18, 2024, April 18, 2025, and April 26, 2026.</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11,691 units of PRSUs will vest on April 18, 2025.</w:t>
      </w:r>
    </w:p>
    <w:p>
      <w:pPr>
        <w:spacing w:after="0" w:line="167" w:lineRule="exact"/>
        <w:rPr>
          <w:sz w:val="20"/>
          <w:szCs w:val="20"/>
          <w:color w:val="auto"/>
        </w:rPr>
      </w:pPr>
    </w:p>
    <w:p>
      <w:pPr>
        <w:ind w:left="680" w:right="1199"/>
        <w:spacing w:after="0" w:line="309" w:lineRule="auto"/>
        <w:rPr>
          <w:sz w:val="20"/>
          <w:szCs w:val="20"/>
          <w:color w:val="auto"/>
        </w:rPr>
      </w:pPr>
      <w:r>
        <w:rPr>
          <w:rFonts w:ascii="Arial" w:cs="Arial" w:eastAsia="Arial" w:hAnsi="Arial"/>
          <w:sz w:val="14"/>
          <w:szCs w:val="14"/>
          <w:color w:val="auto"/>
        </w:rPr>
        <w:t>On April 21, 2023, 10,304 units of RSUs were granted to Margaret Cotter in lieu of receiving a cash bonus for compensation earned in 2022. Such grant of RSUs will vest on the one-year anniversary of the date of grant.</w:t>
      </w:r>
    </w:p>
    <w:p>
      <w:pPr>
        <w:spacing w:after="0" w:line="85" w:lineRule="exact"/>
        <w:rPr>
          <w:sz w:val="20"/>
          <w:szCs w:val="20"/>
          <w:color w:val="auto"/>
        </w:rPr>
      </w:pPr>
    </w:p>
    <w:p>
      <w:pPr>
        <w:ind w:left="720" w:hanging="53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4,783 units of RSUs will vest on March 10, 2024.</w:t>
      </w:r>
    </w:p>
    <w:p>
      <w:pPr>
        <w:spacing w:after="0" w:line="153"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5,677 units will vest on April 5, 2024 and April 5, 2025.</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7,570 units of PRSUs will vest on April 5, 2024.</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8,768 units of RSUs will vest on April 18, 2024, April 18, 2025, and April 26, 2026.</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11,691 units of PRSUs will vest on April 18, 2025.</w:t>
      </w:r>
    </w:p>
    <w:p>
      <w:pPr>
        <w:spacing w:after="0" w:line="167" w:lineRule="exact"/>
        <w:rPr>
          <w:sz w:val="20"/>
          <w:szCs w:val="20"/>
          <w:color w:val="auto"/>
        </w:rPr>
      </w:pPr>
    </w:p>
    <w:p>
      <w:pPr>
        <w:ind w:left="680" w:right="1019"/>
        <w:spacing w:after="0" w:line="309" w:lineRule="auto"/>
        <w:rPr>
          <w:sz w:val="20"/>
          <w:szCs w:val="20"/>
          <w:color w:val="auto"/>
        </w:rPr>
      </w:pPr>
      <w:r>
        <w:rPr>
          <w:rFonts w:ascii="Arial" w:cs="Arial" w:eastAsia="Arial" w:hAnsi="Arial"/>
          <w:sz w:val="14"/>
          <w:szCs w:val="14"/>
          <w:color w:val="auto"/>
        </w:rPr>
        <w:t>On April 11, 2023, 13,671 units of RSUs were granted to S. Craig Tompkins in lieu of receiving a cash bonus for compensation earned in 2022. Such grant of RSUs will vest on the one-year anniversary of the date of grant.</w:t>
      </w:r>
    </w:p>
    <w:p>
      <w:pPr>
        <w:spacing w:after="0" w:line="1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49" w:name="page50"/>
    <w:bookmarkEnd w:id="49"/>
    <w:p>
      <w:pPr>
        <w:ind w:left="1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ind w:left="180" w:right="760" w:firstLine="648"/>
        <w:spacing w:after="0" w:line="235" w:lineRule="auto"/>
        <w:rPr>
          <w:sz w:val="20"/>
          <w:szCs w:val="20"/>
          <w:color w:val="auto"/>
        </w:rPr>
      </w:pPr>
      <w:r>
        <w:rPr>
          <w:rFonts w:ascii="Arial" w:cs="Arial" w:eastAsia="Arial" w:hAnsi="Arial"/>
          <w:sz w:val="18"/>
          <w:szCs w:val="18"/>
          <w:color w:val="auto"/>
        </w:rPr>
        <w:t>The following table sets forth, as of December 31, 2022, a summary of certain information related to our equity incentive plans under which our equity securities are authorized for issuance:</w:t>
      </w:r>
    </w:p>
    <w:p>
      <w:pPr>
        <w:spacing w:after="0" w:line="331" w:lineRule="exact"/>
        <w:rPr>
          <w:sz w:val="20"/>
          <w:szCs w:val="20"/>
          <w:color w:val="auto"/>
        </w:rPr>
      </w:pPr>
    </w:p>
    <w:tbl>
      <w:tblPr>
        <w:tblLayout w:type="fixed"/>
        <w:tblInd w:w="190" w:type="dxa"/>
        <w:tblCellMar>
          <w:top w:w="0" w:type="dxa"/>
          <w:left w:w="0" w:type="dxa"/>
          <w:bottom w:w="0" w:type="dxa"/>
          <w:right w:w="0" w:type="dxa"/>
        </w:tblCellMar>
      </w:tblPr>
      <w:tr>
        <w:trPr>
          <w:trHeight w:val="162"/>
        </w:trPr>
        <w:tc>
          <w:tcPr>
            <w:tcW w:w="2860" w:type="dxa"/>
            <w:vAlign w:val="bottom"/>
            <w:tcBorders>
              <w:top w:val="single" w:sz="8" w:color="auto"/>
              <w:left w:val="single" w:sz="8" w:color="auto"/>
              <w:right w:val="single" w:sz="8" w:color="auto"/>
            </w:tcBorders>
            <w:vMerge w:val="restart"/>
          </w:tcPr>
          <w:p>
            <w:pPr>
              <w:spacing w:after="0"/>
              <w:rPr>
                <w:sz w:val="14"/>
                <w:szCs w:val="14"/>
                <w:color w:val="auto"/>
              </w:rPr>
            </w:pPr>
          </w:p>
        </w:tc>
        <w:tc>
          <w:tcPr>
            <w:tcW w:w="214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9"/>
              </w:rPr>
              <w:t>Weighted average</w:t>
            </w:r>
          </w:p>
        </w:tc>
        <w:tc>
          <w:tcPr>
            <w:tcW w:w="24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tcBorders>
              <w:left w:val="single" w:sz="8" w:color="auto"/>
              <w:right w:val="single" w:sz="8" w:color="auto"/>
            </w:tcBorders>
            <w:vMerge w:val="continue"/>
          </w:tcPr>
          <w:p>
            <w:pPr>
              <w:spacing w:after="0"/>
              <w:rPr>
                <w:sz w:val="11"/>
                <w:szCs w:val="11"/>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Number of securities to</w:t>
            </w:r>
          </w:p>
        </w:tc>
        <w:tc>
          <w:tcPr>
            <w:tcW w:w="170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40"/>
        </w:trPr>
        <w:tc>
          <w:tcPr>
            <w:tcW w:w="2860" w:type="dxa"/>
            <w:vAlign w:val="bottom"/>
            <w:tcBorders>
              <w:left w:val="single" w:sz="8" w:color="auto"/>
              <w:right w:val="single" w:sz="8" w:color="auto"/>
            </w:tcBorders>
          </w:tcPr>
          <w:p>
            <w:pPr>
              <w:spacing w:after="0"/>
              <w:rPr>
                <w:sz w:val="3"/>
                <w:szCs w:val="3"/>
                <w:color w:val="auto"/>
              </w:rPr>
            </w:pPr>
          </w:p>
        </w:tc>
        <w:tc>
          <w:tcPr>
            <w:tcW w:w="2140" w:type="dxa"/>
            <w:vAlign w:val="bottom"/>
            <w:tcBorders>
              <w:right w:val="single" w:sz="8" w:color="auto"/>
            </w:tcBorders>
            <w:vMerge w:val="continue"/>
          </w:tcPr>
          <w:p>
            <w:pPr>
              <w:spacing w:after="0"/>
              <w:rPr>
                <w:sz w:val="3"/>
                <w:szCs w:val="3"/>
                <w:color w:val="auto"/>
              </w:rPr>
            </w:pPr>
          </w:p>
        </w:tc>
        <w:tc>
          <w:tcPr>
            <w:tcW w:w="1700" w:type="dxa"/>
            <w:vAlign w:val="bottom"/>
            <w:tcBorders>
              <w:right w:val="single" w:sz="8" w:color="auto"/>
            </w:tcBorders>
            <w:vMerge w:val="continue"/>
          </w:tcPr>
          <w:p>
            <w:pPr>
              <w:spacing w:after="0"/>
              <w:rPr>
                <w:sz w:val="3"/>
                <w:szCs w:val="3"/>
                <w:color w:val="auto"/>
              </w:rPr>
            </w:pPr>
          </w:p>
        </w:tc>
        <w:tc>
          <w:tcPr>
            <w:tcW w:w="24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860" w:type="dxa"/>
            <w:vAlign w:val="bottom"/>
            <w:tcBorders>
              <w:left w:val="single" w:sz="8" w:color="auto"/>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line="184" w:lineRule="exact"/>
              <w:rPr>
                <w:sz w:val="20"/>
                <w:szCs w:val="20"/>
                <w:color w:val="auto"/>
              </w:rPr>
            </w:pPr>
            <w:r>
              <w:rPr>
                <w:rFonts w:ascii="Arial" w:cs="Arial" w:eastAsia="Arial" w:hAnsi="Arial"/>
                <w:sz w:val="18"/>
                <w:szCs w:val="18"/>
                <w:b w:val="1"/>
                <w:bCs w:val="1"/>
                <w:color w:val="auto"/>
                <w:w w:val="89"/>
              </w:rPr>
              <w:t>outstanding</w:t>
            </w:r>
          </w:p>
        </w:tc>
        <w:tc>
          <w:tcPr>
            <w:tcW w:w="2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860" w:type="dxa"/>
            <w:vAlign w:val="bottom"/>
            <w:tcBorders>
              <w:left w:val="single" w:sz="8" w:color="auto"/>
              <w:right w:val="single" w:sz="8" w:color="auto"/>
            </w:tcBorders>
          </w:tcPr>
          <w:p>
            <w:pPr>
              <w:spacing w:after="0"/>
              <w:rPr>
                <w:sz w:val="8"/>
                <w:szCs w:val="8"/>
                <w:color w:val="auto"/>
              </w:rPr>
            </w:pPr>
          </w:p>
        </w:tc>
        <w:tc>
          <w:tcPr>
            <w:tcW w:w="2140" w:type="dxa"/>
            <w:vAlign w:val="bottom"/>
            <w:tcBorders>
              <w:right w:val="single" w:sz="8" w:color="auto"/>
            </w:tcBorders>
            <w:vMerge w:val="restart"/>
          </w:tcPr>
          <w:p>
            <w:pPr>
              <w:jc w:val="center"/>
              <w:spacing w:after="0" w:line="184" w:lineRule="exact"/>
              <w:rPr>
                <w:sz w:val="20"/>
                <w:szCs w:val="20"/>
                <w:color w:val="auto"/>
              </w:rPr>
            </w:pPr>
            <w:r>
              <w:rPr>
                <w:rFonts w:ascii="Arial" w:cs="Arial" w:eastAsia="Arial" w:hAnsi="Arial"/>
                <w:sz w:val="18"/>
                <w:szCs w:val="18"/>
                <w:b w:val="1"/>
                <w:bCs w:val="1"/>
                <w:color w:val="auto"/>
                <w:w w:val="85"/>
              </w:rPr>
              <w:t>be issued upon exercise</w:t>
            </w:r>
          </w:p>
        </w:tc>
        <w:tc>
          <w:tcPr>
            <w:tcW w:w="1700" w:type="dxa"/>
            <w:vAlign w:val="bottom"/>
            <w:tcBorders>
              <w:right w:val="single" w:sz="8" w:color="auto"/>
            </w:tcBorders>
            <w:vMerge w:val="continue"/>
          </w:tcPr>
          <w:p>
            <w:pPr>
              <w:spacing w:after="0"/>
              <w:rPr>
                <w:sz w:val="8"/>
                <w:szCs w:val="8"/>
                <w:color w:val="auto"/>
              </w:rPr>
            </w:pPr>
          </w:p>
        </w:tc>
        <w:tc>
          <w:tcPr>
            <w:tcW w:w="2440" w:type="dxa"/>
            <w:vAlign w:val="bottom"/>
            <w:tcBorders>
              <w:right w:val="single" w:sz="8" w:color="auto"/>
            </w:tcBorders>
            <w:vMerge w:val="restart"/>
          </w:tcPr>
          <w:p>
            <w:pPr>
              <w:jc w:val="center"/>
              <w:spacing w:after="0" w:line="184"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81"/>
        </w:trPr>
        <w:tc>
          <w:tcPr>
            <w:tcW w:w="2860" w:type="dxa"/>
            <w:vAlign w:val="bottom"/>
            <w:tcBorders>
              <w:left w:val="single" w:sz="8" w:color="auto"/>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90"/>
              </w:rPr>
              <w:t>options, warrants</w:t>
            </w:r>
          </w:p>
        </w:tc>
        <w:tc>
          <w:tcPr>
            <w:tcW w:w="2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860" w:type="dxa"/>
            <w:vAlign w:val="bottom"/>
            <w:tcBorders>
              <w:left w:val="single" w:sz="8" w:color="auto"/>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88"/>
              </w:rPr>
              <w:t>Equity compensation plans</w:t>
            </w:r>
          </w:p>
        </w:tc>
        <w:tc>
          <w:tcPr>
            <w:tcW w:w="214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86"/>
              </w:rPr>
              <w:t>of outstanding options,</w:t>
            </w:r>
          </w:p>
        </w:tc>
        <w:tc>
          <w:tcPr>
            <w:tcW w:w="1700" w:type="dxa"/>
            <w:vAlign w:val="bottom"/>
            <w:tcBorders>
              <w:right w:val="single" w:sz="8" w:color="auto"/>
            </w:tcBorders>
            <w:vMerge w:val="continue"/>
          </w:tcPr>
          <w:p>
            <w:pPr>
              <w:spacing w:after="0"/>
              <w:rPr>
                <w:sz w:val="8"/>
                <w:szCs w:val="8"/>
                <w:color w:val="auto"/>
              </w:rPr>
            </w:pPr>
          </w:p>
        </w:tc>
        <w:tc>
          <w:tcPr>
            <w:tcW w:w="2440" w:type="dxa"/>
            <w:vAlign w:val="bottom"/>
            <w:tcBorders>
              <w:right w:val="single" w:sz="8" w:color="auto"/>
            </w:tcBorders>
            <w:vMerge w:val="restart"/>
          </w:tcPr>
          <w:p>
            <w:pPr>
              <w:jc w:val="center"/>
              <w:spacing w:after="0" w:line="181" w:lineRule="exact"/>
              <w:rPr>
                <w:sz w:val="20"/>
                <w:szCs w:val="20"/>
                <w:color w:val="auto"/>
              </w:rPr>
            </w:pPr>
            <w:r>
              <w:rPr>
                <w:rFonts w:ascii="Arial" w:cs="Arial" w:eastAsia="Arial" w:hAnsi="Arial"/>
                <w:sz w:val="18"/>
                <w:szCs w:val="18"/>
                <w:b w:val="1"/>
                <w:bCs w:val="1"/>
                <w:color w:val="auto"/>
                <w:w w:val="89"/>
              </w:rPr>
              <w:t>future issuance under equity</w:t>
            </w:r>
          </w:p>
        </w:tc>
        <w:tc>
          <w:tcPr>
            <w:tcW w:w="0" w:type="dxa"/>
            <w:vAlign w:val="bottom"/>
          </w:tcPr>
          <w:p>
            <w:pPr>
              <w:spacing w:after="0"/>
              <w:rPr>
                <w:sz w:val="1"/>
                <w:szCs w:val="1"/>
                <w:color w:val="auto"/>
              </w:rPr>
            </w:pPr>
          </w:p>
        </w:tc>
      </w:tr>
      <w:tr>
        <w:trPr>
          <w:trHeight w:val="81"/>
        </w:trPr>
        <w:tc>
          <w:tcPr>
            <w:tcW w:w="2860" w:type="dxa"/>
            <w:vAlign w:val="bottom"/>
            <w:tcBorders>
              <w:left w:val="single" w:sz="8" w:color="auto"/>
              <w:right w:val="single" w:sz="8" w:color="auto"/>
            </w:tcBorders>
            <w:vMerge w:val="continue"/>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2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8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 xml:space="preserve">approved by security holders </w:t>
            </w:r>
            <w:r>
              <w:rPr>
                <w:rFonts w:ascii="Arial" w:cs="Arial" w:eastAsia="Arial" w:hAnsi="Arial"/>
                <w:sz w:val="8"/>
                <w:szCs w:val="8"/>
                <w:b w:val="1"/>
                <w:bCs w:val="1"/>
                <w:color w:val="auto"/>
                <w:w w:val="89"/>
              </w:rPr>
              <w:t>(1)</w:t>
            </w:r>
          </w:p>
        </w:tc>
        <w:tc>
          <w:tcPr>
            <w:tcW w:w="21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warrants and rights</w:t>
            </w:r>
          </w:p>
        </w:tc>
        <w:tc>
          <w:tcPr>
            <w:tcW w:w="1700" w:type="dxa"/>
            <w:vAlign w:val="bottom"/>
            <w:tcBorders>
              <w:right w:val="single" w:sz="8" w:color="auto"/>
            </w:tcBorders>
            <w:vMerge w:val="continue"/>
          </w:tcPr>
          <w:p>
            <w:pPr>
              <w:spacing w:after="0"/>
              <w:rPr>
                <w:sz w:val="15"/>
                <w:szCs w:val="15"/>
                <w:color w:val="auto"/>
              </w:rPr>
            </w:pPr>
          </w:p>
        </w:tc>
        <w:tc>
          <w:tcPr>
            <w:tcW w:w="24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135"/>
        </w:trPr>
        <w:tc>
          <w:tcPr>
            <w:tcW w:w="2860" w:type="dxa"/>
            <w:vAlign w:val="bottom"/>
            <w:tcBorders>
              <w:left w:val="single" w:sz="8" w:color="auto"/>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5"/>
                <w:szCs w:val="15"/>
                <w:b w:val="1"/>
                <w:bCs w:val="1"/>
                <w:color w:val="auto"/>
              </w:rPr>
              <w:t>($)</w:t>
            </w:r>
          </w:p>
        </w:tc>
        <w:tc>
          <w:tcPr>
            <w:tcW w:w="2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860" w:type="dxa"/>
            <w:vAlign w:val="bottom"/>
            <w:tcBorders>
              <w:left w:val="single" w:sz="8" w:color="auto"/>
              <w:bottom w:val="single" w:sz="8" w:color="auto"/>
              <w:right w:val="single" w:sz="8" w:color="auto"/>
            </w:tcBorders>
            <w:shd w:val="clear" w:color="auto" w:fill="BCDAFC"/>
          </w:tcPr>
          <w:p>
            <w:pPr>
              <w:ind w:left="140"/>
              <w:spacing w:after="0"/>
              <w:rPr>
                <w:sz w:val="20"/>
                <w:szCs w:val="20"/>
                <w:color w:val="auto"/>
              </w:rPr>
            </w:pPr>
            <w:r>
              <w:rPr>
                <w:rFonts w:ascii="Arial" w:cs="Arial" w:eastAsia="Arial" w:hAnsi="Arial"/>
                <w:sz w:val="18"/>
                <w:szCs w:val="18"/>
                <w:color w:val="auto"/>
              </w:rPr>
              <w:t>Stock Options</w:t>
            </w:r>
          </w:p>
        </w:tc>
        <w:tc>
          <w:tcPr>
            <w:tcW w:w="2140" w:type="dxa"/>
            <w:vAlign w:val="bottom"/>
            <w:tcBorders>
              <w:bottom w:val="single" w:sz="8" w:color="auto"/>
              <w:right w:val="single" w:sz="8" w:color="auto"/>
            </w:tcBorders>
            <w:shd w:val="clear" w:color="auto" w:fill="BCDAFC"/>
          </w:tcPr>
          <w:p>
            <w:pPr>
              <w:jc w:val="right"/>
              <w:ind w:right="70"/>
              <w:spacing w:after="0"/>
              <w:rPr>
                <w:sz w:val="20"/>
                <w:szCs w:val="20"/>
                <w:color w:val="auto"/>
              </w:rPr>
            </w:pPr>
            <w:r>
              <w:rPr>
                <w:rFonts w:ascii="Arial" w:cs="Arial" w:eastAsia="Arial" w:hAnsi="Arial"/>
                <w:sz w:val="18"/>
                <w:szCs w:val="18"/>
                <w:color w:val="auto"/>
              </w:rPr>
              <w:t xml:space="preserve">276,218 </w:t>
            </w:r>
            <w:r>
              <w:rPr>
                <w:rFonts w:ascii="Arial" w:cs="Arial" w:eastAsia="Arial" w:hAnsi="Arial"/>
                <w:sz w:val="8"/>
                <w:szCs w:val="8"/>
                <w:color w:val="auto"/>
              </w:rPr>
              <w:t>(2)</w:t>
            </w:r>
          </w:p>
        </w:tc>
        <w:tc>
          <w:tcPr>
            <w:tcW w:w="1700" w:type="dxa"/>
            <w:vAlign w:val="bottom"/>
            <w:tcBorders>
              <w:bottom w:val="single" w:sz="8" w:color="auto"/>
              <w:right w:val="single" w:sz="8" w:color="auto"/>
            </w:tcBorders>
            <w:shd w:val="clear" w:color="auto" w:fill="BCDAFC"/>
          </w:tcPr>
          <w:p>
            <w:pPr>
              <w:ind w:left="1240"/>
              <w:spacing w:after="0"/>
              <w:rPr>
                <w:sz w:val="20"/>
                <w:szCs w:val="20"/>
                <w:color w:val="auto"/>
              </w:rPr>
            </w:pPr>
            <w:r>
              <w:rPr>
                <w:rFonts w:ascii="Arial" w:cs="Arial" w:eastAsia="Arial" w:hAnsi="Arial"/>
                <w:sz w:val="18"/>
                <w:szCs w:val="18"/>
                <w:color w:val="auto"/>
                <w:w w:val="93"/>
              </w:rPr>
              <w:t>15.81</w:t>
            </w:r>
          </w:p>
        </w:tc>
        <w:tc>
          <w:tcPr>
            <w:tcW w:w="2440" w:type="dxa"/>
            <w:vAlign w:val="bottom"/>
            <w:tcBorders>
              <w:bottom w:val="single" w:sz="8" w:color="auto"/>
              <w:right w:val="single" w:sz="8" w:color="auto"/>
            </w:tcBorders>
            <w:shd w:val="clear" w:color="auto" w:fill="BCDA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860" w:type="dxa"/>
            <w:vAlign w:val="bottom"/>
            <w:tcBorders>
              <w:left w:val="single" w:sz="8" w:color="auto"/>
              <w:bottom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Restricted Stock Units</w:t>
            </w:r>
          </w:p>
        </w:tc>
        <w:tc>
          <w:tcPr>
            <w:tcW w:w="2140" w:type="dxa"/>
            <w:vAlign w:val="bottom"/>
            <w:tcBorders>
              <w:bottom w:val="single" w:sz="8" w:color="auto"/>
              <w:right w:val="single" w:sz="8" w:color="auto"/>
            </w:tcBorders>
          </w:tcPr>
          <w:p>
            <w:pPr>
              <w:jc w:val="right"/>
              <w:ind w:right="70"/>
              <w:spacing w:after="0" w:line="169"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ind w:left="1240"/>
              <w:spacing w:after="0" w:line="169" w:lineRule="exact"/>
              <w:rPr>
                <w:sz w:val="20"/>
                <w:szCs w:val="20"/>
                <w:color w:val="auto"/>
              </w:rPr>
            </w:pPr>
            <w:r>
              <w:rPr>
                <w:rFonts w:ascii="Arial" w:cs="Arial" w:eastAsia="Arial" w:hAnsi="Arial"/>
                <w:sz w:val="18"/>
                <w:szCs w:val="18"/>
                <w:color w:val="auto"/>
              </w:rPr>
              <w:t>--</w:t>
            </w:r>
          </w:p>
        </w:tc>
        <w:tc>
          <w:tcPr>
            <w:tcW w:w="2440" w:type="dxa"/>
            <w:vAlign w:val="bottom"/>
            <w:tcBorders>
              <w:bottom w:val="single" w:sz="8" w:color="auto"/>
              <w:right w:val="single" w:sz="8" w:color="auto"/>
            </w:tcBorders>
          </w:tcPr>
          <w:p>
            <w:pPr>
              <w:jc w:val="right"/>
              <w:ind w:right="30"/>
              <w:spacing w:after="0" w:line="169" w:lineRule="exact"/>
              <w:rPr>
                <w:sz w:val="20"/>
                <w:szCs w:val="20"/>
                <w:color w:val="auto"/>
              </w:rPr>
            </w:pPr>
            <w:r>
              <w:rPr>
                <w:rFonts w:ascii="Arial" w:cs="Arial" w:eastAsia="Arial" w:hAnsi="Arial"/>
                <w:sz w:val="18"/>
                <w:szCs w:val="18"/>
                <w:color w:val="auto"/>
              </w:rPr>
              <w:t>1,116,934</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10"/>
        </w:trPr>
        <w:tc>
          <w:tcPr>
            <w:tcW w:w="2860" w:type="dxa"/>
            <w:vAlign w:val="bottom"/>
            <w:tcBorders>
              <w:left w:val="single" w:sz="8" w:color="auto"/>
              <w:bottom w:val="single" w:sz="8" w:color="auto"/>
              <w:right w:val="single" w:sz="8" w:color="auto"/>
            </w:tcBorders>
            <w:shd w:val="clear" w:color="auto" w:fill="BCDAFC"/>
          </w:tcPr>
          <w:p>
            <w:pPr>
              <w:ind w:left="14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right w:val="single" w:sz="8" w:color="auto"/>
            </w:tcBorders>
            <w:shd w:val="clear" w:color="auto" w:fill="BCDAFC"/>
          </w:tcPr>
          <w:p>
            <w:pPr>
              <w:jc w:val="right"/>
              <w:spacing w:after="0"/>
              <w:rPr>
                <w:sz w:val="20"/>
                <w:szCs w:val="20"/>
                <w:color w:val="auto"/>
              </w:rPr>
            </w:pPr>
            <w:r>
              <w:rPr>
                <w:rFonts w:ascii="Arial" w:cs="Arial" w:eastAsia="Arial" w:hAnsi="Arial"/>
                <w:sz w:val="18"/>
                <w:szCs w:val="18"/>
                <w:color w:val="auto"/>
              </w:rPr>
              <w:t>276,218</w:t>
            </w:r>
          </w:p>
        </w:tc>
        <w:tc>
          <w:tcPr>
            <w:tcW w:w="1700" w:type="dxa"/>
            <w:vAlign w:val="bottom"/>
            <w:tcBorders>
              <w:bottom w:val="single" w:sz="8" w:color="auto"/>
              <w:right w:val="single" w:sz="8" w:color="auto"/>
            </w:tcBorders>
            <w:shd w:val="clear" w:color="auto" w:fill="BCDAFC"/>
          </w:tcPr>
          <w:p>
            <w:pPr>
              <w:ind w:left="1240"/>
              <w:spacing w:after="0"/>
              <w:rPr>
                <w:sz w:val="20"/>
                <w:szCs w:val="20"/>
                <w:color w:val="auto"/>
              </w:rPr>
            </w:pPr>
            <w:r>
              <w:rPr>
                <w:rFonts w:ascii="Arial" w:cs="Arial" w:eastAsia="Arial" w:hAnsi="Arial"/>
                <w:sz w:val="18"/>
                <w:szCs w:val="18"/>
                <w:color w:val="auto"/>
                <w:w w:val="93"/>
              </w:rPr>
              <w:t>15.81</w:t>
            </w:r>
          </w:p>
        </w:tc>
        <w:tc>
          <w:tcPr>
            <w:tcW w:w="2440" w:type="dxa"/>
            <w:vAlign w:val="bottom"/>
            <w:tcBorders>
              <w:bottom w:val="single" w:sz="8" w:color="auto"/>
              <w:right w:val="single" w:sz="8" w:color="auto"/>
            </w:tcBorders>
            <w:shd w:val="clear" w:color="auto" w:fill="BCDAFC"/>
          </w:tcPr>
          <w:p>
            <w:pPr>
              <w:jc w:val="right"/>
              <w:spacing w:after="0"/>
              <w:rPr>
                <w:sz w:val="20"/>
                <w:szCs w:val="20"/>
                <w:color w:val="auto"/>
              </w:rPr>
            </w:pPr>
            <w:r>
              <w:rPr>
                <w:rFonts w:ascii="Arial" w:cs="Arial" w:eastAsia="Arial" w:hAnsi="Arial"/>
                <w:sz w:val="18"/>
                <w:szCs w:val="18"/>
                <w:color w:val="auto"/>
              </w:rPr>
              <w:t>1,116,934</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860" w:hanging="352"/>
        <w:spacing w:after="0"/>
        <w:tabs>
          <w:tab w:leader="none" w:pos="8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2010 Stock Incentive Plan and 2020 Stock Incentive Plan.</w:t>
      </w:r>
    </w:p>
    <w:p>
      <w:pPr>
        <w:spacing w:after="0" w:line="41" w:lineRule="exact"/>
        <w:rPr>
          <w:rFonts w:ascii="Arial" w:cs="Arial" w:eastAsia="Arial" w:hAnsi="Arial"/>
          <w:sz w:val="14"/>
          <w:szCs w:val="14"/>
          <w:color w:val="auto"/>
        </w:rPr>
      </w:pPr>
    </w:p>
    <w:p>
      <w:pPr>
        <w:ind w:left="860" w:hanging="352"/>
        <w:spacing w:after="0"/>
        <w:tabs>
          <w:tab w:leader="none" w:pos="8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outstanding stock option awards only.</w:t>
      </w:r>
    </w:p>
    <w:p>
      <w:pPr>
        <w:spacing w:after="0" w:line="28" w:lineRule="exact"/>
        <w:rPr>
          <w:rFonts w:ascii="Arial" w:cs="Arial" w:eastAsia="Arial" w:hAnsi="Arial"/>
          <w:sz w:val="14"/>
          <w:szCs w:val="14"/>
          <w:color w:val="auto"/>
        </w:rPr>
      </w:pPr>
    </w:p>
    <w:p>
      <w:pPr>
        <w:jc w:val="both"/>
        <w:ind w:left="840" w:right="740" w:hanging="332"/>
        <w:spacing w:after="0" w:line="228" w:lineRule="auto"/>
        <w:tabs>
          <w:tab w:leader="none" w:pos="873"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2020 Stock Incentive Plan permits the awards of incentive stock options, non-statutory stock options, stock bonuses, rights to acquire restricted stock, stock appreciation rights (“SARs”), PRSUs and RSUs. The total number reflected here relates to all types of these awards, even though at the present time, our Compensation Committee is only awarding RSUs and PRSUs. That can change in the discretion of our Compensation Committee or our Board.</w:t>
      </w:r>
    </w:p>
    <w:p>
      <w:pPr>
        <w:spacing w:after="0" w:line="3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35" w:lineRule="exact"/>
        <w:rPr>
          <w:sz w:val="20"/>
          <w:szCs w:val="20"/>
          <w:color w:val="auto"/>
        </w:rPr>
      </w:pPr>
    </w:p>
    <w:p>
      <w:pPr>
        <w:jc w:val="both"/>
        <w:ind w:left="180" w:right="740" w:firstLine="648"/>
        <w:spacing w:after="0" w:line="224" w:lineRule="auto"/>
        <w:rPr>
          <w:sz w:val="20"/>
          <w:szCs w:val="20"/>
          <w:color w:val="auto"/>
        </w:rPr>
      </w:pPr>
      <w:r>
        <w:rPr>
          <w:rFonts w:ascii="Arial" w:cs="Arial" w:eastAsia="Arial" w:hAnsi="Arial"/>
          <w:sz w:val="18"/>
          <w:szCs w:val="18"/>
          <w:color w:val="auto"/>
        </w:rPr>
        <w:t>The following paragraphs provide information regarding potential payments to each of our NEOs in connection with certain termination events, including a termination related to a change of control of the Company, as of December 31, 2022:</w:t>
      </w:r>
    </w:p>
    <w:p>
      <w:pPr>
        <w:spacing w:after="0" w:line="136" w:lineRule="exact"/>
        <w:rPr>
          <w:sz w:val="20"/>
          <w:szCs w:val="20"/>
          <w:color w:val="auto"/>
        </w:rPr>
      </w:pPr>
    </w:p>
    <w:p>
      <w:pPr>
        <w:jc w:val="both"/>
        <w:ind w:left="180" w:right="740" w:firstLine="648"/>
        <w:spacing w:after="0" w:line="248" w:lineRule="auto"/>
        <w:rPr>
          <w:sz w:val="20"/>
          <w:szCs w:val="20"/>
          <w:color w:val="auto"/>
        </w:rPr>
      </w:pPr>
      <w:r>
        <w:rPr>
          <w:rFonts w:ascii="Arial" w:cs="Arial" w:eastAsia="Arial" w:hAnsi="Arial"/>
          <w:sz w:val="16"/>
          <w:szCs w:val="16"/>
          <w:u w:val="single" w:color="auto"/>
          <w:color w:val="auto"/>
        </w:rPr>
        <w:t>Certain Retirement Benefits</w:t>
      </w:r>
      <w:r>
        <w:rPr>
          <w:rFonts w:ascii="Arial" w:cs="Arial" w:eastAsia="Arial" w:hAnsi="Arial"/>
          <w:sz w:val="16"/>
          <w:szCs w:val="16"/>
          <w:color w:val="auto"/>
        </w:rPr>
        <w:t>. On August 29, 2017, our Compensation Committee approved a one-time retirement benefit for Craig Tompkins, Executive Vice President and General Counsel, incident to his retention as</w:t>
      </w:r>
    </w:p>
    <w:p>
      <w:pPr>
        <w:jc w:val="both"/>
        <w:ind w:left="180" w:right="740"/>
        <w:spacing w:after="0" w:line="234" w:lineRule="auto"/>
        <w:rPr>
          <w:sz w:val="20"/>
          <w:szCs w:val="20"/>
          <w:color w:val="auto"/>
        </w:rPr>
      </w:pPr>
      <w:r>
        <w:rPr>
          <w:rFonts w:ascii="Arial" w:cs="Arial" w:eastAsia="Arial" w:hAnsi="Arial"/>
          <w:sz w:val="16"/>
          <w:szCs w:val="16"/>
          <w:color w:val="auto"/>
        </w:rPr>
        <w:t>our General Counsel. The retirement benefit is a single year benefit in an amount equal to the average of the two highest total cash compensation (base salary plus cash bonus) years paid to Mr. Tompkins in the then most recently completed five-year period, less the amount of $197,060, accrued to Mr. Tompkins under a separate vested benefit</w:t>
      </w:r>
    </w:p>
    <w:p>
      <w:pPr>
        <w:spacing w:after="0" w:line="2" w:lineRule="exact"/>
        <w:rPr>
          <w:sz w:val="20"/>
          <w:szCs w:val="20"/>
          <w:color w:val="auto"/>
        </w:rPr>
      </w:pPr>
    </w:p>
    <w:p>
      <w:pPr>
        <w:jc w:val="both"/>
        <w:ind w:left="180" w:right="740"/>
        <w:spacing w:after="0" w:line="226" w:lineRule="auto"/>
        <w:rPr>
          <w:sz w:val="20"/>
          <w:szCs w:val="20"/>
          <w:color w:val="auto"/>
        </w:rPr>
      </w:pPr>
      <w:r>
        <w:rPr>
          <w:rFonts w:ascii="Arial" w:cs="Arial" w:eastAsia="Arial" w:hAnsi="Arial"/>
          <w:sz w:val="18"/>
          <w:szCs w:val="18"/>
          <w:color w:val="auto"/>
        </w:rPr>
        <w:t>program established by one of the two companies acquired by our Company as a part of the consolidation transaction in 2000.</w:t>
      </w:r>
    </w:p>
    <w:p>
      <w:pPr>
        <w:spacing w:after="0" w:line="134" w:lineRule="exact"/>
        <w:rPr>
          <w:sz w:val="20"/>
          <w:szCs w:val="20"/>
          <w:color w:val="auto"/>
        </w:rPr>
      </w:pPr>
    </w:p>
    <w:p>
      <w:pPr>
        <w:jc w:val="both"/>
        <w:ind w:left="180" w:right="740" w:firstLine="648"/>
        <w:spacing w:after="0" w:line="241" w:lineRule="auto"/>
        <w:rPr>
          <w:sz w:val="20"/>
          <w:szCs w:val="20"/>
          <w:color w:val="auto"/>
        </w:rPr>
      </w:pPr>
      <w:r>
        <w:rPr>
          <w:rFonts w:ascii="Arial" w:cs="Arial" w:eastAsia="Arial" w:hAnsi="Arial"/>
          <w:sz w:val="16"/>
          <w:szCs w:val="16"/>
          <w:u w:val="single" w:color="auto"/>
          <w:color w:val="auto"/>
        </w:rPr>
        <w:t>Option and RSU and PRSU Grants</w:t>
      </w:r>
      <w:r>
        <w:rPr>
          <w:rFonts w:ascii="Arial" w:cs="Arial" w:eastAsia="Arial" w:hAnsi="Arial"/>
          <w:sz w:val="16"/>
          <w:szCs w:val="16"/>
          <w:color w:val="auto"/>
        </w:rPr>
        <w:t>. All long-term incentive awards are subject to other terms and conditions set forth in the 2010 Stock Incentive Plan, the 2020 Stock Incentive Plan and award grants. In addition, individual grants include certain accelerated vesting provisions. In the case of employees, the accelerated vesting</w:t>
      </w:r>
    </w:p>
    <w:p>
      <w:pPr>
        <w:spacing w:after="0" w:line="2" w:lineRule="exact"/>
        <w:rPr>
          <w:sz w:val="20"/>
          <w:szCs w:val="20"/>
          <w:color w:val="auto"/>
        </w:rPr>
      </w:pPr>
    </w:p>
    <w:p>
      <w:pPr>
        <w:jc w:val="both"/>
        <w:ind w:left="180" w:right="740"/>
        <w:spacing w:after="0" w:line="234" w:lineRule="auto"/>
        <w:rPr>
          <w:sz w:val="20"/>
          <w:szCs w:val="20"/>
          <w:color w:val="auto"/>
        </w:rPr>
      </w:pPr>
      <w:r>
        <w:rPr>
          <w:rFonts w:ascii="Arial" w:cs="Arial" w:eastAsia="Arial" w:hAnsi="Arial"/>
          <w:sz w:val="16"/>
          <w:szCs w:val="16"/>
          <w:color w:val="auto"/>
        </w:rPr>
        <w:t>will be triggered upon (i) the award recipient’s death or disability, (ii) certain corporate transactions in which the awards are not replaced with substantially equivalent awards, or (iii) upon termination without cause or for “good reason” within twenty-four months of a change of control, or a corporate transaction where equivalent awards have</w:t>
      </w:r>
    </w:p>
    <w:p>
      <w:pPr>
        <w:spacing w:after="0" w:line="2" w:lineRule="exact"/>
        <w:rPr>
          <w:sz w:val="20"/>
          <w:szCs w:val="20"/>
          <w:color w:val="auto"/>
        </w:rPr>
      </w:pPr>
    </w:p>
    <w:p>
      <w:pPr>
        <w:jc w:val="both"/>
        <w:ind w:left="180" w:right="740"/>
        <w:spacing w:after="0" w:line="226" w:lineRule="auto"/>
        <w:rPr>
          <w:sz w:val="20"/>
          <w:szCs w:val="20"/>
          <w:color w:val="auto"/>
        </w:rPr>
      </w:pPr>
      <w:r>
        <w:rPr>
          <w:rFonts w:ascii="Arial" w:cs="Arial" w:eastAsia="Arial" w:hAnsi="Arial"/>
          <w:sz w:val="18"/>
          <w:szCs w:val="18"/>
          <w:color w:val="auto"/>
        </w:rPr>
        <w:t>not been substituted. RSUs issued to our non-employee Directors provide for acceleration immediately upon a change of control.</w:t>
      </w:r>
    </w:p>
    <w:p>
      <w:pPr>
        <w:spacing w:after="0" w:line="134" w:lineRule="exact"/>
        <w:rPr>
          <w:sz w:val="20"/>
          <w:szCs w:val="20"/>
          <w:color w:val="auto"/>
        </w:rPr>
      </w:pPr>
    </w:p>
    <w:p>
      <w:pPr>
        <w:jc w:val="both"/>
        <w:ind w:left="180" w:right="740" w:firstLine="648"/>
        <w:spacing w:after="0" w:line="241" w:lineRule="auto"/>
        <w:rPr>
          <w:sz w:val="20"/>
          <w:szCs w:val="20"/>
          <w:color w:val="auto"/>
        </w:rPr>
      </w:pPr>
      <w:r>
        <w:rPr>
          <w:rFonts w:ascii="Arial" w:cs="Arial" w:eastAsia="Arial" w:hAnsi="Arial"/>
          <w:sz w:val="16"/>
          <w:szCs w:val="16"/>
          <w:color w:val="auto"/>
        </w:rPr>
        <w:t>Except as described above, no other NEOs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w:t>
      </w:r>
    </w:p>
    <w:p>
      <w:pPr>
        <w:spacing w:after="0" w:line="2" w:lineRule="exact"/>
        <w:rPr>
          <w:sz w:val="20"/>
          <w:szCs w:val="20"/>
          <w:color w:val="auto"/>
        </w:rPr>
      </w:pPr>
    </w:p>
    <w:p>
      <w:pPr>
        <w:jc w:val="both"/>
        <w:ind w:left="180" w:right="740"/>
        <w:spacing w:after="0" w:line="268" w:lineRule="auto"/>
        <w:rPr>
          <w:sz w:val="20"/>
          <w:szCs w:val="20"/>
          <w:color w:val="auto"/>
        </w:rPr>
      </w:pPr>
      <w:r>
        <w:rPr>
          <w:rFonts w:ascii="Arial" w:cs="Arial" w:eastAsia="Arial" w:hAnsi="Arial"/>
          <w:sz w:val="16"/>
          <w:szCs w:val="16"/>
          <w:color w:val="auto"/>
        </w:rPr>
        <w:t>in connection with a change in control, if such events occurred on December 31, 2022, assuming the transaction took place on December 31, 2022, at a price equal to the closing price of the Class A Stock, which was of $2.77.</w:t>
      </w: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7555" cy="51435"/>
                    </a:xfrm>
                    <a:prstGeom prst="rect">
                      <a:avLst/>
                    </a:prstGeom>
                    <a:noFill/>
                  </pic:spPr>
                </pic:pic>
              </a:graphicData>
            </a:graphic>
          </wp:anchor>
        </w:drawing>
      </w:r>
    </w:p>
    <w:p>
      <w:pPr>
        <w:sectPr>
          <w:pgSz w:w="11900" w:h="16838" w:orient="portrait"/>
          <w:cols w:equalWidth="0" w:num="1">
            <w:col w:w="9320"/>
          </w:cols>
          <w:pgMar w:left="1440" w:top="445" w:right="1139" w:bottom="1440" w:gutter="0" w:footer="0" w:header="0"/>
        </w:sectPr>
      </w:pPr>
    </w:p>
    <w:bookmarkStart w:id="50" w:name="page51"/>
    <w:bookmarkEnd w:id="50"/>
    <w:tbl>
      <w:tblPr>
        <w:tblLayout w:type="fixed"/>
        <w:tblInd w:w="190" w:type="dxa"/>
        <w:tblCellMar>
          <w:top w:w="0" w:type="dxa"/>
          <w:left w:w="0" w:type="dxa"/>
          <w:bottom w:w="0" w:type="dxa"/>
          <w:right w:w="0" w:type="dxa"/>
        </w:tblCellMar>
      </w:tblPr>
      <w:tr>
        <w:trPr>
          <w:trHeight w:val="441"/>
        </w:trPr>
        <w:tc>
          <w:tcPr>
            <w:tcW w:w="1120" w:type="dxa"/>
            <w:vAlign w:val="bottom"/>
            <w:tcBorders>
              <w:right w:val="single" w:sz="8" w:color="auto"/>
            </w:tcBorders>
          </w:tcPr>
          <w:p>
            <w:pPr>
              <w:spacing w:after="0"/>
              <w:rPr>
                <w:sz w:val="24"/>
                <w:szCs w:val="24"/>
                <w:color w:val="auto"/>
              </w:rPr>
            </w:pPr>
          </w:p>
        </w:tc>
        <w:tc>
          <w:tcPr>
            <w:tcW w:w="350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Payable on upon Termination without Cause</w:t>
            </w:r>
          </w:p>
        </w:tc>
        <w:tc>
          <w:tcPr>
            <w:tcW w:w="316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Payable on upon Termination in</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Payable upon</w:t>
            </w: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8"/>
                <w:szCs w:val="18"/>
                <w:b w:val="1"/>
                <w:bCs w:val="1"/>
                <w:color w:val="auto"/>
                <w:w w:val="90"/>
              </w:rPr>
              <w:t>($)</w:t>
            </w:r>
          </w:p>
        </w:tc>
        <w:tc>
          <w:tcPr>
            <w:tcW w:w="8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Connection with a Change in Control ($)</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Retirement ($)</w:t>
            </w:r>
          </w:p>
        </w:tc>
        <w:tc>
          <w:tcPr>
            <w:tcW w:w="0" w:type="dxa"/>
            <w:vAlign w:val="bottom"/>
          </w:tcPr>
          <w:p>
            <w:pPr>
              <w:spacing w:after="0"/>
              <w:rPr>
                <w:sz w:val="1"/>
                <w:szCs w:val="1"/>
                <w:color w:val="auto"/>
              </w:rPr>
            </w:pPr>
          </w:p>
        </w:tc>
      </w:tr>
      <w:tr>
        <w:trPr>
          <w:trHeight w:val="380"/>
        </w:trPr>
        <w:tc>
          <w:tcPr>
            <w:tcW w:w="11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jc w:val="center"/>
              <w:ind w:left="32"/>
              <w:spacing w:after="0"/>
              <w:rPr>
                <w:sz w:val="20"/>
                <w:szCs w:val="20"/>
                <w:color w:val="auto"/>
              </w:rPr>
            </w:pPr>
            <w:r>
              <w:rPr>
                <w:rFonts w:ascii="Arial" w:cs="Arial" w:eastAsia="Arial" w:hAnsi="Arial"/>
                <w:sz w:val="18"/>
                <w:szCs w:val="18"/>
                <w:b w:val="1"/>
                <w:bCs w:val="1"/>
                <w:color w:val="auto"/>
                <w:w w:val="88"/>
              </w:rPr>
              <w:t>Value of</w:t>
            </w:r>
          </w:p>
        </w:tc>
        <w:tc>
          <w:tcPr>
            <w:tcW w:w="1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98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vMerge w:val="restart"/>
          </w:tcPr>
          <w:p>
            <w:pPr>
              <w:jc w:val="right"/>
              <w:ind w:right="153"/>
              <w:spacing w:after="0"/>
              <w:rPr>
                <w:sz w:val="20"/>
                <w:szCs w:val="20"/>
                <w:color w:val="auto"/>
              </w:rPr>
            </w:pPr>
            <w:r>
              <w:rPr>
                <w:rFonts w:ascii="Arial" w:cs="Arial" w:eastAsia="Arial" w:hAnsi="Arial"/>
                <w:sz w:val="18"/>
                <w:szCs w:val="18"/>
                <w:b w:val="1"/>
                <w:bCs w:val="1"/>
                <w:color w:val="auto"/>
              </w:rPr>
              <w:t>Value of</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Benefits Payable</w:t>
            </w:r>
          </w:p>
        </w:tc>
        <w:tc>
          <w:tcPr>
            <w:tcW w:w="0" w:type="dxa"/>
            <w:vAlign w:val="bottom"/>
          </w:tcPr>
          <w:p>
            <w:pPr>
              <w:spacing w:after="0"/>
              <w:rPr>
                <w:sz w:val="1"/>
                <w:szCs w:val="1"/>
                <w:color w:val="auto"/>
              </w:rPr>
            </w:pPr>
          </w:p>
        </w:tc>
      </w:tr>
      <w:tr>
        <w:trPr>
          <w:trHeight w:val="180"/>
        </w:trPr>
        <w:tc>
          <w:tcPr>
            <w:tcW w:w="1120" w:type="dxa"/>
            <w:vAlign w:val="bottom"/>
            <w:tcBorders>
              <w:left w:val="single" w:sz="8" w:color="auto"/>
              <w:right w:val="single" w:sz="8" w:color="auto"/>
            </w:tcBorders>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Severance</w:t>
            </w:r>
          </w:p>
        </w:tc>
        <w:tc>
          <w:tcPr>
            <w:tcW w:w="780" w:type="dxa"/>
            <w:vAlign w:val="bottom"/>
          </w:tcPr>
          <w:p>
            <w:pPr>
              <w:jc w:val="center"/>
              <w:ind w:left="32"/>
              <w:spacing w:after="0" w:line="181" w:lineRule="exact"/>
              <w:rPr>
                <w:sz w:val="20"/>
                <w:szCs w:val="20"/>
                <w:color w:val="auto"/>
              </w:rPr>
            </w:pPr>
            <w:r>
              <w:rPr>
                <w:rFonts w:ascii="Arial" w:cs="Arial" w:eastAsia="Arial" w:hAnsi="Arial"/>
                <w:sz w:val="18"/>
                <w:szCs w:val="18"/>
                <w:b w:val="1"/>
                <w:bCs w:val="1"/>
                <w:color w:val="auto"/>
                <w:w w:val="84"/>
              </w:rPr>
              <w:t>Vested</w:t>
            </w:r>
          </w:p>
        </w:tc>
        <w:tc>
          <w:tcPr>
            <w:tcW w:w="1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4"/>
              </w:rPr>
              <w:t>Vested</w:t>
            </w:r>
          </w:p>
        </w:tc>
        <w:tc>
          <w:tcPr>
            <w:tcW w:w="84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Severance</w:t>
            </w:r>
          </w:p>
        </w:tc>
        <w:tc>
          <w:tcPr>
            <w:tcW w:w="1080" w:type="dxa"/>
            <w:vAlign w:val="bottom"/>
            <w:tcBorders>
              <w:right w:val="single" w:sz="8" w:color="auto"/>
            </w:tcBorders>
            <w:vMerge w:val="continue"/>
          </w:tcPr>
          <w:p>
            <w:pPr>
              <w:spacing w:after="0"/>
              <w:rPr>
                <w:sz w:val="15"/>
                <w:szCs w:val="15"/>
                <w:color w:val="auto"/>
              </w:rPr>
            </w:pPr>
          </w:p>
        </w:tc>
        <w:tc>
          <w:tcPr>
            <w:tcW w:w="1100" w:type="dxa"/>
            <w:vAlign w:val="bottom"/>
            <w:tcBorders>
              <w:right w:val="single" w:sz="8" w:color="auto"/>
            </w:tcBorders>
            <w:vMerge w:val="continue"/>
          </w:tcPr>
          <w:p>
            <w:pPr>
              <w:spacing w:after="0"/>
              <w:rPr>
                <w:sz w:val="15"/>
                <w:szCs w:val="15"/>
                <w:color w:val="auto"/>
              </w:rPr>
            </w:pPr>
          </w:p>
        </w:tc>
        <w:tc>
          <w:tcPr>
            <w:tcW w:w="13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8"/>
                <w:szCs w:val="18"/>
                <w:b w:val="1"/>
                <w:bCs w:val="1"/>
                <w:color w:val="auto"/>
              </w:rPr>
              <w:t>Name</w:t>
            </w:r>
          </w:p>
        </w:tc>
        <w:tc>
          <w:tcPr>
            <w:tcW w:w="840" w:type="dxa"/>
            <w:vAlign w:val="bottom"/>
            <w:vMerge w:val="continue"/>
          </w:tcPr>
          <w:p>
            <w:pPr>
              <w:spacing w:after="0"/>
              <w:rPr>
                <w:sz w:val="15"/>
                <w:szCs w:val="15"/>
                <w:color w:val="auto"/>
              </w:rPr>
            </w:pPr>
          </w:p>
        </w:tc>
        <w:tc>
          <w:tcPr>
            <w:tcW w:w="780" w:type="dxa"/>
            <w:vAlign w:val="bottom"/>
          </w:tcPr>
          <w:p>
            <w:pPr>
              <w:jc w:val="center"/>
              <w:ind w:left="32"/>
              <w:spacing w:after="0" w:line="176" w:lineRule="exact"/>
              <w:rPr>
                <w:sz w:val="20"/>
                <w:szCs w:val="20"/>
                <w:color w:val="auto"/>
              </w:rPr>
            </w:pPr>
            <w:r>
              <w:rPr>
                <w:rFonts w:ascii="Arial" w:cs="Arial" w:eastAsia="Arial" w:hAnsi="Arial"/>
                <w:sz w:val="18"/>
                <w:szCs w:val="18"/>
                <w:b w:val="1"/>
                <w:bCs w:val="1"/>
                <w:color w:val="auto"/>
                <w:w w:val="85"/>
              </w:rPr>
              <w:t>Stock</w:t>
            </w:r>
          </w:p>
        </w:tc>
        <w:tc>
          <w:tcPr>
            <w:tcW w:w="1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3"/>
              </w:rPr>
              <w:t>Option</w:t>
            </w:r>
          </w:p>
        </w:tc>
        <w:tc>
          <w:tcPr>
            <w:tcW w:w="8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4"/>
              </w:rPr>
              <w:t>Health</w:t>
            </w:r>
          </w:p>
        </w:tc>
        <w:tc>
          <w:tcPr>
            <w:tcW w:w="98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88"/>
              </w:rPr>
              <w:t>Vested Stock</w:t>
            </w:r>
          </w:p>
        </w:tc>
        <w:tc>
          <w:tcPr>
            <w:tcW w:w="11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6"/>
              </w:rPr>
              <w:t>Vested Stock</w:t>
            </w:r>
          </w:p>
        </w:tc>
        <w:tc>
          <w:tcPr>
            <w:tcW w:w="13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under</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8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Payments</w:t>
            </w:r>
          </w:p>
        </w:tc>
        <w:tc>
          <w:tcPr>
            <w:tcW w:w="780" w:type="dxa"/>
            <w:vAlign w:val="bottom"/>
            <w:tcBorders>
              <w:bottom w:val="single" w:sz="8" w:color="auto"/>
            </w:tcBorders>
          </w:tcPr>
          <w:p>
            <w:pPr>
              <w:jc w:val="center"/>
              <w:ind w:left="32"/>
              <w:spacing w:after="0" w:line="202" w:lineRule="exact"/>
              <w:rPr>
                <w:sz w:val="20"/>
                <w:szCs w:val="20"/>
                <w:color w:val="auto"/>
              </w:rPr>
            </w:pPr>
            <w:r>
              <w:rPr>
                <w:rFonts w:ascii="Arial" w:cs="Arial" w:eastAsia="Arial" w:hAnsi="Arial"/>
                <w:sz w:val="18"/>
                <w:szCs w:val="18"/>
                <w:b w:val="1"/>
                <w:bCs w:val="1"/>
                <w:color w:val="auto"/>
                <w:w w:val="89"/>
              </w:rPr>
              <w:t>Awards</w:t>
            </w:r>
          </w:p>
        </w:tc>
        <w:tc>
          <w:tcPr>
            <w:tcW w:w="1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1"/>
              </w:rPr>
              <w:t>Awards(1)</w:t>
            </w:r>
          </w:p>
        </w:tc>
        <w:tc>
          <w:tcPr>
            <w:tcW w:w="84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7"/>
              </w:rPr>
              <w:t>Benefits</w:t>
            </w:r>
          </w:p>
        </w:tc>
        <w:tc>
          <w:tcPr>
            <w:tcW w:w="98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Payments</w:t>
            </w:r>
          </w:p>
        </w:tc>
        <w:tc>
          <w:tcPr>
            <w:tcW w:w="1080" w:type="dxa"/>
            <w:vAlign w:val="bottom"/>
            <w:tcBorders>
              <w:bottom w:val="single" w:sz="8" w:color="auto"/>
              <w:right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w w:val="99"/>
              </w:rPr>
              <w:t>Awards (1)</w:t>
            </w:r>
          </w:p>
        </w:tc>
        <w:tc>
          <w:tcPr>
            <w:tcW w:w="110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Options (1)</w:t>
            </w:r>
          </w:p>
        </w:tc>
        <w:tc>
          <w:tcPr>
            <w:tcW w:w="136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Retirement Plans</w:t>
            </w: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shd w:val="clear" w:color="auto" w:fill="C6E5FE"/>
          </w:tcPr>
          <w:p>
            <w:pPr>
              <w:ind w:left="20"/>
              <w:spacing w:after="0" w:line="154" w:lineRule="exact"/>
              <w:rPr>
                <w:sz w:val="20"/>
                <w:szCs w:val="20"/>
                <w:color w:val="auto"/>
              </w:rPr>
            </w:pPr>
            <w:r>
              <w:rPr>
                <w:rFonts w:ascii="Arial" w:cs="Arial" w:eastAsia="Arial" w:hAnsi="Arial"/>
                <w:sz w:val="17"/>
                <w:szCs w:val="17"/>
                <w:color w:val="auto"/>
              </w:rPr>
              <w:t>Ellen M.</w:t>
            </w:r>
          </w:p>
        </w:tc>
        <w:tc>
          <w:tcPr>
            <w:tcW w:w="84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780" w:type="dxa"/>
            <w:vAlign w:val="bottom"/>
            <w:shd w:val="clear" w:color="auto" w:fill="C6E5FE"/>
          </w:tcPr>
          <w:p>
            <w:pPr>
              <w:jc w:val="center"/>
              <w:ind w:left="52"/>
              <w:spacing w:after="0" w:line="154" w:lineRule="exact"/>
              <w:rPr>
                <w:sz w:val="20"/>
                <w:szCs w:val="20"/>
                <w:color w:val="auto"/>
              </w:rPr>
            </w:pPr>
            <w:r>
              <w:rPr>
                <w:rFonts w:ascii="Arial" w:cs="Arial" w:eastAsia="Arial" w:hAnsi="Arial"/>
                <w:sz w:val="17"/>
                <w:szCs w:val="17"/>
                <w:color w:val="auto"/>
              </w:rPr>
              <w:t>--</w:t>
            </w:r>
          </w:p>
        </w:tc>
        <w:tc>
          <w:tcPr>
            <w:tcW w:w="180" w:type="dxa"/>
            <w:vAlign w:val="bottom"/>
            <w:tcBorders>
              <w:right w:val="single" w:sz="8" w:color="auto"/>
            </w:tcBorders>
            <w:shd w:val="clear" w:color="auto" w:fill="C6E5FE"/>
          </w:tcPr>
          <w:p>
            <w:pPr>
              <w:spacing w:after="0"/>
              <w:rPr>
                <w:sz w:val="13"/>
                <w:szCs w:val="13"/>
                <w:color w:val="auto"/>
              </w:rPr>
            </w:pPr>
          </w:p>
        </w:tc>
        <w:tc>
          <w:tcPr>
            <w:tcW w:w="86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shd w:val="clear" w:color="auto" w:fill="C6E5FE"/>
          </w:tcPr>
          <w:p>
            <w:pPr>
              <w:jc w:val="right"/>
              <w:spacing w:after="0" w:line="154" w:lineRule="exact"/>
              <w:rPr>
                <w:sz w:val="20"/>
                <w:szCs w:val="20"/>
                <w:color w:val="auto"/>
              </w:rPr>
            </w:pPr>
            <w:r>
              <w:rPr>
                <w:rFonts w:ascii="Arial" w:cs="Arial" w:eastAsia="Arial" w:hAnsi="Arial"/>
                <w:sz w:val="17"/>
                <w:szCs w:val="17"/>
                <w:color w:val="auto"/>
              </w:rPr>
              <w:t>397,088</w:t>
            </w:r>
          </w:p>
        </w:tc>
        <w:tc>
          <w:tcPr>
            <w:tcW w:w="110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auto"/>
            </w:tcBorders>
            <w:shd w:val="clear" w:color="auto" w:fill="C6E5FE"/>
          </w:tcPr>
          <w:p>
            <w:pPr>
              <w:jc w:val="right"/>
              <w:spacing w:after="0" w:line="15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1120" w:type="dxa"/>
            <w:vAlign w:val="bottom"/>
            <w:tcBorders>
              <w:left w:val="single" w:sz="8" w:color="auto"/>
              <w:right w:val="single" w:sz="8" w:color="auto"/>
            </w:tcBorders>
            <w:shd w:val="clear" w:color="auto" w:fill="C6E5FE"/>
          </w:tcPr>
          <w:p>
            <w:pPr>
              <w:ind w:left="20"/>
              <w:spacing w:after="0"/>
              <w:rPr>
                <w:sz w:val="20"/>
                <w:szCs w:val="20"/>
                <w:color w:val="auto"/>
              </w:rPr>
            </w:pPr>
            <w:r>
              <w:rPr>
                <w:rFonts w:ascii="Arial" w:cs="Arial" w:eastAsia="Arial" w:hAnsi="Arial"/>
                <w:sz w:val="18"/>
                <w:szCs w:val="18"/>
                <w:color w:val="auto"/>
              </w:rPr>
              <w:t>Cotter</w:t>
            </w:r>
          </w:p>
        </w:tc>
        <w:tc>
          <w:tcPr>
            <w:tcW w:w="840" w:type="dxa"/>
            <w:vAlign w:val="bottom"/>
            <w:tcBorders>
              <w:right w:val="single" w:sz="8" w:color="auto"/>
            </w:tcBorders>
            <w:shd w:val="clear" w:color="auto" w:fill="C6E5FE"/>
          </w:tcPr>
          <w:p>
            <w:pPr>
              <w:spacing w:after="0"/>
              <w:rPr>
                <w:sz w:val="20"/>
                <w:szCs w:val="20"/>
                <w:color w:val="auto"/>
              </w:rPr>
            </w:pPr>
          </w:p>
        </w:tc>
        <w:tc>
          <w:tcPr>
            <w:tcW w:w="780" w:type="dxa"/>
            <w:vAlign w:val="bottom"/>
            <w:shd w:val="clear" w:color="auto" w:fill="C6E5FE"/>
          </w:tcPr>
          <w:p>
            <w:pPr>
              <w:spacing w:after="0"/>
              <w:rPr>
                <w:sz w:val="20"/>
                <w:szCs w:val="20"/>
                <w:color w:val="auto"/>
              </w:rPr>
            </w:pPr>
          </w:p>
        </w:tc>
        <w:tc>
          <w:tcPr>
            <w:tcW w:w="180" w:type="dxa"/>
            <w:vAlign w:val="bottom"/>
            <w:tcBorders>
              <w:right w:val="single" w:sz="8" w:color="auto"/>
            </w:tcBorders>
            <w:shd w:val="clear" w:color="auto" w:fill="C6E5FE"/>
          </w:tcPr>
          <w:p>
            <w:pPr>
              <w:spacing w:after="0"/>
              <w:rPr>
                <w:sz w:val="20"/>
                <w:szCs w:val="20"/>
                <w:color w:val="auto"/>
              </w:rPr>
            </w:pPr>
          </w:p>
        </w:tc>
        <w:tc>
          <w:tcPr>
            <w:tcW w:w="860" w:type="dxa"/>
            <w:vAlign w:val="bottom"/>
            <w:tcBorders>
              <w:right w:val="single" w:sz="8" w:color="auto"/>
            </w:tcBorders>
            <w:shd w:val="clear" w:color="auto" w:fill="C6E5FE"/>
          </w:tcPr>
          <w:p>
            <w:pPr>
              <w:spacing w:after="0"/>
              <w:rPr>
                <w:sz w:val="20"/>
                <w:szCs w:val="20"/>
                <w:color w:val="auto"/>
              </w:rPr>
            </w:pPr>
          </w:p>
        </w:tc>
        <w:tc>
          <w:tcPr>
            <w:tcW w:w="840" w:type="dxa"/>
            <w:vAlign w:val="bottom"/>
            <w:tcBorders>
              <w:right w:val="single" w:sz="8" w:color="auto"/>
            </w:tcBorders>
            <w:shd w:val="clear" w:color="auto" w:fill="C6E5FE"/>
          </w:tcPr>
          <w:p>
            <w:pPr>
              <w:spacing w:after="0"/>
              <w:rPr>
                <w:sz w:val="20"/>
                <w:szCs w:val="20"/>
                <w:color w:val="auto"/>
              </w:rPr>
            </w:pPr>
          </w:p>
        </w:tc>
        <w:tc>
          <w:tcPr>
            <w:tcW w:w="980" w:type="dxa"/>
            <w:vAlign w:val="bottom"/>
            <w:tcBorders>
              <w:right w:val="single" w:sz="8" w:color="auto"/>
            </w:tcBorders>
            <w:shd w:val="clear" w:color="auto" w:fill="C6E5FE"/>
          </w:tcPr>
          <w:p>
            <w:pPr>
              <w:spacing w:after="0"/>
              <w:rPr>
                <w:sz w:val="20"/>
                <w:szCs w:val="20"/>
                <w:color w:val="auto"/>
              </w:rPr>
            </w:pPr>
          </w:p>
        </w:tc>
        <w:tc>
          <w:tcPr>
            <w:tcW w:w="1080" w:type="dxa"/>
            <w:vAlign w:val="bottom"/>
            <w:tcBorders>
              <w:right w:val="single" w:sz="8" w:color="auto"/>
            </w:tcBorders>
            <w:shd w:val="clear" w:color="auto" w:fill="C6E5FE"/>
          </w:tcPr>
          <w:p>
            <w:pPr>
              <w:spacing w:after="0"/>
              <w:rPr>
                <w:sz w:val="20"/>
                <w:szCs w:val="20"/>
                <w:color w:val="auto"/>
              </w:rPr>
            </w:pPr>
          </w:p>
        </w:tc>
        <w:tc>
          <w:tcPr>
            <w:tcW w:w="1100" w:type="dxa"/>
            <w:vAlign w:val="bottom"/>
            <w:tcBorders>
              <w:right w:val="single" w:sz="8" w:color="auto"/>
            </w:tcBorders>
            <w:shd w:val="clear" w:color="auto" w:fill="C6E5FE"/>
          </w:tcPr>
          <w:p>
            <w:pPr>
              <w:spacing w:after="0"/>
              <w:rPr>
                <w:sz w:val="20"/>
                <w:szCs w:val="20"/>
                <w:color w:val="auto"/>
              </w:rPr>
            </w:pPr>
          </w:p>
        </w:tc>
        <w:tc>
          <w:tcPr>
            <w:tcW w:w="1360" w:type="dxa"/>
            <w:vAlign w:val="bottom"/>
            <w:tcBorders>
              <w:right w:val="single" w:sz="8" w:color="auto"/>
            </w:tcBorders>
            <w:shd w:val="clear" w:color="auto" w:fill="C6E5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bottom w:val="single" w:sz="8" w:color="auto"/>
              <w:right w:val="single" w:sz="8" w:color="auto"/>
            </w:tcBorders>
            <w:shd w:val="clear" w:color="auto" w:fill="C6E5FE"/>
          </w:tcPr>
          <w:p>
            <w:pPr>
              <w:spacing w:after="0"/>
              <w:rPr>
                <w:sz w:val="21"/>
                <w:szCs w:val="21"/>
                <w:color w:val="auto"/>
              </w:rPr>
            </w:pPr>
          </w:p>
        </w:tc>
        <w:tc>
          <w:tcPr>
            <w:tcW w:w="840" w:type="dxa"/>
            <w:vAlign w:val="bottom"/>
            <w:tcBorders>
              <w:bottom w:val="single" w:sz="8" w:color="auto"/>
              <w:right w:val="single" w:sz="8" w:color="auto"/>
            </w:tcBorders>
            <w:shd w:val="clear" w:color="auto" w:fill="C6E5FE"/>
          </w:tcPr>
          <w:p>
            <w:pPr>
              <w:spacing w:after="0"/>
              <w:rPr>
                <w:sz w:val="21"/>
                <w:szCs w:val="21"/>
                <w:color w:val="auto"/>
              </w:rPr>
            </w:pPr>
          </w:p>
        </w:tc>
        <w:tc>
          <w:tcPr>
            <w:tcW w:w="780" w:type="dxa"/>
            <w:vAlign w:val="bottom"/>
            <w:tcBorders>
              <w:bottom w:val="single" w:sz="8" w:color="auto"/>
            </w:tcBorders>
            <w:shd w:val="clear" w:color="auto" w:fill="C6E5FE"/>
          </w:tcPr>
          <w:p>
            <w:pPr>
              <w:spacing w:after="0"/>
              <w:rPr>
                <w:sz w:val="21"/>
                <w:szCs w:val="21"/>
                <w:color w:val="auto"/>
              </w:rPr>
            </w:pPr>
          </w:p>
        </w:tc>
        <w:tc>
          <w:tcPr>
            <w:tcW w:w="180" w:type="dxa"/>
            <w:vAlign w:val="bottom"/>
            <w:tcBorders>
              <w:bottom w:val="single" w:sz="8" w:color="auto"/>
              <w:right w:val="single" w:sz="8" w:color="auto"/>
            </w:tcBorders>
            <w:shd w:val="clear" w:color="auto" w:fill="C6E5FE"/>
          </w:tcPr>
          <w:p>
            <w:pPr>
              <w:spacing w:after="0"/>
              <w:rPr>
                <w:sz w:val="21"/>
                <w:szCs w:val="21"/>
                <w:color w:val="auto"/>
              </w:rPr>
            </w:pPr>
          </w:p>
        </w:tc>
        <w:tc>
          <w:tcPr>
            <w:tcW w:w="860" w:type="dxa"/>
            <w:vAlign w:val="bottom"/>
            <w:tcBorders>
              <w:bottom w:val="single" w:sz="8" w:color="auto"/>
              <w:right w:val="single" w:sz="8" w:color="auto"/>
            </w:tcBorders>
            <w:shd w:val="clear" w:color="auto" w:fill="C6E5FE"/>
          </w:tcPr>
          <w:p>
            <w:pPr>
              <w:spacing w:after="0"/>
              <w:rPr>
                <w:sz w:val="21"/>
                <w:szCs w:val="21"/>
                <w:color w:val="auto"/>
              </w:rPr>
            </w:pPr>
          </w:p>
        </w:tc>
        <w:tc>
          <w:tcPr>
            <w:tcW w:w="840" w:type="dxa"/>
            <w:vAlign w:val="bottom"/>
            <w:tcBorders>
              <w:bottom w:val="single" w:sz="8" w:color="auto"/>
              <w:right w:val="single" w:sz="8" w:color="auto"/>
            </w:tcBorders>
            <w:shd w:val="clear" w:color="auto" w:fill="C6E5FE"/>
          </w:tcPr>
          <w:p>
            <w:pPr>
              <w:spacing w:after="0"/>
              <w:rPr>
                <w:sz w:val="21"/>
                <w:szCs w:val="21"/>
                <w:color w:val="auto"/>
              </w:rPr>
            </w:pPr>
          </w:p>
        </w:tc>
        <w:tc>
          <w:tcPr>
            <w:tcW w:w="980" w:type="dxa"/>
            <w:vAlign w:val="bottom"/>
            <w:tcBorders>
              <w:bottom w:val="single" w:sz="8" w:color="auto"/>
              <w:right w:val="single" w:sz="8" w:color="auto"/>
            </w:tcBorders>
            <w:shd w:val="clear" w:color="auto" w:fill="C6E5FE"/>
          </w:tcPr>
          <w:p>
            <w:pPr>
              <w:spacing w:after="0"/>
              <w:rPr>
                <w:sz w:val="21"/>
                <w:szCs w:val="21"/>
                <w:color w:val="auto"/>
              </w:rPr>
            </w:pPr>
          </w:p>
        </w:tc>
        <w:tc>
          <w:tcPr>
            <w:tcW w:w="1080" w:type="dxa"/>
            <w:vAlign w:val="bottom"/>
            <w:tcBorders>
              <w:bottom w:val="single" w:sz="8" w:color="auto"/>
              <w:right w:val="single" w:sz="8" w:color="auto"/>
            </w:tcBorders>
            <w:shd w:val="clear" w:color="auto" w:fill="C6E5FE"/>
          </w:tcPr>
          <w:p>
            <w:pPr>
              <w:spacing w:after="0"/>
              <w:rPr>
                <w:sz w:val="21"/>
                <w:szCs w:val="21"/>
                <w:color w:val="auto"/>
              </w:rPr>
            </w:pPr>
          </w:p>
        </w:tc>
        <w:tc>
          <w:tcPr>
            <w:tcW w:w="1100" w:type="dxa"/>
            <w:vAlign w:val="bottom"/>
            <w:tcBorders>
              <w:bottom w:val="single" w:sz="8" w:color="auto"/>
              <w:right w:val="single" w:sz="8" w:color="auto"/>
            </w:tcBorders>
            <w:shd w:val="clear" w:color="auto" w:fill="C6E5FE"/>
          </w:tcPr>
          <w:p>
            <w:pPr>
              <w:spacing w:after="0"/>
              <w:rPr>
                <w:sz w:val="21"/>
                <w:szCs w:val="21"/>
                <w:color w:val="auto"/>
              </w:rPr>
            </w:pPr>
          </w:p>
        </w:tc>
        <w:tc>
          <w:tcPr>
            <w:tcW w:w="1360" w:type="dxa"/>
            <w:vAlign w:val="bottom"/>
            <w:tcBorders>
              <w:bottom w:val="single" w:sz="8" w:color="auto"/>
              <w:right w:val="single" w:sz="8" w:color="auto"/>
            </w:tcBorders>
            <w:shd w:val="clear" w:color="auto" w:fill="C6E5F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7"/>
                <w:szCs w:val="17"/>
                <w:color w:val="auto"/>
              </w:rPr>
              <w:t>Margaret</w:t>
            </w:r>
          </w:p>
        </w:tc>
        <w:tc>
          <w:tcPr>
            <w:tcW w:w="8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w:t>
            </w:r>
          </w:p>
        </w:tc>
        <w:tc>
          <w:tcPr>
            <w:tcW w:w="780" w:type="dxa"/>
            <w:vAlign w:val="bottom"/>
          </w:tcPr>
          <w:p>
            <w:pPr>
              <w:jc w:val="center"/>
              <w:ind w:left="52"/>
              <w:spacing w:after="0" w:line="154" w:lineRule="exact"/>
              <w:rPr>
                <w:sz w:val="20"/>
                <w:szCs w:val="20"/>
                <w:color w:val="auto"/>
              </w:rPr>
            </w:pPr>
            <w:r>
              <w:rPr>
                <w:rFonts w:ascii="Arial" w:cs="Arial" w:eastAsia="Arial" w:hAnsi="Arial"/>
                <w:sz w:val="17"/>
                <w:szCs w:val="17"/>
                <w:color w:val="auto"/>
              </w:rPr>
              <w:t>--</w:t>
            </w:r>
          </w:p>
        </w:tc>
        <w:tc>
          <w:tcPr>
            <w:tcW w:w="1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7"/>
                <w:szCs w:val="17"/>
                <w:color w:val="auto"/>
              </w:rPr>
              <w:t>170,915</w:t>
            </w:r>
          </w:p>
        </w:tc>
        <w:tc>
          <w:tcPr>
            <w:tcW w:w="11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11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Cotter</w:t>
            </w:r>
          </w:p>
        </w:tc>
        <w:tc>
          <w:tcPr>
            <w:tcW w:w="8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shd w:val="clear" w:color="auto" w:fill="C6E5FE"/>
          </w:tcPr>
          <w:p>
            <w:pPr>
              <w:ind w:left="20"/>
              <w:spacing w:after="0" w:line="154" w:lineRule="exact"/>
              <w:rPr>
                <w:sz w:val="20"/>
                <w:szCs w:val="20"/>
                <w:color w:val="auto"/>
              </w:rPr>
            </w:pPr>
            <w:r>
              <w:rPr>
                <w:rFonts w:ascii="Arial" w:cs="Arial" w:eastAsia="Arial" w:hAnsi="Arial"/>
                <w:sz w:val="17"/>
                <w:szCs w:val="17"/>
                <w:color w:val="auto"/>
              </w:rPr>
              <w:t>S. Craig</w:t>
            </w:r>
          </w:p>
        </w:tc>
        <w:tc>
          <w:tcPr>
            <w:tcW w:w="84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780" w:type="dxa"/>
            <w:vAlign w:val="bottom"/>
            <w:shd w:val="clear" w:color="auto" w:fill="C6E5FE"/>
          </w:tcPr>
          <w:p>
            <w:pPr>
              <w:jc w:val="center"/>
              <w:ind w:left="52"/>
              <w:spacing w:after="0" w:line="154" w:lineRule="exact"/>
              <w:rPr>
                <w:sz w:val="20"/>
                <w:szCs w:val="20"/>
                <w:color w:val="auto"/>
              </w:rPr>
            </w:pPr>
            <w:r>
              <w:rPr>
                <w:rFonts w:ascii="Arial" w:cs="Arial" w:eastAsia="Arial" w:hAnsi="Arial"/>
                <w:sz w:val="17"/>
                <w:szCs w:val="17"/>
                <w:color w:val="auto"/>
              </w:rPr>
              <w:t>--</w:t>
            </w:r>
          </w:p>
        </w:tc>
        <w:tc>
          <w:tcPr>
            <w:tcW w:w="180" w:type="dxa"/>
            <w:vAlign w:val="bottom"/>
            <w:tcBorders>
              <w:right w:val="single" w:sz="8" w:color="auto"/>
            </w:tcBorders>
            <w:shd w:val="clear" w:color="auto" w:fill="C6E5FE"/>
          </w:tcPr>
          <w:p>
            <w:pPr>
              <w:spacing w:after="0"/>
              <w:rPr>
                <w:sz w:val="13"/>
                <w:szCs w:val="13"/>
                <w:color w:val="auto"/>
              </w:rPr>
            </w:pPr>
          </w:p>
        </w:tc>
        <w:tc>
          <w:tcPr>
            <w:tcW w:w="86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shd w:val="clear" w:color="auto" w:fill="C6E5FE"/>
          </w:tcPr>
          <w:p>
            <w:pPr>
              <w:jc w:val="right"/>
              <w:spacing w:after="0" w:line="154" w:lineRule="exact"/>
              <w:rPr>
                <w:sz w:val="20"/>
                <w:szCs w:val="20"/>
                <w:color w:val="auto"/>
              </w:rPr>
            </w:pPr>
            <w:r>
              <w:rPr>
                <w:rFonts w:ascii="Arial" w:cs="Arial" w:eastAsia="Arial" w:hAnsi="Arial"/>
                <w:sz w:val="17"/>
                <w:szCs w:val="17"/>
                <w:color w:val="auto"/>
              </w:rPr>
              <w:t>374,983</w:t>
            </w:r>
          </w:p>
        </w:tc>
        <w:tc>
          <w:tcPr>
            <w:tcW w:w="1100" w:type="dxa"/>
            <w:vAlign w:val="bottom"/>
            <w:tcBorders>
              <w:right w:val="single" w:sz="8" w:color="auto"/>
            </w:tcBorders>
            <w:shd w:val="clear" w:color="auto" w:fill="C6E5FE"/>
          </w:tcPr>
          <w:p>
            <w:pPr>
              <w:jc w:val="center"/>
              <w:spacing w:after="0" w:line="154" w:lineRule="exact"/>
              <w:rPr>
                <w:sz w:val="20"/>
                <w:szCs w:val="20"/>
                <w:color w:val="auto"/>
              </w:rPr>
            </w:pPr>
            <w:r>
              <w:rPr>
                <w:rFonts w:ascii="Arial" w:cs="Arial" w:eastAsia="Arial" w:hAnsi="Arial"/>
                <w:sz w:val="17"/>
                <w:szCs w:val="17"/>
                <w:color w:val="auto"/>
              </w:rPr>
              <w:t>--</w:t>
            </w:r>
          </w:p>
        </w:tc>
        <w:tc>
          <w:tcPr>
            <w:tcW w:w="1360" w:type="dxa"/>
            <w:vAlign w:val="bottom"/>
            <w:tcBorders>
              <w:right w:val="single" w:sz="8" w:color="auto"/>
            </w:tcBorders>
            <w:shd w:val="clear" w:color="auto" w:fill="C6E5FE"/>
          </w:tcPr>
          <w:p>
            <w:pPr>
              <w:jc w:val="right"/>
              <w:spacing w:after="0" w:line="154" w:lineRule="exact"/>
              <w:rPr>
                <w:sz w:val="20"/>
                <w:szCs w:val="20"/>
                <w:color w:val="auto"/>
              </w:rPr>
            </w:pPr>
            <w:r>
              <w:rPr>
                <w:rFonts w:ascii="Arial" w:cs="Arial" w:eastAsia="Arial" w:hAnsi="Arial"/>
                <w:sz w:val="17"/>
                <w:szCs w:val="17"/>
                <w:color w:val="auto"/>
              </w:rPr>
              <w:t>327,0711</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30"/>
        </w:trPr>
        <w:tc>
          <w:tcPr>
            <w:tcW w:w="1120" w:type="dxa"/>
            <w:vAlign w:val="bottom"/>
            <w:tcBorders>
              <w:left w:val="single" w:sz="8" w:color="auto"/>
              <w:right w:val="single" w:sz="8" w:color="auto"/>
            </w:tcBorders>
            <w:shd w:val="clear" w:color="auto" w:fill="C6E5FE"/>
          </w:tcPr>
          <w:p>
            <w:pPr>
              <w:ind w:left="20"/>
              <w:spacing w:after="0"/>
              <w:rPr>
                <w:sz w:val="20"/>
                <w:szCs w:val="20"/>
                <w:color w:val="auto"/>
              </w:rPr>
            </w:pPr>
            <w:r>
              <w:rPr>
                <w:rFonts w:ascii="Arial" w:cs="Arial" w:eastAsia="Arial" w:hAnsi="Arial"/>
                <w:sz w:val="18"/>
                <w:szCs w:val="18"/>
                <w:color w:val="auto"/>
              </w:rPr>
              <w:t>Tompkins</w:t>
            </w:r>
          </w:p>
        </w:tc>
        <w:tc>
          <w:tcPr>
            <w:tcW w:w="840" w:type="dxa"/>
            <w:vAlign w:val="bottom"/>
            <w:tcBorders>
              <w:right w:val="single" w:sz="8" w:color="auto"/>
            </w:tcBorders>
            <w:shd w:val="clear" w:color="auto" w:fill="C6E5FE"/>
          </w:tcPr>
          <w:p>
            <w:pPr>
              <w:spacing w:after="0"/>
              <w:rPr>
                <w:sz w:val="20"/>
                <w:szCs w:val="20"/>
                <w:color w:val="auto"/>
              </w:rPr>
            </w:pPr>
          </w:p>
        </w:tc>
        <w:tc>
          <w:tcPr>
            <w:tcW w:w="780" w:type="dxa"/>
            <w:vAlign w:val="bottom"/>
            <w:shd w:val="clear" w:color="auto" w:fill="C6E5FE"/>
          </w:tcPr>
          <w:p>
            <w:pPr>
              <w:spacing w:after="0"/>
              <w:rPr>
                <w:sz w:val="20"/>
                <w:szCs w:val="20"/>
                <w:color w:val="auto"/>
              </w:rPr>
            </w:pPr>
          </w:p>
        </w:tc>
        <w:tc>
          <w:tcPr>
            <w:tcW w:w="180" w:type="dxa"/>
            <w:vAlign w:val="bottom"/>
            <w:tcBorders>
              <w:right w:val="single" w:sz="8" w:color="auto"/>
            </w:tcBorders>
            <w:shd w:val="clear" w:color="auto" w:fill="C6E5FE"/>
          </w:tcPr>
          <w:p>
            <w:pPr>
              <w:spacing w:after="0"/>
              <w:rPr>
                <w:sz w:val="20"/>
                <w:szCs w:val="20"/>
                <w:color w:val="auto"/>
              </w:rPr>
            </w:pPr>
          </w:p>
        </w:tc>
        <w:tc>
          <w:tcPr>
            <w:tcW w:w="860" w:type="dxa"/>
            <w:vAlign w:val="bottom"/>
            <w:tcBorders>
              <w:right w:val="single" w:sz="8" w:color="auto"/>
            </w:tcBorders>
            <w:shd w:val="clear" w:color="auto" w:fill="C6E5FE"/>
          </w:tcPr>
          <w:p>
            <w:pPr>
              <w:spacing w:after="0"/>
              <w:rPr>
                <w:sz w:val="20"/>
                <w:szCs w:val="20"/>
                <w:color w:val="auto"/>
              </w:rPr>
            </w:pPr>
          </w:p>
        </w:tc>
        <w:tc>
          <w:tcPr>
            <w:tcW w:w="840" w:type="dxa"/>
            <w:vAlign w:val="bottom"/>
            <w:tcBorders>
              <w:right w:val="single" w:sz="8" w:color="auto"/>
            </w:tcBorders>
            <w:shd w:val="clear" w:color="auto" w:fill="C6E5FE"/>
          </w:tcPr>
          <w:p>
            <w:pPr>
              <w:spacing w:after="0"/>
              <w:rPr>
                <w:sz w:val="20"/>
                <w:szCs w:val="20"/>
                <w:color w:val="auto"/>
              </w:rPr>
            </w:pPr>
          </w:p>
        </w:tc>
        <w:tc>
          <w:tcPr>
            <w:tcW w:w="980" w:type="dxa"/>
            <w:vAlign w:val="bottom"/>
            <w:tcBorders>
              <w:right w:val="single" w:sz="8" w:color="auto"/>
            </w:tcBorders>
            <w:shd w:val="clear" w:color="auto" w:fill="C6E5FE"/>
          </w:tcPr>
          <w:p>
            <w:pPr>
              <w:spacing w:after="0"/>
              <w:rPr>
                <w:sz w:val="20"/>
                <w:szCs w:val="20"/>
                <w:color w:val="auto"/>
              </w:rPr>
            </w:pPr>
          </w:p>
        </w:tc>
        <w:tc>
          <w:tcPr>
            <w:tcW w:w="1080" w:type="dxa"/>
            <w:vAlign w:val="bottom"/>
            <w:tcBorders>
              <w:right w:val="single" w:sz="8" w:color="auto"/>
            </w:tcBorders>
            <w:shd w:val="clear" w:color="auto" w:fill="C6E5FE"/>
          </w:tcPr>
          <w:p>
            <w:pPr>
              <w:spacing w:after="0"/>
              <w:rPr>
                <w:sz w:val="20"/>
                <w:szCs w:val="20"/>
                <w:color w:val="auto"/>
              </w:rPr>
            </w:pPr>
          </w:p>
        </w:tc>
        <w:tc>
          <w:tcPr>
            <w:tcW w:w="1100" w:type="dxa"/>
            <w:vAlign w:val="bottom"/>
            <w:tcBorders>
              <w:right w:val="single" w:sz="8" w:color="auto"/>
            </w:tcBorders>
            <w:shd w:val="clear" w:color="auto" w:fill="C6E5FE"/>
          </w:tcPr>
          <w:p>
            <w:pPr>
              <w:spacing w:after="0"/>
              <w:rPr>
                <w:sz w:val="20"/>
                <w:szCs w:val="20"/>
                <w:color w:val="auto"/>
              </w:rPr>
            </w:pPr>
          </w:p>
        </w:tc>
        <w:tc>
          <w:tcPr>
            <w:tcW w:w="1360" w:type="dxa"/>
            <w:vAlign w:val="bottom"/>
            <w:tcBorders>
              <w:right w:val="single" w:sz="8" w:color="auto"/>
            </w:tcBorders>
            <w:shd w:val="clear" w:color="auto" w:fill="C6E5F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bottom w:val="single" w:sz="8" w:color="auto"/>
              <w:right w:val="single" w:sz="8" w:color="auto"/>
            </w:tcBorders>
            <w:shd w:val="clear" w:color="auto" w:fill="C6E5FE"/>
          </w:tcPr>
          <w:p>
            <w:pPr>
              <w:spacing w:after="0"/>
              <w:rPr>
                <w:sz w:val="21"/>
                <w:szCs w:val="21"/>
                <w:color w:val="auto"/>
              </w:rPr>
            </w:pPr>
          </w:p>
        </w:tc>
        <w:tc>
          <w:tcPr>
            <w:tcW w:w="840" w:type="dxa"/>
            <w:vAlign w:val="bottom"/>
            <w:tcBorders>
              <w:bottom w:val="single" w:sz="8" w:color="auto"/>
              <w:right w:val="single" w:sz="8" w:color="auto"/>
            </w:tcBorders>
            <w:shd w:val="clear" w:color="auto" w:fill="C6E5FE"/>
          </w:tcPr>
          <w:p>
            <w:pPr>
              <w:spacing w:after="0"/>
              <w:rPr>
                <w:sz w:val="21"/>
                <w:szCs w:val="21"/>
                <w:color w:val="auto"/>
              </w:rPr>
            </w:pPr>
          </w:p>
        </w:tc>
        <w:tc>
          <w:tcPr>
            <w:tcW w:w="780" w:type="dxa"/>
            <w:vAlign w:val="bottom"/>
            <w:tcBorders>
              <w:bottom w:val="single" w:sz="8" w:color="auto"/>
            </w:tcBorders>
            <w:shd w:val="clear" w:color="auto" w:fill="C6E5FE"/>
          </w:tcPr>
          <w:p>
            <w:pPr>
              <w:spacing w:after="0"/>
              <w:rPr>
                <w:sz w:val="21"/>
                <w:szCs w:val="21"/>
                <w:color w:val="auto"/>
              </w:rPr>
            </w:pPr>
          </w:p>
        </w:tc>
        <w:tc>
          <w:tcPr>
            <w:tcW w:w="180" w:type="dxa"/>
            <w:vAlign w:val="bottom"/>
            <w:tcBorders>
              <w:bottom w:val="single" w:sz="8" w:color="auto"/>
              <w:right w:val="single" w:sz="8" w:color="auto"/>
            </w:tcBorders>
            <w:shd w:val="clear" w:color="auto" w:fill="C6E5FE"/>
          </w:tcPr>
          <w:p>
            <w:pPr>
              <w:spacing w:after="0"/>
              <w:rPr>
                <w:sz w:val="21"/>
                <w:szCs w:val="21"/>
                <w:color w:val="auto"/>
              </w:rPr>
            </w:pPr>
          </w:p>
        </w:tc>
        <w:tc>
          <w:tcPr>
            <w:tcW w:w="860" w:type="dxa"/>
            <w:vAlign w:val="bottom"/>
            <w:tcBorders>
              <w:bottom w:val="single" w:sz="8" w:color="auto"/>
              <w:right w:val="single" w:sz="8" w:color="auto"/>
            </w:tcBorders>
            <w:shd w:val="clear" w:color="auto" w:fill="C6E5FE"/>
          </w:tcPr>
          <w:p>
            <w:pPr>
              <w:spacing w:after="0"/>
              <w:rPr>
                <w:sz w:val="21"/>
                <w:szCs w:val="21"/>
                <w:color w:val="auto"/>
              </w:rPr>
            </w:pPr>
          </w:p>
        </w:tc>
        <w:tc>
          <w:tcPr>
            <w:tcW w:w="840" w:type="dxa"/>
            <w:vAlign w:val="bottom"/>
            <w:tcBorders>
              <w:bottom w:val="single" w:sz="8" w:color="auto"/>
              <w:right w:val="single" w:sz="8" w:color="auto"/>
            </w:tcBorders>
            <w:shd w:val="clear" w:color="auto" w:fill="C6E5FE"/>
          </w:tcPr>
          <w:p>
            <w:pPr>
              <w:spacing w:after="0"/>
              <w:rPr>
                <w:sz w:val="21"/>
                <w:szCs w:val="21"/>
                <w:color w:val="auto"/>
              </w:rPr>
            </w:pPr>
          </w:p>
        </w:tc>
        <w:tc>
          <w:tcPr>
            <w:tcW w:w="980" w:type="dxa"/>
            <w:vAlign w:val="bottom"/>
            <w:tcBorders>
              <w:bottom w:val="single" w:sz="8" w:color="auto"/>
              <w:right w:val="single" w:sz="8" w:color="auto"/>
            </w:tcBorders>
            <w:shd w:val="clear" w:color="auto" w:fill="C6E5FE"/>
          </w:tcPr>
          <w:p>
            <w:pPr>
              <w:spacing w:after="0"/>
              <w:rPr>
                <w:sz w:val="21"/>
                <w:szCs w:val="21"/>
                <w:color w:val="auto"/>
              </w:rPr>
            </w:pPr>
          </w:p>
        </w:tc>
        <w:tc>
          <w:tcPr>
            <w:tcW w:w="1080" w:type="dxa"/>
            <w:vAlign w:val="bottom"/>
            <w:tcBorders>
              <w:bottom w:val="single" w:sz="8" w:color="auto"/>
              <w:right w:val="single" w:sz="8" w:color="auto"/>
            </w:tcBorders>
            <w:shd w:val="clear" w:color="auto" w:fill="C6E5FE"/>
          </w:tcPr>
          <w:p>
            <w:pPr>
              <w:spacing w:after="0"/>
              <w:rPr>
                <w:sz w:val="21"/>
                <w:szCs w:val="21"/>
                <w:color w:val="auto"/>
              </w:rPr>
            </w:pPr>
          </w:p>
        </w:tc>
        <w:tc>
          <w:tcPr>
            <w:tcW w:w="1100" w:type="dxa"/>
            <w:vAlign w:val="bottom"/>
            <w:tcBorders>
              <w:bottom w:val="single" w:sz="8" w:color="auto"/>
              <w:right w:val="single" w:sz="8" w:color="auto"/>
            </w:tcBorders>
            <w:shd w:val="clear" w:color="auto" w:fill="C6E5FE"/>
          </w:tcPr>
          <w:p>
            <w:pPr>
              <w:spacing w:after="0"/>
              <w:rPr>
                <w:sz w:val="21"/>
                <w:szCs w:val="21"/>
                <w:color w:val="auto"/>
              </w:rPr>
            </w:pPr>
          </w:p>
        </w:tc>
        <w:tc>
          <w:tcPr>
            <w:tcW w:w="1360" w:type="dxa"/>
            <w:vAlign w:val="bottom"/>
            <w:tcBorders>
              <w:bottom w:val="single" w:sz="8" w:color="auto"/>
              <w:right w:val="single" w:sz="8" w:color="auto"/>
            </w:tcBorders>
            <w:shd w:val="clear" w:color="auto" w:fill="C6E5FE"/>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840" w:right="740" w:hanging="332"/>
        <w:spacing w:after="0" w:line="258" w:lineRule="auto"/>
        <w:tabs>
          <w:tab w:leader="none" w:pos="8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the amount calculated by multiplying the number of unvested options and restricted shares by the closing price of our Class A Stock as of December 31, 2022 or $2.77. Accelerated vesting is triggered upon (i) the award recipient’s death or disability, (ii) certain corporate transactions in which the awards are not replaced with substantially equivalent awards, or (iii) upon termination without cause or resignation for “good reason” within twenty-four months of a change of control, or a corporate transaction where equivalent awards have been substituted.</w:t>
      </w:r>
    </w:p>
    <w:p>
      <w:pPr>
        <w:spacing w:after="0" w:line="106" w:lineRule="exact"/>
        <w:rPr>
          <w:rFonts w:ascii="Arial" w:cs="Arial" w:eastAsia="Arial" w:hAnsi="Arial"/>
          <w:sz w:val="14"/>
          <w:szCs w:val="14"/>
          <w:color w:val="auto"/>
        </w:rPr>
      </w:pPr>
    </w:p>
    <w:p>
      <w:pPr>
        <w:jc w:val="both"/>
        <w:ind w:left="840" w:right="740" w:hanging="332"/>
        <w:spacing w:after="0" w:line="222"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Tompkins’s one-time retirement benefit is a single year payment based on the average of the two highest total cash compensation (base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2018 and 2021.</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b w:val="1"/>
          <w:bCs w:val="1"/>
          <w:u w:val="single" w:color="auto"/>
          <w:color w:val="auto"/>
        </w:rPr>
        <w:t>Employment Agreements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of December 31, 2022, our NEOs had no employment agreements in place.</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320"/>
          </w:cols>
          <w:pgMar w:left="1440" w:top="295" w:right="1139" w:bottom="1440" w:gutter="0" w:footer="0" w:header="0"/>
        </w:sectPr>
      </w:pPr>
    </w:p>
    <w:bookmarkStart w:id="51" w:name="page52"/>
    <w:bookmarkEnd w:id="51"/>
    <w:p>
      <w:pPr>
        <w:ind w:left="15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members of our Audit Committee are Directors Douglas McEachern, who serves as Chairperson, Guy</w:t>
      </w:r>
    </w:p>
    <w:p>
      <w:pPr>
        <w:spacing w:after="0" w:line="21"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Adams and Dr. Judy Codding.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w:t>
      </w:r>
    </w:p>
    <w:p>
      <w:pPr>
        <w:spacing w:after="0" w:line="2" w:lineRule="exact"/>
        <w:rPr>
          <w:sz w:val="20"/>
          <w:szCs w:val="20"/>
          <w:color w:val="auto"/>
        </w:rPr>
      </w:pPr>
    </w:p>
    <w:p>
      <w:pPr>
        <w:jc w:val="both"/>
        <w:ind w:left="180" w:right="439"/>
        <w:spacing w:after="0" w:line="218" w:lineRule="auto"/>
        <w:rPr>
          <w:sz w:val="20"/>
          <w:szCs w:val="20"/>
          <w:color w:val="auto"/>
        </w:rPr>
      </w:pPr>
      <w:r>
        <w:rPr>
          <w:rFonts w:ascii="Arial" w:cs="Arial" w:eastAsia="Arial" w:hAnsi="Arial"/>
          <w:sz w:val="18"/>
          <w:szCs w:val="18"/>
          <w:color w:val="auto"/>
        </w:rPr>
        <w:t>transaction in question participate in the determination of whether the transaction may proceed. See the discussion entitled “</w:t>
      </w:r>
      <w:r>
        <w:rPr>
          <w:rFonts w:ascii="Arial" w:cs="Arial" w:eastAsia="Arial" w:hAnsi="Arial"/>
          <w:sz w:val="18"/>
          <w:szCs w:val="18"/>
          <w:i w:val="1"/>
          <w:iCs w:val="1"/>
          <w:color w:val="auto"/>
        </w:rPr>
        <w:t>Review, Approval or Ratification of Transactions with Related Persons</w:t>
      </w:r>
      <w:r>
        <w:rPr>
          <w:rFonts w:ascii="Arial" w:cs="Arial" w:eastAsia="Arial" w:hAnsi="Arial"/>
          <w:sz w:val="18"/>
          <w:szCs w:val="18"/>
          <w:color w:val="auto"/>
        </w:rPr>
        <w:t>” for additional information regarding the review process.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Sutton Hill Capital</w:t>
      </w:r>
    </w:p>
    <w:p>
      <w:pPr>
        <w:spacing w:after="0" w:line="189" w:lineRule="exact"/>
        <w:rPr>
          <w:sz w:val="20"/>
          <w:szCs w:val="20"/>
          <w:color w:val="auto"/>
        </w:rPr>
      </w:pPr>
    </w:p>
    <w:p>
      <w:pPr>
        <w:jc w:val="both"/>
        <w:ind w:left="180" w:right="439" w:firstLine="648"/>
        <w:spacing w:after="0" w:line="241" w:lineRule="auto"/>
        <w:rPr>
          <w:sz w:val="20"/>
          <w:szCs w:val="20"/>
          <w:color w:val="auto"/>
        </w:rPr>
      </w:pPr>
      <w:r>
        <w:rPr>
          <w:rFonts w:ascii="Arial" w:cs="Arial" w:eastAsia="Arial" w:hAnsi="Arial"/>
          <w:sz w:val="16"/>
          <w:szCs w:val="16"/>
          <w:color w:val="auto"/>
        </w:rPr>
        <w:t>In 2001, we entered into a transaction with Sutton Hill Capital, LLC ("SHC") regarding the master leasing, with certain options to purchase the underlying ground lease interests, of four cinemas located in Manhattan including our current Village East and Cinemas 1, 2, 3 theatres. In connection with that transaction, we also agreed</w:t>
      </w:r>
    </w:p>
    <w:p>
      <w:pPr>
        <w:spacing w:after="0" w:line="2" w:lineRule="exact"/>
        <w:rPr>
          <w:sz w:val="20"/>
          <w:szCs w:val="20"/>
          <w:color w:val="auto"/>
        </w:rPr>
      </w:pPr>
    </w:p>
    <w:p>
      <w:pPr>
        <w:jc w:val="both"/>
        <w:ind w:left="180" w:right="439" w:firstLine="4"/>
        <w:spacing w:after="0" w:line="218" w:lineRule="auto"/>
        <w:tabs>
          <w:tab w:leader="none" w:pos="4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lend certain amounts to SHC to provide liquidity in its investment, pending our determination of whether or not to exercise our option to purchase and (ii) to manage the 86th Street Cinema on a fee basis. SHC is a limited liability company owned in equal shares by the Cotter Estate and a third party.</w:t>
      </w:r>
    </w:p>
    <w:p>
      <w:pPr>
        <w:spacing w:after="0" w:line="135" w:lineRule="exact"/>
        <w:rPr>
          <w:sz w:val="20"/>
          <w:szCs w:val="20"/>
          <w:color w:val="auto"/>
        </w:rPr>
      </w:pPr>
    </w:p>
    <w:p>
      <w:pPr>
        <w:jc w:val="both"/>
        <w:ind w:left="180" w:right="439" w:firstLine="648"/>
        <w:spacing w:after="0" w:line="241" w:lineRule="auto"/>
        <w:rPr>
          <w:sz w:val="20"/>
          <w:szCs w:val="20"/>
          <w:color w:val="auto"/>
        </w:rPr>
      </w:pPr>
      <w:r>
        <w:rPr>
          <w:rFonts w:ascii="Arial" w:cs="Arial" w:eastAsia="Arial" w:hAnsi="Arial"/>
          <w:sz w:val="16"/>
          <w:szCs w:val="16"/>
          <w:color w:val="auto"/>
        </w:rPr>
        <w:t>As previously reported, over the years, we sold our interests in two of the cinemas subject to that master lease to third parties and acquired the fee interest in the land underlying the Cinemas 1, 2, 3. The lease underlying the 86th Street Cinema expired in 2019, and that cinema has been closed. Accordingly, the Village East is the only</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cinema that remains subject to the master lease. As the land underlying the Village East is owned by a third party, our relationship with SHC is that of a subtenant. Our rent paid to SHC for that cinema has been fixed at $590,000 for each of the past three years. However, due to the COVID-19 pandemic, the Village East was closed for most of</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2020, and the rent commencing in April 2020 was deferred with respect to the remainder of 2020 and for the first quarter of 2021. Following a mutual agreement, we paid this deferred amount to SHC on July 1, 2021. During the fiscal years 2019 through 2021, we received management fees from the 86th Street Cinema of $45,000, $0 and $0,</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respectively.</w:t>
      </w:r>
    </w:p>
    <w:p>
      <w:pPr>
        <w:spacing w:after="0" w:line="128" w:lineRule="exact"/>
        <w:rPr>
          <w:sz w:val="20"/>
          <w:szCs w:val="20"/>
          <w:color w:val="auto"/>
        </w:rPr>
      </w:pPr>
    </w:p>
    <w:p>
      <w:pPr>
        <w:jc w:val="both"/>
        <w:ind w:left="180" w:right="439" w:firstLine="648"/>
        <w:spacing w:after="0" w:line="248" w:lineRule="auto"/>
        <w:rPr>
          <w:sz w:val="20"/>
          <w:szCs w:val="20"/>
          <w:color w:val="auto"/>
        </w:rPr>
      </w:pPr>
      <w:r>
        <w:rPr>
          <w:rFonts w:ascii="Arial" w:cs="Arial" w:eastAsia="Arial" w:hAnsi="Arial"/>
          <w:sz w:val="16"/>
          <w:szCs w:val="16"/>
          <w:color w:val="auto"/>
        </w:rPr>
        <w:t>In 2005, we acquired (i) from a third party, the fee interest in the land underlying the Cinemas 1, 2, 3 and (ii) from SHC, its interest in the ground lease estate underlying and the improvements constituting the Cinemas 1, 2,</w:t>
      </w:r>
    </w:p>
    <w:p>
      <w:pPr>
        <w:jc w:val="both"/>
        <w:ind w:left="180" w:right="439" w:firstLine="4"/>
        <w:spacing w:after="0" w:line="214" w:lineRule="auto"/>
        <w:tabs>
          <w:tab w:leader="none" w:pos="4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that transaction, we granted to SHC an option to acquire at our cost a 25% interest in the special purpose entity, Sutton Hill Properties, LLC ("SHP"), formed to acquire these fee, leasehold and improvements interests. On June 28, 2007, SHC exercised this option, paying $3.0 million and assuming a proportionate share of SHP's liabilities. Since the acquisition by SHC of its 25% interest, SHP has covered its operating costs and debt service through (i) cash flow from the Cinemas 1, 2, 3, (ii) borrowings from third parties, and (iii) pro-rata contributions from the members. We manage the Cinemas 1, 2, 3, pursuant to a management agreement described below.</w:t>
      </w:r>
    </w:p>
    <w:p>
      <w:pPr>
        <w:spacing w:after="0" w:line="137" w:lineRule="exact"/>
        <w:rPr>
          <w:sz w:val="20"/>
          <w:szCs w:val="20"/>
          <w:color w:val="auto"/>
        </w:rPr>
      </w:pPr>
    </w:p>
    <w:p>
      <w:pPr>
        <w:jc w:val="both"/>
        <w:ind w:left="180" w:right="439" w:firstLine="648"/>
        <w:spacing w:after="0" w:line="241" w:lineRule="auto"/>
        <w:rPr>
          <w:sz w:val="20"/>
          <w:szCs w:val="20"/>
          <w:color w:val="auto"/>
        </w:rPr>
      </w:pPr>
      <w:r>
        <w:rPr>
          <w:rFonts w:ascii="Arial" w:cs="Arial" w:eastAsia="Arial" w:hAnsi="Arial"/>
          <w:sz w:val="16"/>
          <w:szCs w:val="16"/>
          <w:color w:val="auto"/>
        </w:rPr>
        <w:t>Our master lease of the Village East has been extended from time to time, and now terminates on September 1, 2025. On August 28, 2019, we exercised our option under the master lease to acquire SHC’s interest in the ground lease underlying that master lease for $5.9 million. That option was originally scheduled to close on</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May 31, 2021, but has been extended from time to time, and is now scheduled to close on July 1, 2024. We recorded the Village East Cinema building as a property asset of $4.7 million on our balance sheet based on the cost carry-over basis from an entity under common control with a corresponding capital lease liability of $5.9 million</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presented under other liabilities.</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 2015, we and SHP entered into an amendment to the management agreement dated as of June 27, 2007</w:t>
      </w:r>
    </w:p>
    <w:p>
      <w:pPr>
        <w:spacing w:after="0" w:line="21"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governing the management of the Cinemas 1,2,3. The amendment, which was retroactive to December 1, 2014, memorialized our undertaking to SHP to fund approximately $750,000 (the "Renovation Funding Amount") of renovations to Cinemas 1, 2, 3. In consideration of our funding of the renovations, our annual management fee was</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increased commencing January 1, 2015 by an amount equivalent to 100% of any incremental positive cash flow of Cinemas 1, 2, 3 over the average annual positive cash flow of the Cinemas 1, 2, 3 over the three-year period ended December 31, 2014 (not to exceed a cumulative aggregate amount equal to the Renovation Funding Amount), plus a</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15% cash-on-cash return on the balance outstanding from time to time of the Renovation Funding Amount, payable at the time of the payment of the annual management fee (the "Improvements Fee"). Under the amended management agreement, we retained ownership of (and any right to depreciate) any furniture, fixtures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equipment purchased by us in connection with such renovation and the right (but not the obligation) to remove</w:t>
      </w:r>
    </w:p>
    <w:p>
      <w:pPr>
        <w:spacing w:after="0" w:line="18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52" w:name="page53"/>
    <w:bookmarkEnd w:id="52"/>
    <w:p>
      <w:pPr>
        <w:ind w:left="180"/>
        <w:spacing w:after="0"/>
        <w:rPr>
          <w:sz w:val="20"/>
          <w:szCs w:val="20"/>
          <w:color w:val="auto"/>
        </w:rPr>
      </w:pPr>
      <w:r>
        <w:rPr>
          <w:rFonts w:ascii="Arial" w:cs="Arial" w:eastAsia="Arial" w:hAnsi="Arial"/>
          <w:sz w:val="17"/>
          <w:szCs w:val="17"/>
          <w:color w:val="auto"/>
        </w:rPr>
        <w:t>all such furniture, fixtures and equipment (at our own cost and expense) from the Cinemas 1, 2, 3 upon the</w:t>
      </w:r>
    </w:p>
    <w:p>
      <w:pPr>
        <w:spacing w:after="0" w:line="10" w:lineRule="exact"/>
        <w:rPr>
          <w:sz w:val="20"/>
          <w:szCs w:val="20"/>
          <w:color w:val="auto"/>
        </w:rPr>
      </w:pPr>
    </w:p>
    <w:p>
      <w:pPr>
        <w:jc w:val="both"/>
        <w:ind w:left="180" w:right="459"/>
        <w:spacing w:after="0" w:line="234" w:lineRule="auto"/>
        <w:rPr>
          <w:sz w:val="20"/>
          <w:szCs w:val="20"/>
          <w:color w:val="auto"/>
        </w:rPr>
      </w:pPr>
      <w:r>
        <w:rPr>
          <w:rFonts w:ascii="Arial" w:cs="Arial" w:eastAsia="Arial" w:hAnsi="Arial"/>
          <w:sz w:val="16"/>
          <w:szCs w:val="16"/>
          <w:color w:val="auto"/>
        </w:rPr>
        <w:t>termination of the management agreement. The amendment also provided that, during the term of the management agreement, SHP will be responsible for the cost of repair and maintenance of the renovations. In 2019 and 2018 we charged Improvements Fees of $96,000 and $425,000. Our management fees calculated, which include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Improvements Fees, for 2021, 2020, and 2019 were $50,000, $147,000, and $161,000, respective.</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On November 6, 2020, we and SHP further amended the management agreement to terminate the</w:t>
      </w:r>
    </w:p>
    <w:p>
      <w:pPr>
        <w:spacing w:after="0" w:line="10" w:lineRule="exact"/>
        <w:rPr>
          <w:sz w:val="20"/>
          <w:szCs w:val="20"/>
          <w:color w:val="auto"/>
        </w:rPr>
      </w:pPr>
    </w:p>
    <w:p>
      <w:pPr>
        <w:jc w:val="both"/>
        <w:ind w:left="180" w:right="439"/>
        <w:spacing w:after="0" w:line="239" w:lineRule="auto"/>
        <w:rPr>
          <w:sz w:val="20"/>
          <w:szCs w:val="20"/>
          <w:color w:val="auto"/>
        </w:rPr>
      </w:pPr>
      <w:r>
        <w:rPr>
          <w:rFonts w:ascii="Arial" w:cs="Arial" w:eastAsia="Arial" w:hAnsi="Arial"/>
          <w:sz w:val="17"/>
          <w:szCs w:val="17"/>
          <w:color w:val="auto"/>
        </w:rPr>
        <w:t>Improvements Fee in consideration of a one-time payment to us of $112,500, and the reimbursement in full of the Renovation Funding Amount and transferred to SHC all of our ownership rights in the renovation assets.</w:t>
      </w:r>
    </w:p>
    <w:p>
      <w:pPr>
        <w:spacing w:after="0" w:line="135" w:lineRule="exact"/>
        <w:rPr>
          <w:sz w:val="20"/>
          <w:szCs w:val="20"/>
          <w:color w:val="auto"/>
        </w:rPr>
      </w:pPr>
    </w:p>
    <w:p>
      <w:pPr>
        <w:jc w:val="both"/>
        <w:ind w:left="180" w:right="439" w:firstLine="648"/>
        <w:spacing w:after="0" w:line="241" w:lineRule="auto"/>
        <w:rPr>
          <w:sz w:val="20"/>
          <w:szCs w:val="20"/>
          <w:color w:val="auto"/>
        </w:rPr>
      </w:pPr>
      <w:r>
        <w:rPr>
          <w:rFonts w:ascii="Arial" w:cs="Arial" w:eastAsia="Arial" w:hAnsi="Arial"/>
          <w:sz w:val="16"/>
          <w:szCs w:val="16"/>
          <w:color w:val="auto"/>
        </w:rPr>
        <w:t>On August 31, 2016, we secured a three-year, $20.0 million mortgage loan with Valley National Bank. On March 13, 2020, we refinanced the loan to $25.0 million to mature on April 1, 2022, with two six-month options to extend through April 1, 2023. We executed the first extension option on March 3, 2022, taking the maturity to</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October 1, 2022, and executed the second extension option on September 1, 2022, taking the maturity to April 1, 2023. At the request of Valley National Bank, the maturity was extended to July 3, 2023, and further extended to October 3, 2023. On September 29, 2023, we paid down $1.1 million (inclusive of SHC’s 25% share which we</w:t>
      </w:r>
    </w:p>
    <w:p>
      <w:pPr>
        <w:spacing w:after="0" w:line="2" w:lineRule="exact"/>
        <w:rPr>
          <w:sz w:val="20"/>
          <w:szCs w:val="20"/>
          <w:color w:val="auto"/>
        </w:rPr>
      </w:pPr>
    </w:p>
    <w:p>
      <w:pPr>
        <w:jc w:val="both"/>
        <w:ind w:left="180" w:right="439"/>
        <w:spacing w:after="0" w:line="226" w:lineRule="auto"/>
        <w:rPr>
          <w:sz w:val="20"/>
          <w:szCs w:val="20"/>
          <w:color w:val="auto"/>
        </w:rPr>
      </w:pPr>
      <w:r>
        <w:rPr>
          <w:rFonts w:ascii="Arial" w:cs="Arial" w:eastAsia="Arial" w:hAnsi="Arial"/>
          <w:sz w:val="18"/>
          <w:szCs w:val="18"/>
          <w:color w:val="auto"/>
        </w:rPr>
        <w:t>advanced and SHC will repay to us) and refinanced the loan in the amount of $21.1 million to mature on October 1, 2024.</w:t>
      </w:r>
    </w:p>
    <w:p>
      <w:pPr>
        <w:spacing w:after="0" w:line="134" w:lineRule="exact"/>
        <w:rPr>
          <w:sz w:val="20"/>
          <w:szCs w:val="20"/>
          <w:color w:val="auto"/>
        </w:rPr>
      </w:pPr>
    </w:p>
    <w:p>
      <w:pPr>
        <w:jc w:val="both"/>
        <w:ind w:left="180" w:right="439" w:firstLine="648"/>
        <w:spacing w:after="0" w:line="241" w:lineRule="auto"/>
        <w:rPr>
          <w:sz w:val="20"/>
          <w:szCs w:val="20"/>
          <w:color w:val="auto"/>
        </w:rPr>
      </w:pPr>
      <w:r>
        <w:rPr>
          <w:rFonts w:ascii="Arial" w:cs="Arial" w:eastAsia="Arial" w:hAnsi="Arial"/>
          <w:sz w:val="16"/>
          <w:szCs w:val="16"/>
          <w:color w:val="auto"/>
        </w:rPr>
        <w:t>The Valley National Loan has been guaranteed by our Company and an environmental indemnity has been provided by our Company and SHP. SHC approved the refinance of the loan and as with the prior Valley National Bank loan, has agreed to indemnify our Company to the extent of 25% of any loss incurred by our Company with</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respect to any such guarantee and/or indemnity (a percentage reflecting SHC's membership interest in SHP).</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On October 1, 2020, SHP made a distribution of $1.0 million, paying $750,000 to our Company and</w:t>
      </w:r>
    </w:p>
    <w:p>
      <w:pPr>
        <w:spacing w:after="0" w:line="10" w:lineRule="exact"/>
        <w:rPr>
          <w:sz w:val="20"/>
          <w:szCs w:val="20"/>
          <w:color w:val="auto"/>
        </w:rPr>
      </w:pPr>
    </w:p>
    <w:p>
      <w:pPr>
        <w:jc w:val="both"/>
        <w:ind w:left="180" w:right="439"/>
        <w:spacing w:after="0" w:line="239" w:lineRule="auto"/>
        <w:rPr>
          <w:sz w:val="20"/>
          <w:szCs w:val="20"/>
          <w:color w:val="auto"/>
        </w:rPr>
      </w:pPr>
      <w:r>
        <w:rPr>
          <w:rFonts w:ascii="Arial" w:cs="Arial" w:eastAsia="Arial" w:hAnsi="Arial"/>
          <w:sz w:val="17"/>
          <w:szCs w:val="17"/>
          <w:color w:val="auto"/>
        </w:rPr>
        <w:t>$250,000 to SHC. During the period March 1, 2021, to March 5, 2021, SHP loaned our Company the amount of $2.0 million, which has been fully repaid together with interest of $1,181 (representing an interest rate of 4.5%).</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Live Theater Play Investment</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From time to time, our officers and Directors may invest in plays that license our live theatres. The play</w:t>
      </w:r>
    </w:p>
    <w:p>
      <w:pPr>
        <w:spacing w:after="0" w:line="10" w:lineRule="exact"/>
        <w:rPr>
          <w:sz w:val="20"/>
          <w:szCs w:val="20"/>
          <w:color w:val="auto"/>
        </w:rPr>
      </w:pPr>
    </w:p>
    <w:p>
      <w:pPr>
        <w:jc w:val="both"/>
        <w:ind w:left="180" w:right="439"/>
        <w:spacing w:after="0" w:line="218" w:lineRule="auto"/>
        <w:rPr>
          <w:sz w:val="20"/>
          <w:szCs w:val="20"/>
          <w:color w:val="auto"/>
        </w:rPr>
      </w:pPr>
      <w:r>
        <w:rPr>
          <w:rFonts w:ascii="Arial" w:cs="Arial" w:eastAsia="Arial" w:hAnsi="Arial"/>
          <w:sz w:val="18"/>
          <w:szCs w:val="18"/>
          <w:i w:val="1"/>
          <w:iCs w:val="1"/>
          <w:color w:val="auto"/>
        </w:rPr>
        <w:t>STOMP</w:t>
      </w:r>
      <w:r>
        <w:rPr>
          <w:rFonts w:ascii="Arial" w:cs="Arial" w:eastAsia="Arial" w:hAnsi="Arial"/>
          <w:sz w:val="18"/>
          <w:szCs w:val="18"/>
          <w:color w:val="auto"/>
        </w:rPr>
        <w:t>, which had been playing since prior to the time we acquired the theatre in 2001, ended its 26+ year run at</w:t>
      </w:r>
      <w:r>
        <w:rPr>
          <w:rFonts w:ascii="Arial" w:cs="Arial" w:eastAsia="Arial" w:hAnsi="Arial"/>
          <w:sz w:val="18"/>
          <w:szCs w:val="18"/>
          <w:i w:val="1"/>
          <w:iCs w:val="1"/>
          <w:color w:val="auto"/>
        </w:rPr>
        <w:t xml:space="preserve"> </w:t>
      </w:r>
      <w:r>
        <w:rPr>
          <w:rFonts w:ascii="Arial" w:cs="Arial" w:eastAsia="Arial" w:hAnsi="Arial"/>
          <w:sz w:val="18"/>
          <w:szCs w:val="18"/>
          <w:color w:val="auto"/>
        </w:rPr>
        <w:t>our Orpheum Theatre in 2022. The Cotter Estate and a third party own an approximately 5% interest in that play, an interest that they have held since prior to our acquisition of the theatre.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Shadow View Land and Farming, LLC</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During 2012, Mr. Cotter, Sr., our former Chair, Chief Executive Officer and controlling stockholder,</w:t>
      </w:r>
    </w:p>
    <w:p>
      <w:pPr>
        <w:spacing w:after="0" w:line="10"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contributed $2.5 million of cash and $255,000 of his 2011 bonus as his 50% share of the purchase price of an approximately 202-acre parcel of undeveloped land in Coachella, California and to cover his 50% share of certain costs associated with that acquisition. This land was held in Shadow View Land and Farming, LLC ("Shadow</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View"), which is owned 50% by our Company, and which is accounted for as a consolidated subsidiary of our Company. The other 50% interest in Shadow View is owned by the Cotter Estate. We are the managing member of Shadow View, with oversight provided by our Audit and Conflicts Committee. These services have been provided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without compensation.</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managing member, we have from time to time made capital contributions to Shadow View and have</w:t>
      </w:r>
    </w:p>
    <w:p>
      <w:pPr>
        <w:spacing w:after="0" w:line="10" w:lineRule="exact"/>
        <w:rPr>
          <w:sz w:val="20"/>
          <w:szCs w:val="20"/>
          <w:color w:val="auto"/>
        </w:rPr>
      </w:pPr>
    </w:p>
    <w:p>
      <w:pPr>
        <w:jc w:val="both"/>
        <w:ind w:left="180" w:right="439"/>
        <w:spacing w:after="0" w:line="239" w:lineRule="auto"/>
        <w:rPr>
          <w:sz w:val="20"/>
          <w:szCs w:val="20"/>
          <w:color w:val="auto"/>
        </w:rPr>
      </w:pPr>
      <w:r>
        <w:rPr>
          <w:rFonts w:ascii="Arial" w:cs="Arial" w:eastAsia="Arial" w:hAnsi="Arial"/>
          <w:sz w:val="17"/>
          <w:szCs w:val="17"/>
          <w:color w:val="auto"/>
        </w:rPr>
        <w:t>funded on an interim basis certain operating and other costs. Our capital contributions have been matched by the Cotter Estate, and the Cotter Estate has, upon billing, paid its 50% share of all such interim costs.</w:t>
      </w:r>
    </w:p>
    <w:p>
      <w:pPr>
        <w:spacing w:after="0" w:line="135" w:lineRule="exact"/>
        <w:rPr>
          <w:sz w:val="20"/>
          <w:szCs w:val="20"/>
          <w:color w:val="auto"/>
        </w:rPr>
      </w:pPr>
    </w:p>
    <w:p>
      <w:pPr>
        <w:jc w:val="both"/>
        <w:ind w:left="180" w:right="439" w:firstLine="648"/>
        <w:spacing w:after="0" w:line="235" w:lineRule="auto"/>
        <w:rPr>
          <w:sz w:val="20"/>
          <w:szCs w:val="20"/>
          <w:color w:val="auto"/>
        </w:rPr>
      </w:pPr>
      <w:r>
        <w:rPr>
          <w:rFonts w:ascii="Arial" w:cs="Arial" w:eastAsia="Arial" w:hAnsi="Arial"/>
          <w:sz w:val="18"/>
          <w:szCs w:val="18"/>
          <w:color w:val="auto"/>
        </w:rPr>
        <w:t>On March 5, 2021, Shadow View sold this land for $11.0 million, and distributed the net proceeds to its members, including the Company, and is in the final stages of being liquidated.</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Our Audit Committee has adopted a written charter, which includes responsibility for approval of "Related</w:t>
      </w:r>
    </w:p>
    <w:p>
      <w:pPr>
        <w:spacing w:after="0" w:line="21" w:lineRule="exact"/>
        <w:rPr>
          <w:sz w:val="20"/>
          <w:szCs w:val="20"/>
          <w:color w:val="auto"/>
        </w:rPr>
      </w:pPr>
    </w:p>
    <w:p>
      <w:pPr>
        <w:jc w:val="both"/>
        <w:ind w:left="180" w:right="439"/>
        <w:spacing w:after="0" w:line="231" w:lineRule="auto"/>
        <w:rPr>
          <w:sz w:val="20"/>
          <w:szCs w:val="20"/>
          <w:color w:val="auto"/>
        </w:rPr>
      </w:pPr>
      <w:r>
        <w:rPr>
          <w:rFonts w:ascii="Arial" w:cs="Arial" w:eastAsia="Arial" w:hAnsi="Arial"/>
          <w:sz w:val="17"/>
          <w:szCs w:val="17"/>
          <w:color w:val="auto"/>
        </w:rPr>
        <w:t>Party Transactions." Under its charter, our Audit Committee performs the functions of the "Conflicts Committee" of our Board and is delegated responsibility and authority by our Board to review, consider and negotiate, and to approve or disapprove on behalf of our Company the terms and conditions of any and all Related</w:t>
      </w:r>
    </w:p>
    <w:p>
      <w:pPr>
        <w:spacing w:after="0" w:line="17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3" w:name="page54"/>
    <w:bookmarkEnd w:id="53"/>
    <w:p>
      <w:pPr>
        <w:ind w:left="180"/>
        <w:spacing w:after="0"/>
        <w:rPr>
          <w:sz w:val="20"/>
          <w:szCs w:val="20"/>
          <w:color w:val="auto"/>
        </w:rPr>
      </w:pPr>
      <w:r>
        <w:rPr>
          <w:rFonts w:ascii="Arial" w:cs="Arial" w:eastAsia="Arial" w:hAnsi="Arial"/>
          <w:sz w:val="17"/>
          <w:szCs w:val="17"/>
          <w:color w:val="auto"/>
        </w:rPr>
        <w:t>Party Transactions (defined below) with the same effect as though such actions had been taken by our full</w:t>
      </w:r>
    </w:p>
    <w:p>
      <w:pPr>
        <w:spacing w:after="0" w:line="10"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Board. Any such matter requires no further action by our Board in order to be binding upon our Company, except in the case of matters that, under applicable Nevada law, cannot be delegated to a committee of our Board and must be determined by our full Board. In those cases where the authority of our Board cannot be delegated, the Audit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Committee nevertheless provides its recommendation to our full Board.</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used in our Audit Committee's Charter, the term "Related Party Transaction" means any transaction or</w:t>
      </w:r>
    </w:p>
    <w:p>
      <w:pPr>
        <w:spacing w:after="0" w:line="21"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arrangement between our Company on one hand, and on the other hand (i) any one or more directors, executive officers or stockholders holding more than 5% of the voting power of our Company (or any spouse, parent, sibling or heir of any such individual), or (ii) any one or more entities under common control with any one of such persons,</w:t>
      </w:r>
    </w:p>
    <w:p>
      <w:pPr>
        <w:spacing w:after="0" w:line="2" w:lineRule="exact"/>
        <w:rPr>
          <w:sz w:val="20"/>
          <w:szCs w:val="20"/>
          <w:color w:val="auto"/>
        </w:rPr>
      </w:pPr>
    </w:p>
    <w:p>
      <w:pPr>
        <w:jc w:val="both"/>
        <w:ind w:left="180" w:right="439"/>
        <w:spacing w:after="0" w:line="226" w:lineRule="auto"/>
        <w:rPr>
          <w:sz w:val="20"/>
          <w:szCs w:val="20"/>
          <w:color w:val="auto"/>
        </w:rPr>
      </w:pPr>
      <w:r>
        <w:rPr>
          <w:rFonts w:ascii="Arial" w:cs="Arial" w:eastAsia="Arial" w:hAnsi="Arial"/>
          <w:sz w:val="18"/>
          <w:szCs w:val="18"/>
          <w:color w:val="auto"/>
        </w:rPr>
        <w:t>or (iii) any entity in which one or more such persons holds more than a 10% interest. Related Party Transactions do not include matters related to employment or employee compensation related issues.</w:t>
      </w:r>
    </w:p>
    <w:p>
      <w:pPr>
        <w:spacing w:after="0" w:line="134" w:lineRule="exact"/>
        <w:rPr>
          <w:sz w:val="20"/>
          <w:szCs w:val="20"/>
          <w:color w:val="auto"/>
        </w:rPr>
      </w:pPr>
    </w:p>
    <w:p>
      <w:pPr>
        <w:jc w:val="both"/>
        <w:ind w:left="180" w:right="439" w:firstLine="648"/>
        <w:spacing w:after="0" w:line="224" w:lineRule="auto"/>
        <w:rPr>
          <w:sz w:val="20"/>
          <w:szCs w:val="20"/>
          <w:color w:val="auto"/>
        </w:rPr>
      </w:pPr>
      <w:r>
        <w:rPr>
          <w:rFonts w:ascii="Arial" w:cs="Arial" w:eastAsia="Arial" w:hAnsi="Arial"/>
          <w:sz w:val="18"/>
          <w:szCs w:val="18"/>
          <w:color w:val="auto"/>
        </w:rPr>
        <w:t>The charter provides that our Audit Committee review transactions subject to the policy and determines whether or not to approve or ratify those transactions. In doing so, our Audit Committee takes into account, among other factors it deems appropriate:</w:t>
      </w:r>
    </w:p>
    <w:p>
      <w:pPr>
        <w:spacing w:after="0" w:line="136" w:lineRule="exact"/>
        <w:rPr>
          <w:sz w:val="20"/>
          <w:szCs w:val="20"/>
          <w:color w:val="auto"/>
        </w:rPr>
      </w:pPr>
    </w:p>
    <w:p>
      <w:pPr>
        <w:ind w:left="1480" w:right="439" w:hanging="324"/>
        <w:spacing w:after="0" w:line="220"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 and whether the transaction is material to us;</w:t>
      </w:r>
    </w:p>
    <w:p>
      <w:pPr>
        <w:spacing w:after="0" w:line="1" w:lineRule="exact"/>
        <w:rPr>
          <w:rFonts w:ascii="Arial" w:cs="Arial" w:eastAsia="Arial" w:hAnsi="Arial"/>
          <w:sz w:val="18"/>
          <w:szCs w:val="18"/>
          <w:color w:val="auto"/>
        </w:rPr>
      </w:pPr>
    </w:p>
    <w:p>
      <w:pPr>
        <w:ind w:left="1480" w:right="439" w:hanging="324"/>
        <w:spacing w:after="0" w:line="223" w:lineRule="auto"/>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the terms are fair to us, have resulted from arm's length negotiations and are on terms at least as favorable as would apply if the transaction did not involve a related person;</w:t>
      </w:r>
    </w:p>
    <w:p>
      <w:pPr>
        <w:spacing w:after="0" w:line="1" w:lineRule="exact"/>
        <w:rPr>
          <w:rFonts w:ascii="Arial" w:cs="Arial" w:eastAsia="Arial" w:hAnsi="Arial"/>
          <w:sz w:val="17"/>
          <w:szCs w:val="17"/>
          <w:color w:val="auto"/>
        </w:rPr>
      </w:pPr>
    </w:p>
    <w:p>
      <w:pPr>
        <w:ind w:left="1480" w:hanging="324"/>
        <w:spacing w:after="0" w:line="203"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w:t>
      </w:r>
    </w:p>
    <w:p>
      <w:pPr>
        <w:ind w:left="1480" w:hanging="324"/>
        <w:spacing w:after="0" w:line="203"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transaction was undertaken in our ordinary course of business;</w:t>
      </w:r>
    </w:p>
    <w:p>
      <w:pPr>
        <w:jc w:val="both"/>
        <w:ind w:left="1480" w:right="439" w:hanging="324"/>
        <w:spacing w:after="0" w:line="208"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related person's interest in the transaction, including the approximate dollar value of the amount of the related person's interest in the transaction without regard to the amount of any profit or loss;</w:t>
      </w:r>
    </w:p>
    <w:p>
      <w:pPr>
        <w:spacing w:after="0" w:line="1" w:lineRule="exact"/>
        <w:rPr>
          <w:rFonts w:ascii="Arial" w:cs="Arial" w:eastAsia="Arial" w:hAnsi="Arial"/>
          <w:sz w:val="18"/>
          <w:szCs w:val="18"/>
          <w:color w:val="auto"/>
        </w:rPr>
      </w:pPr>
    </w:p>
    <w:p>
      <w:pPr>
        <w:ind w:left="1480" w:hanging="324"/>
        <w:spacing w:after="0" w:line="203"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required public disclosure, if any; and</w:t>
      </w:r>
    </w:p>
    <w:p>
      <w:pPr>
        <w:jc w:val="both"/>
        <w:ind w:left="1480" w:right="439" w:hanging="324"/>
        <w:spacing w:after="0" w:line="223"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of Principal Accounting Fees for Professional Services Rendered</w:t>
      </w:r>
    </w:p>
    <w:p>
      <w:pPr>
        <w:spacing w:after="0" w:line="162" w:lineRule="exact"/>
        <w:rPr>
          <w:sz w:val="20"/>
          <w:szCs w:val="20"/>
          <w:color w:val="auto"/>
        </w:rPr>
      </w:pPr>
    </w:p>
    <w:p>
      <w:pPr>
        <w:jc w:val="both"/>
        <w:ind w:left="180" w:right="439" w:firstLine="648"/>
        <w:spacing w:after="0" w:line="248" w:lineRule="auto"/>
        <w:rPr>
          <w:sz w:val="20"/>
          <w:szCs w:val="20"/>
          <w:color w:val="auto"/>
        </w:rPr>
      </w:pPr>
      <w:r>
        <w:rPr>
          <w:rFonts w:ascii="Arial" w:cs="Arial" w:eastAsia="Arial" w:hAnsi="Arial"/>
          <w:sz w:val="16"/>
          <w:szCs w:val="16"/>
          <w:color w:val="auto"/>
        </w:rPr>
        <w:t>Our independent public accountants, Grant Thornton LLP, have audited our financial statements for the fiscal year ended December 31, 2022, and are expected to have a representative present at the 2023 Annual Meeting</w:t>
      </w:r>
    </w:p>
    <w:p>
      <w:pPr>
        <w:jc w:val="both"/>
        <w:ind w:left="180" w:right="439"/>
        <w:spacing w:after="0" w:line="226" w:lineRule="auto"/>
        <w:rPr>
          <w:sz w:val="20"/>
          <w:szCs w:val="20"/>
          <w:color w:val="auto"/>
        </w:rPr>
      </w:pPr>
      <w:r>
        <w:rPr>
          <w:rFonts w:ascii="Arial" w:cs="Arial" w:eastAsia="Arial" w:hAnsi="Arial"/>
          <w:sz w:val="18"/>
          <w:szCs w:val="18"/>
          <w:color w:val="auto"/>
        </w:rPr>
        <w:t>of stockholders, who will have the opportunity to make a statement if he or she desires to do so and is expected to be available to respond to appropriate questions.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Audit Fees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aggregate fees for professional services for the audit of our financial statements, audit of internal</w:t>
      </w:r>
    </w:p>
    <w:p>
      <w:pPr>
        <w:spacing w:after="0" w:line="10" w:lineRule="exact"/>
        <w:rPr>
          <w:sz w:val="20"/>
          <w:szCs w:val="20"/>
          <w:color w:val="auto"/>
        </w:rPr>
      </w:pPr>
    </w:p>
    <w:p>
      <w:pPr>
        <w:jc w:val="both"/>
        <w:ind w:left="180" w:right="439"/>
        <w:spacing w:after="0" w:line="218" w:lineRule="auto"/>
        <w:rPr>
          <w:sz w:val="20"/>
          <w:szCs w:val="20"/>
          <w:color w:val="auto"/>
        </w:rPr>
      </w:pPr>
      <w:r>
        <w:rPr>
          <w:rFonts w:ascii="Arial" w:cs="Arial" w:eastAsia="Arial" w:hAnsi="Arial"/>
          <w:sz w:val="18"/>
          <w:szCs w:val="18"/>
          <w:color w:val="auto"/>
        </w:rPr>
        <w:t>controls related to the Sarbanes-Oxley Act, and the reviews of the financial statements included in our Form 10-K and Forms 10-Q provided by Grant Thornton LLP for 2022 and 2021, was approximately $1,247,000 and $1,208,000, respectively.</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Audit-Related Fees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Grant Thornton LLP did not provide us any audit related services for 2022 and 2021.</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Tax Fees</w:t>
      </w:r>
    </w:p>
    <w:p>
      <w:pPr>
        <w:spacing w:after="0" w:line="162" w:lineRule="exact"/>
        <w:rPr>
          <w:sz w:val="20"/>
          <w:szCs w:val="20"/>
          <w:color w:val="auto"/>
        </w:rPr>
      </w:pPr>
    </w:p>
    <w:p>
      <w:pPr>
        <w:jc w:val="both"/>
        <w:ind w:left="180" w:right="439" w:firstLine="648"/>
        <w:spacing w:after="0" w:line="235" w:lineRule="auto"/>
        <w:rPr>
          <w:sz w:val="20"/>
          <w:szCs w:val="20"/>
          <w:color w:val="auto"/>
        </w:rPr>
      </w:pPr>
      <w:r>
        <w:rPr>
          <w:rFonts w:ascii="Arial" w:cs="Arial" w:eastAsia="Arial" w:hAnsi="Arial"/>
          <w:sz w:val="18"/>
          <w:szCs w:val="18"/>
          <w:color w:val="auto"/>
        </w:rPr>
        <w:t>Grant Thornton LLP did not provide us any professional services for tax compliance, tax advice, or tax planning in 2022 or 2021.</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All Other Fees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Grant Thornton LLP did not provide us any services for 2022 or 2021, other than as set forth above.</w:t>
      </w:r>
    </w:p>
    <w:p>
      <w:pPr>
        <w:spacing w:after="0" w:line="21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4" w:name="page55"/>
    <w:bookmarkEnd w:id="54"/>
    <w:p>
      <w:pPr>
        <w:ind w:left="18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Audit Committee must pre-approve, to the extent required by applicable law, all audit services and</w:t>
      </w:r>
    </w:p>
    <w:p>
      <w:pPr>
        <w:spacing w:after="0" w:line="10"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 xml:space="preserve">permissible non-audit services provided by our independent registered public accounting firm, except for any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non-audit services. Non-audit services are considered</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if (i) the aggregate amount of all such</w:t>
      </w:r>
      <w:r>
        <w:rPr>
          <w:rFonts w:ascii="Arial" w:cs="Arial" w:eastAsia="Arial" w:hAnsi="Arial"/>
          <w:sz w:val="16"/>
          <w:szCs w:val="16"/>
          <w:i w:val="1"/>
          <w:iCs w:val="1"/>
          <w:color w:val="auto"/>
        </w:rPr>
        <w:t xml:space="preserve"> </w:t>
      </w:r>
      <w:r>
        <w:rPr>
          <w:rFonts w:ascii="Arial" w:cs="Arial" w:eastAsia="Arial" w:hAnsi="Arial"/>
          <w:sz w:val="16"/>
          <w:szCs w:val="16"/>
          <w:color w:val="auto"/>
        </w:rPr>
        <w:t>non-audit services constitutes less than 5% of the total amount of revenues we paid to our independent registered</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w:t>
      </w:r>
    </w:p>
    <w:p>
      <w:pPr>
        <w:spacing w:after="0" w:line="2" w:lineRule="exact"/>
        <w:rPr>
          <w:sz w:val="20"/>
          <w:szCs w:val="20"/>
          <w:color w:val="auto"/>
        </w:rPr>
      </w:pPr>
    </w:p>
    <w:p>
      <w:pPr>
        <w:jc w:val="both"/>
        <w:ind w:left="180" w:right="439"/>
        <w:spacing w:after="0" w:line="226" w:lineRule="auto"/>
        <w:rPr>
          <w:sz w:val="20"/>
          <w:szCs w:val="20"/>
          <w:color w:val="auto"/>
        </w:rPr>
      </w:pPr>
      <w:r>
        <w:rPr>
          <w:rFonts w:ascii="Arial" w:cs="Arial" w:eastAsia="Arial" w:hAnsi="Arial"/>
          <w:sz w:val="18"/>
          <w:szCs w:val="18"/>
          <w:color w:val="auto"/>
        </w:rPr>
        <w:t>authority to give such approval. Our Audit Committee pre-approved all services provided to us by Grant Thornton LLP for 2022 and 2021.</w:t>
      </w:r>
    </w:p>
    <w:p>
      <w:pPr>
        <w:spacing w:after="0" w:line="11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STOCKHOLDER COMMUNICATIONS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Annual Report</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 copy of our Annual Report on Form 10-K for the fiscal year ended December 31, 2022, including Amendment</w:t>
      </w:r>
    </w:p>
    <w:p>
      <w:pPr>
        <w:spacing w:after="0" w:line="10" w:lineRule="exact"/>
        <w:rPr>
          <w:sz w:val="20"/>
          <w:szCs w:val="20"/>
          <w:color w:val="auto"/>
        </w:rPr>
      </w:pPr>
    </w:p>
    <w:p>
      <w:pPr>
        <w:ind w:left="180" w:right="659"/>
        <w:spacing w:after="0" w:line="218" w:lineRule="auto"/>
        <w:rPr>
          <w:sz w:val="20"/>
          <w:szCs w:val="20"/>
          <w:color w:val="auto"/>
        </w:rPr>
      </w:pPr>
      <w:r>
        <w:rPr>
          <w:rFonts w:ascii="Arial" w:cs="Arial" w:eastAsia="Arial" w:hAnsi="Arial"/>
          <w:sz w:val="18"/>
          <w:szCs w:val="18"/>
          <w:color w:val="auto"/>
        </w:rPr>
        <w:t>No. 1 on Form 10-K/A to our Annual Report on Form 10-K for the fiscal year ended December 31, 2022 are both available free of charge at https://investor.readingrdi.com/financial-information/annual-reports and at www.envisionreports.com/RDI.</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Stockholder Communicatons with Directors</w:t>
      </w:r>
    </w:p>
    <w:p>
      <w:pPr>
        <w:spacing w:after="0" w:line="151" w:lineRule="exact"/>
        <w:rPr>
          <w:sz w:val="20"/>
          <w:szCs w:val="20"/>
          <w:color w:val="auto"/>
        </w:rPr>
      </w:pPr>
    </w:p>
    <w:p>
      <w:pPr>
        <w:jc w:val="both"/>
        <w:ind w:left="180" w:right="439" w:firstLine="648"/>
        <w:spacing w:after="0" w:line="248" w:lineRule="auto"/>
        <w:rPr>
          <w:sz w:val="20"/>
          <w:szCs w:val="20"/>
          <w:color w:val="auto"/>
        </w:rPr>
      </w:pPr>
      <w:r>
        <w:rPr>
          <w:rFonts w:ascii="Arial" w:cs="Arial" w:eastAsia="Arial" w:hAnsi="Arial"/>
          <w:sz w:val="16"/>
          <w:szCs w:val="16"/>
          <w:color w:val="auto"/>
        </w:rPr>
        <w:t>It is the policy of our Board that any communications sent to the attention of any one or more of our Directors in care of our executive offices will be promptly forwarded to such Directors. Such communications will</w:t>
      </w:r>
    </w:p>
    <w:p>
      <w:pPr>
        <w:jc w:val="both"/>
        <w:ind w:left="180" w:right="439"/>
        <w:spacing w:after="0" w:line="248" w:lineRule="auto"/>
        <w:rPr>
          <w:sz w:val="20"/>
          <w:szCs w:val="20"/>
          <w:color w:val="auto"/>
        </w:rPr>
      </w:pPr>
      <w:r>
        <w:rPr>
          <w:rFonts w:ascii="Arial" w:cs="Arial" w:eastAsia="Arial" w:hAnsi="Arial"/>
          <w:sz w:val="16"/>
          <w:szCs w:val="16"/>
          <w:color w:val="auto"/>
        </w:rPr>
        <w:t>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Stockholder Proposals and Director Nominatons</w:t>
      </w:r>
    </w:p>
    <w:p>
      <w:pPr>
        <w:spacing w:after="0" w:line="151" w:lineRule="exact"/>
        <w:rPr>
          <w:sz w:val="20"/>
          <w:szCs w:val="20"/>
          <w:color w:val="auto"/>
        </w:rPr>
      </w:pPr>
    </w:p>
    <w:p>
      <w:pPr>
        <w:jc w:val="both"/>
        <w:ind w:left="180" w:right="439" w:firstLine="648"/>
        <w:spacing w:after="0" w:line="248" w:lineRule="auto"/>
        <w:rPr>
          <w:sz w:val="20"/>
          <w:szCs w:val="20"/>
          <w:color w:val="auto"/>
        </w:rPr>
      </w:pPr>
      <w:r>
        <w:rPr>
          <w:rFonts w:ascii="Arial" w:cs="Arial" w:eastAsia="Arial" w:hAnsi="Arial"/>
          <w:sz w:val="16"/>
          <w:szCs w:val="16"/>
          <w:color w:val="auto"/>
        </w:rPr>
        <w:t>Any stockholder who, in accordance with and subject to the provisions of the proxy rules of the SEC, wishes to submit a proposal for inclusion in our Proxy Statement for our 2024 annual meeting of stockholders, must</w:t>
      </w:r>
    </w:p>
    <w:p>
      <w:pPr>
        <w:jc w:val="both"/>
        <w:ind w:left="180" w:right="439"/>
        <w:spacing w:after="0" w:line="234" w:lineRule="auto"/>
        <w:rPr>
          <w:sz w:val="20"/>
          <w:szCs w:val="20"/>
          <w:color w:val="auto"/>
        </w:rPr>
      </w:pPr>
      <w:r>
        <w:rPr>
          <w:rFonts w:ascii="Arial" w:cs="Arial" w:eastAsia="Arial" w:hAnsi="Arial"/>
          <w:sz w:val="16"/>
          <w:szCs w:val="16"/>
          <w:color w:val="auto"/>
        </w:rPr>
        <w:t>deliver such proposal in writing to the Annual Meeting Secretary at the address of our Company’s principal executive offices at 189 Second Avenue, Suite 2S, New York, New York 10003. Unless we change the date of our 2024 annual meeting by more than 30 days from the anniversary of our 2023 Annual Meeting, such written proposal</w:t>
      </w:r>
    </w:p>
    <w:p>
      <w:pPr>
        <w:spacing w:after="0" w:line="2" w:lineRule="exact"/>
        <w:rPr>
          <w:sz w:val="20"/>
          <w:szCs w:val="20"/>
          <w:color w:val="auto"/>
        </w:rPr>
      </w:pPr>
    </w:p>
    <w:p>
      <w:pPr>
        <w:jc w:val="both"/>
        <w:ind w:left="180" w:right="439"/>
        <w:spacing w:after="0" w:line="234" w:lineRule="auto"/>
        <w:rPr>
          <w:sz w:val="20"/>
          <w:szCs w:val="20"/>
          <w:color w:val="auto"/>
        </w:rPr>
      </w:pPr>
      <w:r>
        <w:rPr>
          <w:rFonts w:ascii="Arial" w:cs="Arial" w:eastAsia="Arial" w:hAnsi="Arial"/>
          <w:sz w:val="16"/>
          <w:szCs w:val="16"/>
          <w:color w:val="auto"/>
        </w:rPr>
        <w:t>must be delivered to us no later than July 7, 2024, to be considered timely. If our 2024 annual meeting is not held within 30 days of the anniversary of our 2023 Annual Meeting, to be considered timely, stockholder proposals must be received no later than ten days after the earlier of (a) the date on which notice of the 2024 annual meeting is</w:t>
      </w:r>
    </w:p>
    <w:p>
      <w:pPr>
        <w:spacing w:after="0" w:line="2" w:lineRule="exact"/>
        <w:rPr>
          <w:sz w:val="20"/>
          <w:szCs w:val="20"/>
          <w:color w:val="auto"/>
        </w:rPr>
      </w:pPr>
    </w:p>
    <w:p>
      <w:pPr>
        <w:jc w:val="both"/>
        <w:ind w:left="180" w:right="459"/>
        <w:spacing w:after="0" w:line="226" w:lineRule="auto"/>
        <w:rPr>
          <w:sz w:val="20"/>
          <w:szCs w:val="20"/>
          <w:color w:val="auto"/>
        </w:rPr>
      </w:pPr>
      <w:r>
        <w:rPr>
          <w:rFonts w:ascii="Arial" w:cs="Arial" w:eastAsia="Arial" w:hAnsi="Arial"/>
          <w:sz w:val="18"/>
          <w:szCs w:val="18"/>
          <w:color w:val="auto"/>
        </w:rPr>
        <w:t>mailed, or (b) the date on which the Company publicly discloses the date of the 2024 annual meeting, including disclosure in an SEC filing or through a press release.</w:t>
      </w:r>
    </w:p>
    <w:p>
      <w:pPr>
        <w:spacing w:after="0" w:line="134" w:lineRule="exact"/>
        <w:rPr>
          <w:sz w:val="20"/>
          <w:szCs w:val="20"/>
          <w:color w:val="auto"/>
        </w:rPr>
      </w:pPr>
    </w:p>
    <w:p>
      <w:pPr>
        <w:jc w:val="both"/>
        <w:ind w:left="180" w:right="439" w:firstLine="648"/>
        <w:spacing w:after="0" w:line="238" w:lineRule="auto"/>
        <w:rPr>
          <w:sz w:val="20"/>
          <w:szCs w:val="20"/>
          <w:color w:val="auto"/>
        </w:rPr>
      </w:pPr>
      <w:r>
        <w:rPr>
          <w:rFonts w:ascii="Arial" w:cs="Arial" w:eastAsia="Arial" w:hAnsi="Arial"/>
          <w:sz w:val="16"/>
          <w:szCs w:val="16"/>
          <w:color w:val="auto"/>
        </w:rPr>
        <w:t>Under our governing documents and applicable Nevada law, our Class B stockholders may also directly submit a proposal or nominate a director candidate from the floor at any meeting of our stockholders held at which Directors are to be elected. Such floor proposal or nomination may be made at our virtual 2024 annual meeting by of our Class B stockholders using the Meeting Text Function. See the discussion above under the Caption: “How</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will the meeting be conducted and how do I participate?”</w:t>
      </w:r>
    </w:p>
    <w:p>
      <w:pPr>
        <w:spacing w:after="0" w:line="26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OTHER MATTERS</w:t>
      </w:r>
    </w:p>
    <w:p>
      <w:pPr>
        <w:spacing w:after="0" w:line="127" w:lineRule="exact"/>
        <w:rPr>
          <w:sz w:val="20"/>
          <w:szCs w:val="20"/>
          <w:color w:val="auto"/>
        </w:rPr>
      </w:pPr>
    </w:p>
    <w:p>
      <w:pPr>
        <w:jc w:val="both"/>
        <w:ind w:left="180" w:right="439" w:firstLine="648"/>
        <w:spacing w:after="0" w:line="224" w:lineRule="auto"/>
        <w:rPr>
          <w:sz w:val="20"/>
          <w:szCs w:val="20"/>
          <w:color w:val="auto"/>
        </w:rPr>
      </w:pPr>
      <w:r>
        <w:rPr>
          <w:rFonts w:ascii="Arial" w:cs="Arial" w:eastAsia="Arial" w:hAnsi="Arial"/>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36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83755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5" w:name="page56"/>
    <w:bookmarkEnd w:id="55"/>
    <w:p>
      <w:pPr>
        <w:jc w:val="center"/>
        <w:ind w:right="-480"/>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151"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As permitted by the Exchange, under a procedure called “householding”, only one copy of the proxy</w:t>
      </w:r>
    </w:p>
    <w:p>
      <w:pPr>
        <w:spacing w:after="0" w:line="10" w:lineRule="exact"/>
        <w:rPr>
          <w:sz w:val="20"/>
          <w:szCs w:val="20"/>
          <w:color w:val="auto"/>
        </w:rPr>
      </w:pPr>
    </w:p>
    <w:p>
      <w:pPr>
        <w:jc w:val="both"/>
        <w:ind w:left="180" w:right="439"/>
        <w:spacing w:after="0" w:line="226" w:lineRule="auto"/>
        <w:rPr>
          <w:sz w:val="20"/>
          <w:szCs w:val="20"/>
          <w:color w:val="auto"/>
        </w:rPr>
      </w:pPr>
      <w:r>
        <w:rPr>
          <w:rFonts w:ascii="Arial" w:cs="Arial" w:eastAsia="Arial" w:hAnsi="Arial"/>
          <w:sz w:val="18"/>
          <w:szCs w:val="18"/>
          <w:color w:val="auto"/>
        </w:rPr>
        <w:t>materials is being delivered to our stockholders residing at the same address, unless such stockholders have notified us of their desire to receive multiple copies of the proxy materials.</w:t>
      </w:r>
    </w:p>
    <w:p>
      <w:pPr>
        <w:spacing w:after="0" w:line="134" w:lineRule="exact"/>
        <w:rPr>
          <w:sz w:val="20"/>
          <w:szCs w:val="20"/>
          <w:color w:val="auto"/>
        </w:rPr>
      </w:pPr>
    </w:p>
    <w:p>
      <w:pPr>
        <w:jc w:val="both"/>
        <w:ind w:left="180" w:right="439" w:firstLine="648"/>
        <w:spacing w:after="0" w:line="227" w:lineRule="auto"/>
        <w:rPr>
          <w:sz w:val="20"/>
          <w:szCs w:val="20"/>
          <w:color w:val="auto"/>
        </w:rPr>
      </w:pPr>
      <w:r>
        <w:rPr>
          <w:rFonts w:ascii="Arial" w:cs="Arial" w:eastAsia="Arial" w:hAnsi="Arial"/>
          <w:sz w:val="17"/>
          <w:szCs w:val="17"/>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(212) 871-6840 or by mail to Corporate</w:t>
      </w:r>
    </w:p>
    <w:p>
      <w:pPr>
        <w:spacing w:after="0" w:line="1" w:lineRule="exact"/>
        <w:rPr>
          <w:sz w:val="20"/>
          <w:szCs w:val="20"/>
          <w:color w:val="auto"/>
        </w:rPr>
      </w:pPr>
    </w:p>
    <w:p>
      <w:pPr>
        <w:jc w:val="both"/>
        <w:ind w:left="180" w:right="439"/>
        <w:spacing w:after="0" w:line="226" w:lineRule="auto"/>
        <w:rPr>
          <w:sz w:val="20"/>
          <w:szCs w:val="20"/>
          <w:color w:val="auto"/>
        </w:rPr>
      </w:pPr>
      <w:r>
        <w:rPr>
          <w:rFonts w:ascii="Arial" w:cs="Arial" w:eastAsia="Arial" w:hAnsi="Arial"/>
          <w:sz w:val="18"/>
          <w:szCs w:val="18"/>
          <w:color w:val="auto"/>
        </w:rPr>
        <w:t>Secretary, Reading International, Inc., 189 Second Avenue, Suite 2S, New York, New York 10003. Questions may also be submitted to us in advance via email at 2023AnnualMeeting@ReadingRDI.com.</w:t>
      </w:r>
    </w:p>
    <w:p>
      <w:pPr>
        <w:spacing w:after="0" w:line="134" w:lineRule="exact"/>
        <w:rPr>
          <w:sz w:val="20"/>
          <w:szCs w:val="20"/>
          <w:color w:val="auto"/>
        </w:rPr>
      </w:pPr>
    </w:p>
    <w:p>
      <w:pPr>
        <w:jc w:val="both"/>
        <w:ind w:left="180" w:right="439" w:firstLine="648"/>
        <w:spacing w:after="0" w:line="241" w:lineRule="auto"/>
        <w:rPr>
          <w:sz w:val="20"/>
          <w:szCs w:val="20"/>
          <w:color w:val="auto"/>
        </w:rPr>
      </w:pPr>
      <w:r>
        <w:rPr>
          <w:rFonts w:ascii="Arial" w:cs="Arial" w:eastAsia="Arial" w:hAnsi="Arial"/>
          <w:sz w:val="16"/>
          <w:szCs w:val="16"/>
          <w:color w:val="auto"/>
        </w:rPr>
        <w:t>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please contact the</w:t>
      </w:r>
    </w:p>
    <w:p>
      <w:pPr>
        <w:spacing w:after="0" w:line="2" w:lineRule="exact"/>
        <w:rPr>
          <w:sz w:val="20"/>
          <w:szCs w:val="20"/>
          <w:color w:val="auto"/>
        </w:rPr>
      </w:pPr>
    </w:p>
    <w:p>
      <w:pPr>
        <w:jc w:val="both"/>
        <w:ind w:left="180" w:right="439"/>
        <w:spacing w:after="0" w:line="218" w:lineRule="auto"/>
        <w:rPr>
          <w:sz w:val="20"/>
          <w:szCs w:val="20"/>
          <w:color w:val="auto"/>
        </w:rPr>
      </w:pPr>
      <w:r>
        <w:rPr>
          <w:rFonts w:ascii="Arial" w:cs="Arial" w:eastAsia="Arial" w:hAnsi="Arial"/>
          <w:sz w:val="18"/>
          <w:szCs w:val="18"/>
          <w:color w:val="auto"/>
        </w:rPr>
        <w:t>Corporate Secretary as described above. Stockholders residing at the same address and currently receiving only one copy of the proxy materials may contact the Corporate Secretary as described above to request multiple copies of the proxy materials in the future.</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109220</wp:posOffset>
            </wp:positionV>
            <wp:extent cx="1019810" cy="368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1981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Margaret Cotter</w:t>
      </w:r>
    </w:p>
    <w:p>
      <w:pPr>
        <w:ind w:left="760"/>
        <w:spacing w:after="0" w:line="203" w:lineRule="auto"/>
        <w:rPr>
          <w:sz w:val="20"/>
          <w:szCs w:val="20"/>
          <w:color w:val="auto"/>
        </w:rPr>
      </w:pPr>
      <w:r>
        <w:rPr>
          <w:rFonts w:ascii="Arial" w:cs="Arial" w:eastAsia="Arial" w:hAnsi="Arial"/>
          <w:sz w:val="18"/>
          <w:szCs w:val="18"/>
          <w:i w:val="1"/>
          <w:iCs w:val="1"/>
          <w:color w:val="auto"/>
        </w:rPr>
        <w:t>Chair of the Board</w:t>
      </w:r>
    </w:p>
    <w:p>
      <w:pPr>
        <w:ind w:left="760"/>
        <w:spacing w:after="0"/>
        <w:rPr>
          <w:sz w:val="20"/>
          <w:szCs w:val="20"/>
          <w:color w:val="auto"/>
        </w:rPr>
      </w:pPr>
      <w:r>
        <w:rPr>
          <w:rFonts w:ascii="Arial" w:cs="Arial" w:eastAsia="Arial" w:hAnsi="Arial"/>
          <w:sz w:val="18"/>
          <w:szCs w:val="18"/>
          <w:color w:val="auto"/>
        </w:rPr>
        <w:t>October 27, 2023</w:t>
      </w:r>
    </w:p>
    <w:p>
      <w:pPr>
        <w:spacing w:after="0" w:line="200" w:lineRule="exact"/>
        <w:rPr>
          <w:sz w:val="20"/>
          <w:szCs w:val="20"/>
          <w:color w:val="auto"/>
        </w:rPr>
      </w:pPr>
    </w:p>
    <w:p>
      <w:pPr>
        <w:spacing w:after="0" w:line="33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62230</wp:posOffset>
            </wp:positionV>
            <wp:extent cx="583755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6" w:name="page57"/>
    <w:bookmarkEnd w:id="56"/>
    <w:p>
      <w:pPr>
        <w:ind w:left="4200"/>
        <w:spacing w:after="0"/>
        <w:rPr>
          <w:sz w:val="20"/>
          <w:szCs w:val="20"/>
          <w:color w:val="auto"/>
        </w:rPr>
      </w:pPr>
      <w:r>
        <w:rPr>
          <w:rFonts w:ascii="Arial" w:cs="Arial" w:eastAsia="Arial" w:hAnsi="Arial"/>
          <w:sz w:val="18"/>
          <w:szCs w:val="18"/>
          <w:b w:val="1"/>
          <w:bCs w:val="1"/>
          <w:color w:val="auto"/>
        </w:rPr>
        <w:t>APPENDIX A</w:t>
      </w:r>
    </w:p>
    <w:p>
      <w:pPr>
        <w:spacing w:after="0" w:line="36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FIRST AMENDMENT</w:t>
      </w:r>
    </w:p>
    <w:p>
      <w:pPr>
        <w:jc w:val="center"/>
        <w:ind w:right="-460"/>
        <w:spacing w:after="0" w:line="203" w:lineRule="auto"/>
        <w:rPr>
          <w:sz w:val="20"/>
          <w:szCs w:val="20"/>
          <w:color w:val="auto"/>
        </w:rPr>
      </w:pPr>
      <w:r>
        <w:rPr>
          <w:rFonts w:ascii="Arial" w:cs="Arial" w:eastAsia="Arial" w:hAnsi="Arial"/>
          <w:sz w:val="18"/>
          <w:szCs w:val="18"/>
          <w:b w:val="1"/>
          <w:bCs w:val="1"/>
          <w:color w:val="auto"/>
        </w:rPr>
        <w:t>TO THE</w:t>
      </w:r>
    </w:p>
    <w:p>
      <w:pPr>
        <w:jc w:val="center"/>
        <w:ind w:right="-460"/>
        <w:spacing w:after="0" w:line="219" w:lineRule="auto"/>
        <w:rPr>
          <w:sz w:val="20"/>
          <w:szCs w:val="20"/>
          <w:color w:val="auto"/>
        </w:rPr>
      </w:pPr>
      <w:r>
        <w:rPr>
          <w:rFonts w:ascii="Arial" w:cs="Arial" w:eastAsia="Arial" w:hAnsi="Arial"/>
          <w:sz w:val="18"/>
          <w:szCs w:val="18"/>
          <w:b w:val="1"/>
          <w:bCs w:val="1"/>
          <w:color w:val="auto"/>
        </w:rPr>
        <w:t>READING INTERNATIONAL, INC.</w:t>
      </w:r>
    </w:p>
    <w:p>
      <w:pPr>
        <w:spacing w:after="0" w:line="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2020 STOCK INCENTIVE PLAN</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This First Amendment (“</w:t>
      </w:r>
      <w:r>
        <w:rPr>
          <w:rFonts w:ascii="Arial" w:cs="Arial" w:eastAsia="Arial" w:hAnsi="Arial"/>
          <w:sz w:val="17"/>
          <w:szCs w:val="17"/>
          <w:b w:val="1"/>
          <w:bCs w:val="1"/>
          <w:color w:val="auto"/>
        </w:rPr>
        <w:t>Amendment</w:t>
      </w:r>
      <w:r>
        <w:rPr>
          <w:rFonts w:ascii="Arial" w:cs="Arial" w:eastAsia="Arial" w:hAnsi="Arial"/>
          <w:sz w:val="17"/>
          <w:szCs w:val="17"/>
          <w:color w:val="auto"/>
        </w:rPr>
        <w:t>”) to the Reading International, Inc. 2020 Stock Incentive Plan (as</w:t>
      </w:r>
    </w:p>
    <w:p>
      <w:pPr>
        <w:spacing w:after="0" w:line="14" w:lineRule="exact"/>
        <w:rPr>
          <w:sz w:val="20"/>
          <w:szCs w:val="20"/>
          <w:color w:val="auto"/>
        </w:rPr>
      </w:pPr>
    </w:p>
    <w:p>
      <w:pPr>
        <w:jc w:val="both"/>
        <w:ind w:left="180" w:right="199"/>
        <w:spacing w:after="0" w:line="226" w:lineRule="auto"/>
        <w:rPr>
          <w:sz w:val="20"/>
          <w:szCs w:val="20"/>
          <w:color w:val="auto"/>
        </w:rPr>
      </w:pPr>
      <w:r>
        <w:rPr>
          <w:rFonts w:ascii="Arial" w:cs="Arial" w:eastAsia="Arial" w:hAnsi="Arial"/>
          <w:sz w:val="18"/>
          <w:szCs w:val="18"/>
          <w:color w:val="auto"/>
        </w:rPr>
        <w:t>amended from time to time, the “</w:t>
      </w:r>
      <w:r>
        <w:rPr>
          <w:rFonts w:ascii="Arial" w:cs="Arial" w:eastAsia="Arial" w:hAnsi="Arial"/>
          <w:sz w:val="18"/>
          <w:szCs w:val="18"/>
          <w:b w:val="1"/>
          <w:bCs w:val="1"/>
          <w:color w:val="auto"/>
        </w:rPr>
        <w:t>2020 Stock Plan</w:t>
      </w:r>
      <w:r>
        <w:rPr>
          <w:rFonts w:ascii="Arial" w:cs="Arial" w:eastAsia="Arial" w:hAnsi="Arial"/>
          <w:sz w:val="18"/>
          <w:szCs w:val="18"/>
          <w:color w:val="auto"/>
        </w:rPr>
        <w:t>”), is made and adopted by Reading International,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adopted the 2020 Stock Plan on November 4, 2020;</w:t>
      </w:r>
    </w:p>
    <w:p>
      <w:pPr>
        <w:spacing w:after="0" w:line="14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Section 12(a) of the 2020 Stock Plan provides that the Company’s board of directors (the</w:t>
      </w:r>
    </w:p>
    <w:p>
      <w:pPr>
        <w:spacing w:after="0" w:line="14" w:lineRule="exact"/>
        <w:rPr>
          <w:sz w:val="20"/>
          <w:szCs w:val="20"/>
          <w:color w:val="auto"/>
        </w:rPr>
      </w:pPr>
    </w:p>
    <w:p>
      <w:pPr>
        <w:jc w:val="both"/>
        <w:ind w:left="180" w:right="199"/>
        <w:spacing w:after="0" w:line="23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may amend the 2020 Stock Plan from time to time, provided that no amendment shall be effective unless approved by the stockholders of the Company to the extent stockholder approval is necessary to satisfy the requirements of Section 422 of the Code, Rule 16b-3 or any securities exchange listing requirements; and</w:t>
      </w:r>
    </w:p>
    <w:p>
      <w:pPr>
        <w:spacing w:after="0" w:line="131" w:lineRule="exact"/>
        <w:rPr>
          <w:sz w:val="20"/>
          <w:szCs w:val="20"/>
          <w:color w:val="auto"/>
        </w:rPr>
      </w:pPr>
    </w:p>
    <w:p>
      <w:pPr>
        <w:jc w:val="both"/>
        <w:ind w:left="180" w:right="199" w:firstLine="648"/>
        <w:spacing w:after="0" w:line="25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desires to amend the 2020 Stock Plan to increase the number of shares of Class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reserved for issuance under the 2020 Stock Plan by 971,807 shares of Class A Stock from 1,250,000 shares to</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2,221,807 shares, subject to approval by the Class B stockholders of the Company.</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2020 Stock Plan is hereby amended as follows:</w:t>
      </w:r>
    </w:p>
    <w:p>
      <w:pPr>
        <w:spacing w:after="0" w:line="162" w:lineRule="exact"/>
        <w:rPr>
          <w:sz w:val="20"/>
          <w:szCs w:val="20"/>
          <w:color w:val="auto"/>
        </w:rPr>
      </w:pPr>
    </w:p>
    <w:p>
      <w:pPr>
        <w:ind w:left="860" w:hanging="352"/>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4(a) of the 2020 Stock Plan is hereby amended and restated in its entirety as follows:</w:t>
      </w:r>
    </w:p>
    <w:p>
      <w:pPr>
        <w:spacing w:after="0" w:line="140"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b w:val="1"/>
          <w:bCs w:val="1"/>
          <w:color w:val="auto"/>
        </w:rPr>
        <w:t>Share Reserve</w:t>
      </w:r>
      <w:r>
        <w:rPr>
          <w:rFonts w:ascii="Arial" w:cs="Arial" w:eastAsia="Arial" w:hAnsi="Arial"/>
          <w:sz w:val="17"/>
          <w:szCs w:val="17"/>
          <w:color w:val="auto"/>
        </w:rPr>
        <w:t>. Subject to the provisions of subsection 11(a) relating to adjustments upon</w:t>
      </w:r>
    </w:p>
    <w:p>
      <w:pPr>
        <w:spacing w:after="0" w:line="14" w:lineRule="exact"/>
        <w:rPr>
          <w:sz w:val="20"/>
          <w:szCs w:val="20"/>
          <w:color w:val="auto"/>
        </w:rPr>
      </w:pPr>
    </w:p>
    <w:p>
      <w:pPr>
        <w:jc w:val="both"/>
        <w:ind w:left="840" w:right="199"/>
        <w:spacing w:after="0" w:line="234" w:lineRule="auto"/>
        <w:rPr>
          <w:sz w:val="20"/>
          <w:szCs w:val="20"/>
          <w:color w:val="auto"/>
        </w:rPr>
      </w:pPr>
      <w:r>
        <w:rPr>
          <w:rFonts w:ascii="Arial" w:cs="Arial" w:eastAsia="Arial" w:hAnsi="Arial"/>
          <w:sz w:val="16"/>
          <w:szCs w:val="16"/>
          <w:color w:val="auto"/>
        </w:rPr>
        <w:t>changes in Common Stock, the number of shares of Common Stock that may be issued pursuant to, or that may be subject to, Stock Awards shall not exceed in the aggregate (x) 2,221,807 shares of Class A Stock plus any shares of Class A Stock subject to Prior Plan Awards which, on or after the Board Approval Date, become</w:t>
      </w:r>
    </w:p>
    <w:p>
      <w:pPr>
        <w:spacing w:after="0" w:line="2" w:lineRule="exact"/>
        <w:rPr>
          <w:sz w:val="20"/>
          <w:szCs w:val="20"/>
          <w:color w:val="auto"/>
        </w:rPr>
      </w:pPr>
    </w:p>
    <w:p>
      <w:pPr>
        <w:jc w:val="both"/>
        <w:ind w:left="840" w:right="199"/>
        <w:spacing w:after="0" w:line="233" w:lineRule="auto"/>
        <w:rPr>
          <w:sz w:val="20"/>
          <w:szCs w:val="20"/>
          <w:color w:val="auto"/>
        </w:rPr>
      </w:pPr>
      <w:r>
        <w:rPr>
          <w:rFonts w:ascii="Arial" w:cs="Arial" w:eastAsia="Arial" w:hAnsi="Arial"/>
          <w:sz w:val="16"/>
          <w:szCs w:val="16"/>
          <w:color w:val="auto"/>
        </w:rPr>
        <w:t>available for Awards pursuant to subsection 4(b) and (y) 200,000 shares of Class B Stock. Subject to the provisions of subsection 11(a) relating to adjustments upon changes in Common Stock, if all Prior Plan Awards were forfeited, the number of shares of Common Stock that may be issued pursuant to, or that may be subject to, Stock Awards, shall not exceed 3,074,811 shares of Class A Stock and 200,000 shares of Class B</w:t>
      </w:r>
    </w:p>
    <w:p>
      <w:pPr>
        <w:spacing w:after="0" w:line="1" w:lineRule="exact"/>
        <w:rPr>
          <w:sz w:val="20"/>
          <w:szCs w:val="20"/>
          <w:color w:val="auto"/>
        </w:rPr>
      </w:pPr>
    </w:p>
    <w:p>
      <w:pPr>
        <w:jc w:val="both"/>
        <w:ind w:left="840" w:right="199"/>
        <w:spacing w:after="0" w:line="234" w:lineRule="auto"/>
        <w:rPr>
          <w:sz w:val="20"/>
          <w:szCs w:val="20"/>
          <w:color w:val="auto"/>
        </w:rPr>
      </w:pPr>
      <w:r>
        <w:rPr>
          <w:rFonts w:ascii="Arial" w:cs="Arial" w:eastAsia="Arial" w:hAnsi="Arial"/>
          <w:sz w:val="16"/>
          <w:szCs w:val="16"/>
          <w:color w:val="auto"/>
        </w:rPr>
        <w:t>Stock. Subject to subsection 4(b), the number of shares available for issuance under the Plan shall be reduced by (i) one share for each share of Common Stock issued pursuant to a Stock Award granted under Section 6 or Section 7 and (ii) one share for each Common Stock equivalent subject to a stock appreciation right granted</w:t>
      </w:r>
    </w:p>
    <w:p>
      <w:pPr>
        <w:spacing w:after="0" w:line="2" w:lineRule="exact"/>
        <w:rPr>
          <w:sz w:val="20"/>
          <w:szCs w:val="20"/>
          <w:color w:val="auto"/>
        </w:rPr>
      </w:pPr>
    </w:p>
    <w:p>
      <w:pPr>
        <w:jc w:val="both"/>
        <w:ind w:left="840" w:right="199"/>
        <w:spacing w:after="0" w:line="234" w:lineRule="auto"/>
        <w:rPr>
          <w:sz w:val="20"/>
          <w:szCs w:val="20"/>
          <w:color w:val="auto"/>
        </w:rPr>
      </w:pPr>
      <w:r>
        <w:rPr>
          <w:rFonts w:ascii="Arial" w:cs="Arial" w:eastAsia="Arial" w:hAnsi="Arial"/>
          <w:sz w:val="16"/>
          <w:szCs w:val="16"/>
          <w:color w:val="auto"/>
        </w:rPr>
        <w:t>under subsection 7(c). Each Stock Award shall be denominated in either Class A Stock or Class B Stock as the Board shall determine at the time of grant. For the avoidance of doubt, the number of shares of Class B Stock that may be issued under this Plan shall not exceed in the aggregate more than five percent (5%) of the shares</w:t>
      </w:r>
    </w:p>
    <w:p>
      <w:pPr>
        <w:spacing w:after="0" w:line="2" w:lineRule="exact"/>
        <w:rPr>
          <w:sz w:val="20"/>
          <w:szCs w:val="20"/>
          <w:color w:val="auto"/>
        </w:rPr>
      </w:pPr>
    </w:p>
    <w:p>
      <w:pPr>
        <w:jc w:val="both"/>
        <w:ind w:left="840" w:right="199"/>
        <w:spacing w:after="0" w:line="234" w:lineRule="auto"/>
        <w:rPr>
          <w:sz w:val="20"/>
          <w:szCs w:val="20"/>
          <w:color w:val="auto"/>
        </w:rPr>
      </w:pPr>
      <w:r>
        <w:rPr>
          <w:rFonts w:ascii="Arial" w:cs="Arial" w:eastAsia="Arial" w:hAnsi="Arial"/>
          <w:sz w:val="16"/>
          <w:szCs w:val="16"/>
          <w:color w:val="auto"/>
        </w:rPr>
        <w:t>of Class B Stock outstanding as of the Board Approval Date, unless such greater number of shares of Class B Stock is approved for issuance pursuant to Stock Awards by the holders of a majority of the outstanding shares of Class B Stock. Subject to the provisions of subsection 11(a) relating to adjustments upon change in</w:t>
      </w:r>
    </w:p>
    <w:p>
      <w:pPr>
        <w:spacing w:after="0" w:line="2" w:lineRule="exact"/>
        <w:rPr>
          <w:sz w:val="20"/>
          <w:szCs w:val="20"/>
          <w:color w:val="auto"/>
        </w:rPr>
      </w:pPr>
    </w:p>
    <w:p>
      <w:pPr>
        <w:jc w:val="both"/>
        <w:ind w:left="840" w:right="199"/>
        <w:spacing w:after="0" w:line="239" w:lineRule="auto"/>
        <w:rPr>
          <w:sz w:val="20"/>
          <w:szCs w:val="20"/>
          <w:color w:val="auto"/>
        </w:rPr>
      </w:pPr>
      <w:r>
        <w:rPr>
          <w:rFonts w:ascii="Arial" w:cs="Arial" w:eastAsia="Arial" w:hAnsi="Arial"/>
          <w:sz w:val="17"/>
          <w:szCs w:val="17"/>
          <w:color w:val="auto"/>
        </w:rPr>
        <w:t>Common Stock, the maximum number of shares of Common Stock that may be issued upon the exercise of Incentive Stock Options is 3,074,811 shares of Class A Stock and 200,000 shares of Class B Stock.”</w:t>
      </w:r>
    </w:p>
    <w:p>
      <w:pPr>
        <w:spacing w:after="0" w:line="131" w:lineRule="exact"/>
        <w:rPr>
          <w:sz w:val="20"/>
          <w:szCs w:val="20"/>
          <w:color w:val="auto"/>
        </w:rPr>
      </w:pPr>
    </w:p>
    <w:p>
      <w:pPr>
        <w:ind w:left="840" w:hanging="332"/>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Amendment shall be effective as of December 7, 2023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jc w:val="both"/>
        <w:ind w:left="180" w:right="199" w:firstLine="328"/>
        <w:spacing w:after="0" w:line="229" w:lineRule="auto"/>
        <w:tabs>
          <w:tab w:leader="none" w:pos="13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amended herein, all other provisions of the 2020 Stock Plan remain unchanged and in full force and effect. In the event of any inconsistency between the provisions of the 2020 Stock Plan and this Amendment, the terms of this Amendment shall control.</w:t>
      </w:r>
    </w:p>
    <w:p>
      <w:pPr>
        <w:spacing w:after="0" w:line="123" w:lineRule="exact"/>
        <w:rPr>
          <w:rFonts w:ascii="Arial" w:cs="Arial" w:eastAsia="Arial" w:hAnsi="Arial"/>
          <w:sz w:val="18"/>
          <w:szCs w:val="18"/>
          <w:color w:val="auto"/>
        </w:rPr>
      </w:pPr>
    </w:p>
    <w:p>
      <w:pPr>
        <w:ind w:left="180" w:right="199" w:firstLine="328"/>
        <w:spacing w:after="0" w:line="246" w:lineRule="auto"/>
        <w:tabs>
          <w:tab w:leader="none" w:pos="13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Capitalized terms used but not otherwise defined herein shall have the respective meanings ascribed thereto in the 2020 Stock Plan.</w:t>
      </w:r>
    </w:p>
    <w:p>
      <w:pPr>
        <w:spacing w:after="0" w:line="200" w:lineRule="exact"/>
        <w:rPr>
          <w:sz w:val="20"/>
          <w:szCs w:val="20"/>
          <w:color w:val="auto"/>
        </w:rPr>
      </w:pPr>
    </w:p>
    <w:p>
      <w:pPr>
        <w:spacing w:after="0" w:line="32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53340</wp:posOffset>
            </wp:positionV>
            <wp:extent cx="583755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7555" cy="50800"/>
                    </a:xfrm>
                    <a:prstGeom prst="rect">
                      <a:avLst/>
                    </a:prstGeom>
                    <a:noFill/>
                  </pic:spPr>
                </pic:pic>
              </a:graphicData>
            </a:graphic>
          </wp:anchor>
        </w:drawing>
      </w:r>
    </w:p>
    <w:sectPr>
      <w:pgSz w:w="11900" w:h="16838" w:orient="portrait"/>
      <w:cols w:equalWidth="0" w:num="1">
        <w:col w:w="9019"/>
      </w:cols>
      <w:pgMar w:left="1440" w:top="4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lvl w:ilvl="1">
      <w:lvlJc w:val="left"/>
      <w:lvlText w:val="(%2)"/>
      <w:numFmt w:val="decimal"/>
      <w:start w:val="1"/>
    </w:lvl>
  </w:abstractNum>
  <w:abstractNum w:abstractNumId="4">
    <w:nsid w:val="8EDBDAB"/>
    <w:multiLevelType w:val="hybridMultilevel"/>
    <w:lvl w:ilvl="0">
      <w:lvlJc w:val="left"/>
      <w:lvlText w:val="☐"/>
      <w:numFmt w:val="bullet"/>
      <w:start w:val="1"/>
    </w:lvl>
    <w:lvl w:ilvl="1">
      <w:lvlJc w:val="left"/>
      <w:lvlText w:val="☐"/>
      <w:numFmt w:val="bullet"/>
      <w:start w:val="1"/>
    </w:lvl>
    <w:lvl w:ilvl="2">
      <w:lvlJc w:val="left"/>
      <w:lvlText w:val="(%3)"/>
      <w:numFmt w:val="decimal"/>
      <w:start w:val="4"/>
    </w:lvl>
  </w:abstractNum>
  <w:abstractNum w:abstractNumId="5">
    <w:nsid w:val="79838CB2"/>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5"/>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o"/>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lowerRoman"/>
      <w:start w:val="6"/>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2"/>
      <w:numFmt w:val="bullet"/>
      <w:start w:val="1"/>
    </w:lvl>
  </w:abstractNum>
  <w:abstractNum w:abstractNumId="20">
    <w:nsid w:val="22221A70"/>
    <w:multiLevelType w:val="hybridMultilevel"/>
    <w:lvl w:ilvl="0">
      <w:lvlJc w:val="left"/>
      <w:lvlText w:val="o"/>
      <w:numFmt w:val="bullet"/>
      <w:start w:val="1"/>
    </w:lvl>
  </w:abstractNum>
  <w:abstractNum w:abstractNumId="21">
    <w:nsid w:val="4516DDE9"/>
    <w:multiLevelType w:val="hybridMultilevel"/>
    <w:lvl w:ilvl="0">
      <w:lvlJc w:val="left"/>
      <w:lvlText w:val="o"/>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3"/>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3"/>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1)"/>
      <w:numFmt w:val="decimal"/>
      <w:start w:val="5"/>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lowerRoman"/>
      <w:start w:val="2"/>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3"/>
    </w:lvl>
  </w:abstractNum>
  <w:abstractNum w:abstractNumId="36">
    <w:nsid w:val="580BD78F"/>
    <w:multiLevelType w:val="hybridMultilevel"/>
    <w:lvl w:ilvl="0">
      <w:lvlJc w:val="left"/>
      <w:lvlText w:val="(%1)"/>
      <w:numFmt w:val="decimal"/>
      <w:start w:val="4"/>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Roman"/>
      <w:start w:val="1"/>
    </w:lvl>
  </w:abstractNum>
  <w:abstractNum w:abstractNumId="40">
    <w:nsid w:val="6A2342EC"/>
    <w:multiLevelType w:val="hybridMultilevel"/>
    <w:lvl w:ilvl="0">
      <w:lvlJc w:val="left"/>
      <w:lvlText w:val="%1."/>
      <w:numFmt w:val="decimal"/>
      <w:start w:val="3"/>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2023-10-27T14:16:06Z</dcterms:created>
  <dcterms:modified xsi:type="dcterms:W3CDTF">2023-10-27T14:16:06Z</dcterms:modified>
</cp:coreProperties>
</file>