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jc w:val="center"/>
        <w:rPr>
          <w:rFonts w:ascii="Times New Roman;serif" w:hAnsi="Times New Roman;serif"/>
          <w:b/>
          <w:i w:val="false"/>
          <w:caps w:val="false"/>
          <w:smallCaps w:val="false"/>
          <w:sz w:val="20"/>
        </w:rPr>
      </w:pPr>
      <w:bookmarkStart w:id="0" w:name="rdi-20260831x8k.htm"/>
      <w:bookmarkStart w:id="1" w:name="ksrdi20260831x8k"/>
      <w:bookmarkEnd w:id="0"/>
      <w:bookmarkEnd w:id="1"/>
      <w:r>
        <w:rPr>
          <w:rFonts w:ascii="Times New Roman;serif" w:hAnsi="Times New Roman;serif"/>
          <w:b/>
          <w:i w:val="false"/>
          <w:caps w:val="false"/>
          <w:smallCaps w:val="false"/>
          <w:sz w:val="20"/>
        </w:rPr>
        <w:t>UNITED STATES</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8-K</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REPORT</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Section 13 OR 15(d) of the Securities Exchange Act of 1934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of report (Date of earliest event reported): August 31, 2026</w:t>
      </w:r>
    </w:p>
    <w:p>
      <w:pPr>
        <w:pStyle w:val="TextBody"/>
        <w:bidi w:val="0"/>
        <w:spacing w:lineRule="auto" w:line="259"/>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5986" w:type="dxa"/>
        <w:jc w:val="center"/>
        <w:tblInd w:w="0" w:type="dxa"/>
        <w:tblLayout w:type="fixed"/>
        <w:tblCellMar>
          <w:top w:w="0" w:type="dxa"/>
          <w:left w:w="0" w:type="dxa"/>
          <w:bottom w:w="0" w:type="dxa"/>
          <w:right w:w="0" w:type="dxa"/>
        </w:tblCellMar>
      </w:tblPr>
      <w:tblGrid>
        <w:gridCol w:w="2859"/>
        <w:gridCol w:w="1476"/>
        <w:gridCol w:w="1651"/>
      </w:tblGrid>
      <w:tr>
        <w:trPr/>
        <w:tc>
          <w:tcPr>
            <w:tcW w:w="285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59"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Nevada</w:t>
            </w:r>
          </w:p>
        </w:tc>
        <w:tc>
          <w:tcPr>
            <w:tcW w:w="147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1-8625</w:t>
            </w:r>
          </w:p>
        </w:tc>
        <w:tc>
          <w:tcPr>
            <w:tcW w:w="165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95-3885184</w:t>
            </w:r>
          </w:p>
        </w:tc>
      </w:tr>
      <w:tr>
        <w:trPr/>
        <w:tc>
          <w:tcPr>
            <w:tcW w:w="285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or Other Jurisdiction</w:t>
              <w:br/>
              <w:t>‎of Incorporation)</w:t>
            </w:r>
          </w:p>
        </w:tc>
        <w:tc>
          <w:tcPr>
            <w:tcW w:w="14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w:t>
              <w:br/>
              <w:t>‎File Number)</w:t>
            </w:r>
          </w:p>
        </w:tc>
        <w:tc>
          <w:tcPr>
            <w:tcW w:w="16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(IRS Employer</w:t>
              <w:br/>
              <w:t>‎Identification No.)</w:t>
            </w:r>
          </w:p>
        </w:tc>
      </w:tr>
      <w:tr>
        <w:trPr/>
        <w:tc>
          <w:tcPr>
            <w:tcW w:w="285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lineRule="auto" w:line="259" w:before="0" w:after="283"/>
              <w:jc w:val="both"/>
              <w:rPr>
                <w:caps w:val="false"/>
                <w:smallCaps w:val="false"/>
              </w:rPr>
            </w:pPr>
            <w:r>
              <w:rPr>
                <w:caps w:val="false"/>
                <w:smallCaps w:val="false"/>
              </w:rPr>
              <w:t> </w:t>
            </w:r>
          </w:p>
        </w:tc>
        <w:tc>
          <w:tcPr>
            <w:tcW w:w="1651" w:type="dxa"/>
            <w:tcBorders/>
            <w:vAlign w:val="center"/>
          </w:tcPr>
          <w:p>
            <w:pPr>
              <w:pStyle w:val="TableContents"/>
              <w:bidi w:val="0"/>
              <w:spacing w:before="0" w:after="283"/>
              <w:jc w:val="left"/>
              <w:rPr>
                <w:sz w:val="4"/>
                <w:szCs w:val="4"/>
              </w:rPr>
            </w:pPr>
            <w:r>
              <w:rPr>
                <w:sz w:val="4"/>
                <w:szCs w:val="4"/>
              </w:rPr>
            </w:r>
          </w:p>
        </w:tc>
      </w:tr>
      <w:tr>
        <w:trPr/>
        <w:tc>
          <w:tcPr>
            <w:tcW w:w="4335" w:type="dxa"/>
            <w:gridSpan w:val="2"/>
            <w:tcBorders/>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sz w:val="20"/>
                <w:u w:val="single"/>
              </w:rPr>
              <w:t>189 Second Avenue, Suite 2S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u w:val="single"/>
              </w:rPr>
              <w:t>New York, New York</w:t>
            </w:r>
          </w:p>
        </w:tc>
        <w:tc>
          <w:tcPr>
            <w:tcW w:w="165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10003</w:t>
            </w:r>
          </w:p>
        </w:tc>
      </w:tr>
      <w:tr>
        <w:trPr/>
        <w:tc>
          <w:tcPr>
            <w:tcW w:w="4335"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tc>
        <w:tc>
          <w:tcPr>
            <w:tcW w:w="16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(Former Name or Former Address, if Changed Since Last Report)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59"/>
        <w:ind w:left="0" w:right="0" w:firstLine="360"/>
        <w:jc w:val="both"/>
        <w:rPr/>
      </w:pPr>
      <w:r>
        <w:rPr>
          <w:caps w:val="false"/>
          <w:smallCaps w:val="false"/>
        </w:rPr>
        <w:t>☐   </w:t>
      </w:r>
      <w:r>
        <w:rPr>
          <w:rFonts w:ascii="Times New Roman;serif" w:hAnsi="Times New Roman;serif"/>
          <w:b w:val="false"/>
          <w:i w:val="false"/>
          <w:caps w:val="false"/>
          <w:smallCaps w:val="false"/>
          <w:sz w:val="20"/>
        </w:rPr>
        <w:t>Written communications pursuant to Rule 425 under the Securities Act (17 CFR 230.425)</w:t>
      </w:r>
    </w:p>
    <w:p>
      <w:pPr>
        <w:pStyle w:val="TextBody"/>
        <w:bidi w:val="0"/>
        <w:spacing w:lineRule="auto" w:line="259"/>
        <w:ind w:left="0" w:right="0" w:firstLine="360"/>
        <w:jc w:val="both"/>
        <w:rPr/>
      </w:pPr>
      <w:r>
        <w:rPr>
          <w:caps w:val="false"/>
          <w:smallCaps w:val="false"/>
        </w:rPr>
        <w:t>☐   </w:t>
      </w:r>
      <w:r>
        <w:rPr>
          <w:rFonts w:ascii="Times New Roman;serif" w:hAnsi="Times New Roman;serif"/>
          <w:b w:val="false"/>
          <w:i w:val="false"/>
          <w:caps w:val="false"/>
          <w:smallCaps w:val="false"/>
          <w:sz w:val="20"/>
        </w:rPr>
        <w:t>Soliciting material pursuant to Rule 14a-12 under the Exchange Act (17 CFR 240.14a-12)</w:t>
      </w:r>
    </w:p>
    <w:p>
      <w:pPr>
        <w:pStyle w:val="TextBody"/>
        <w:bidi w:val="0"/>
        <w:spacing w:lineRule="auto" w:line="259"/>
        <w:ind w:left="720" w:right="0" w:hanging="360"/>
        <w:jc w:val="both"/>
        <w:rPr/>
      </w:pPr>
      <w:r>
        <w:rPr>
          <w:caps w:val="false"/>
          <w:smallCaps w:val="false"/>
        </w:rPr>
        <w:t>☐   </w:t>
      </w:r>
      <w:r>
        <w:rPr>
          <w:rFonts w:ascii="Times New Roman;serif" w:hAnsi="Times New Roman;serif"/>
          <w:b w:val="false"/>
          <w:i w:val="false"/>
          <w:caps w:val="false"/>
          <w:smallCaps w:val="false"/>
          <w:sz w:val="20"/>
        </w:rPr>
        <w:t>Pre-commencement communications pursuant to Rule 14d-2(b) under the Exchange Act (17 CFR 240.14d-2(b))</w:t>
      </w:r>
    </w:p>
    <w:p>
      <w:pPr>
        <w:pStyle w:val="TextBody"/>
        <w:bidi w:val="0"/>
        <w:spacing w:lineRule="auto" w:line="259"/>
        <w:ind w:left="720" w:right="0" w:hanging="360"/>
        <w:jc w:val="both"/>
        <w:rPr/>
      </w:pPr>
      <w:r>
        <w:rPr>
          <w:caps w:val="false"/>
          <w:smallCaps w:val="false"/>
        </w:rPr>
        <w:t>☐   </w:t>
      </w:r>
      <w:r>
        <w:rPr>
          <w:rFonts w:ascii="Times New Roman;serif" w:hAnsi="Times New Roman;serif"/>
          <w:b w:val="false"/>
          <w:i w:val="false"/>
          <w:caps w:val="false"/>
          <w:smallCaps w:val="false"/>
          <w:sz w:val="20"/>
        </w:rPr>
        <w:t>Pre-commencement communications pursuant to Rule 13e-4(c) under the Exchange Act (17 CFR 240.13e-4(c))</w:t>
      </w:r>
    </w:p>
    <w:p>
      <w:pPr>
        <w:pStyle w:val="TextBody"/>
        <w:bidi w:val="0"/>
        <w:spacing w:lineRule="auto" w:line="288"/>
        <w:jc w:val="both"/>
        <w:rPr>
          <w:rFonts w:ascii="inherit" w:hAnsi="inherit"/>
          <w:b w:val="false"/>
          <w:i w:val="false"/>
          <w:caps w:val="false"/>
          <w:smallCaps w:val="false"/>
          <w:sz w:val="18"/>
        </w:rPr>
      </w:pPr>
      <w:r>
        <w:rPr>
          <w:rFonts w:ascii="inherit" w:hAnsi="inherit"/>
          <w:b w:val="false"/>
          <w:i w:val="false"/>
          <w:caps w:val="false"/>
          <w:smallCaps w:val="false"/>
          <w:sz w:val="18"/>
        </w:rPr>
        <w:t>Securities registered pursuant to Section 12(b) of the Act:</w:t>
      </w:r>
    </w:p>
    <w:tbl>
      <w:tblPr>
        <w:tblW w:w="10205" w:type="dxa"/>
        <w:jc w:val="center"/>
        <w:tblInd w:w="0" w:type="dxa"/>
        <w:tblLayout w:type="fixed"/>
        <w:tblCellMar>
          <w:top w:w="0" w:type="dxa"/>
          <w:left w:w="0" w:type="dxa"/>
          <w:bottom w:w="0" w:type="dxa"/>
          <w:right w:w="0" w:type="dxa"/>
        </w:tblCellMar>
      </w:tblPr>
      <w:tblGrid>
        <w:gridCol w:w="1966"/>
        <w:gridCol w:w="1705"/>
        <w:gridCol w:w="366"/>
        <w:gridCol w:w="146"/>
        <w:gridCol w:w="1724"/>
        <w:gridCol w:w="146"/>
        <w:gridCol w:w="590"/>
        <w:gridCol w:w="2806"/>
        <w:gridCol w:w="598"/>
        <w:gridCol w:w="158"/>
      </w:tblGrid>
      <w:tr>
        <w:trPr/>
        <w:tc>
          <w:tcPr>
            <w:tcW w:w="196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972" w:type="dxa"/>
            <w:gridSpan w:val="5"/>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756" w:type="dxa"/>
            <w:gridSpan w:val="2"/>
            <w:tcBorders/>
            <w:vAlign w:val="center"/>
          </w:tcPr>
          <w:p>
            <w:pPr>
              <w:pStyle w:val="TableContents"/>
              <w:bidi w:val="0"/>
              <w:spacing w:before="0" w:after="283"/>
              <w:jc w:val="left"/>
              <w:rPr>
                <w:sz w:val="4"/>
                <w:szCs w:val="4"/>
              </w:rPr>
            </w:pPr>
            <w:r>
              <w:rPr>
                <w:sz w:val="4"/>
                <w:szCs w:val="4"/>
              </w:rPr>
            </w:r>
          </w:p>
        </w:tc>
      </w:tr>
      <w:tr>
        <w:trPr/>
        <w:tc>
          <w:tcPr>
            <w:tcW w:w="4037" w:type="dxa"/>
            <w:gridSpan w:val="3"/>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Title of each class</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1724" w:type="dxa"/>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Trading Symbol(s)</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3994" w:type="dxa"/>
            <w:gridSpan w:val="3"/>
            <w:tcBorders>
              <w:bottom w:val="single" w:sz="8" w:space="0" w:color="000000"/>
            </w:tcBorders>
            <w:tcMar>
              <w:bottom w:w="28" w:type="dxa"/>
            </w:tcMar>
            <w:vAlign w:val="center"/>
          </w:tcPr>
          <w:p>
            <w:pPr>
              <w:pStyle w:val="TableContents"/>
              <w:bidi w:val="0"/>
              <w:spacing w:lineRule="auto" w:line="276" w:before="0" w:after="283"/>
              <w:jc w:val="center"/>
              <w:rPr>
                <w:rFonts w:ascii="inherit" w:hAnsi="inherit"/>
                <w:b w:val="false"/>
                <w:i w:val="false"/>
                <w:caps w:val="false"/>
                <w:smallCaps w:val="false"/>
                <w:sz w:val="18"/>
              </w:rPr>
            </w:pPr>
            <w:r>
              <w:rPr>
                <w:rFonts w:ascii="inherit" w:hAnsi="inherit"/>
                <w:b w:val="false"/>
                <w:i w:val="false"/>
                <w:caps w:val="false"/>
                <w:smallCaps w:val="false"/>
                <w:sz w:val="18"/>
              </w:rPr>
              <w:t>Name of each exchange on which registered</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37" w:type="dxa"/>
            <w:gridSpan w:val="3"/>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Class A Common Stock, $0.01 par value</w:t>
            </w:r>
            <w:r>
              <w:rPr>
                <w:rFonts w:ascii="Times New Roman;serif" w:hAnsi="Times New Roman;serif"/>
                <w:caps w:val="false"/>
                <w:smallCaps w:val="false"/>
                <w:sz w:val="18"/>
              </w:rPr>
              <w:t xml:space="preserve"> </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1724" w:type="dxa"/>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RDI</w:t>
            </w:r>
            <w:r>
              <w:rPr>
                <w:rFonts w:ascii="Times New Roman;serif" w:hAnsi="Times New Roman;serif"/>
                <w:caps w:val="false"/>
                <w:smallCaps w:val="false"/>
                <w:sz w:val="18"/>
              </w:rPr>
              <w:t xml:space="preserve"> </w:t>
            </w:r>
          </w:p>
        </w:tc>
        <w:tc>
          <w:tcPr>
            <w:tcW w:w="146" w:type="dxa"/>
            <w:tcBorders/>
            <w:vAlign w:val="center"/>
          </w:tcPr>
          <w:p>
            <w:pPr>
              <w:pStyle w:val="TableContents"/>
              <w:bidi w:val="0"/>
              <w:spacing w:lineRule="auto" w:line="276" w:before="0" w:after="283"/>
              <w:jc w:val="both"/>
              <w:rPr>
                <w:caps w:val="false"/>
                <w:smallCaps w:val="false"/>
              </w:rPr>
            </w:pPr>
            <w:r>
              <w:rPr>
                <w:caps w:val="false"/>
                <w:smallCaps w:val="false"/>
              </w:rPr>
              <w:t> </w:t>
            </w:r>
          </w:p>
        </w:tc>
        <w:tc>
          <w:tcPr>
            <w:tcW w:w="3994" w:type="dxa"/>
            <w:gridSpan w:val="3"/>
            <w:tcBorders/>
            <w:vAlign w:val="center"/>
          </w:tcPr>
          <w:p>
            <w:pPr>
              <w:pStyle w:val="TableContents"/>
              <w:bidi w:val="0"/>
              <w:spacing w:lineRule="auto" w:line="276" w:before="0" w:after="283"/>
              <w:jc w:val="center"/>
              <w:rPr>
                <w:rFonts w:ascii="Times New Roman;serif" w:hAnsi="Times New Roman;serif"/>
                <w:sz w:val="18"/>
              </w:rPr>
            </w:pPr>
            <w:r>
              <w:rPr>
                <w:rFonts w:ascii="inherit" w:hAnsi="inherit"/>
                <w:b/>
                <w:i w:val="false"/>
                <w:caps w:val="false"/>
                <w:smallCaps w:val="false"/>
                <w:sz w:val="18"/>
              </w:rPr>
              <w:t>The NASDAQ</w:t>
            </w:r>
            <w:r>
              <w:rPr>
                <w:rFonts w:ascii="Times New Roman;serif" w:hAnsi="Times New Roman;serif"/>
                <w:caps w:val="false"/>
                <w:smallCaps w:val="false"/>
                <w:sz w:val="18"/>
              </w:rPr>
              <w:t xml:space="preserve"> </w:t>
            </w:r>
            <w:r>
              <w:rPr>
                <w:rFonts w:ascii="inherit" w:hAnsi="inherit"/>
                <w:b/>
                <w:i w:val="false"/>
                <w:caps w:val="false"/>
                <w:smallCaps w:val="false"/>
                <w:sz w:val="18"/>
              </w:rPr>
              <w:t xml:space="preserve">Stock Market LLC </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037" w:type="dxa"/>
            <w:gridSpan w:val="3"/>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Class B Common Stock, $0.01 par value</w:t>
            </w:r>
            <w:r>
              <w:rPr>
                <w:rFonts w:ascii="inherit" w:hAnsi="inherit"/>
                <w:caps w:val="false"/>
                <w:smallCaps w:val="false"/>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RDIB</w:t>
            </w:r>
            <w:r>
              <w:rPr>
                <w:rFonts w:ascii="inherit" w:hAnsi="inherit"/>
                <w:caps w:val="false"/>
                <w:smallCaps w:val="false"/>
                <w:sz w:val="18"/>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lineRule="auto" w:line="276" w:before="0" w:after="283"/>
              <w:jc w:val="center"/>
              <w:rPr>
                <w:rFonts w:ascii="inherit" w:hAnsi="inherit"/>
                <w:sz w:val="18"/>
              </w:rPr>
            </w:pPr>
            <w:r>
              <w:rPr>
                <w:rFonts w:ascii="inherit" w:hAnsi="inherit"/>
                <w:b/>
                <w:i w:val="false"/>
                <w:caps w:val="false"/>
                <w:smallCaps w:val="false"/>
                <w:sz w:val="18"/>
              </w:rPr>
              <w:t>The NASDAQ</w:t>
            </w:r>
            <w:r>
              <w:rPr>
                <w:rFonts w:ascii="inherit" w:hAnsi="inherit"/>
                <w:caps w:val="false"/>
                <w:smallCaps w:val="false"/>
                <w:sz w:val="18"/>
              </w:rPr>
              <w:t xml:space="preserve"> </w:t>
            </w:r>
            <w:r>
              <w:rPr>
                <w:rFonts w:ascii="inherit" w:hAnsi="inherit"/>
                <w:b/>
                <w:i w:val="false"/>
                <w:caps w:val="false"/>
                <w:smallCaps w:val="false"/>
                <w:sz w:val="18"/>
              </w:rPr>
              <w:t xml:space="preserve">Stock Market LLC </w:t>
            </w:r>
          </w:p>
        </w:tc>
        <w:tc>
          <w:tcPr>
            <w:tcW w:w="15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59"/>
        <w:ind w:left="720" w:right="0" w:firstLine="720"/>
        <w:rPr>
          <w:rFonts w:ascii="Times New Roman;serif" w:hAnsi="Times New Roman;serif"/>
          <w:sz w:val="20"/>
        </w:rPr>
      </w:pPr>
      <w:r>
        <w:rPr>
          <w:rFonts w:ascii="Times New Roman;serif" w:hAnsi="Times New Roman;serif"/>
          <w:b w:val="false"/>
          <w:i w:val="false"/>
          <w:caps w:val="false"/>
          <w:smallCaps w:val="false"/>
          <w:color w:val="000000"/>
          <w:sz w:val="20"/>
        </w:rPr>
        <w:t>Emerging growth company  </w:t>
      </w:r>
      <w:r>
        <w:rPr>
          <w:rFonts w:ascii="Times New Roman;serif" w:hAnsi="Times New Roman;serif"/>
          <w:caps w:val="false"/>
          <w:smallCaps w:val="false"/>
          <w:color w:val="000000"/>
          <w:sz w:val="20"/>
        </w:rPr>
        <w:t>☐</w:t>
      </w:r>
    </w:p>
    <w:p>
      <w:pPr>
        <w:pStyle w:val="TextBody"/>
        <w:bidi w:val="0"/>
        <w:spacing w:lineRule="auto" w:line="276" w:before="0" w:after="200"/>
        <w:jc w:val="left"/>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76" w:before="0" w:after="200"/>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 1.01Entry into a Material Definitive Agreement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August 31, 2026, Sutton Hill Properties, LLC, a Nevada limited liability company and a subsidiary of Reading International, Inc. (“</w:t>
      </w:r>
      <w:r>
        <w:rPr>
          <w:rFonts w:ascii="Times New Roman;serif" w:hAnsi="Times New Roman;serif"/>
          <w:b w:val="false"/>
          <w:i w:val="false"/>
          <w:caps w:val="false"/>
          <w:smallCaps w:val="false"/>
          <w:sz w:val="20"/>
          <w:u w:val="single"/>
        </w:rPr>
        <w:t>SHP</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entered into a Contract of Sale (the “</w:t>
      </w:r>
      <w:r>
        <w:rPr>
          <w:rFonts w:ascii="Times New Roman;serif" w:hAnsi="Times New Roman;serif"/>
          <w:b w:val="false"/>
          <w:i w:val="false"/>
          <w:caps w:val="false"/>
          <w:smallCaps w:val="false"/>
          <w:sz w:val="20"/>
          <w:u w:val="single"/>
        </w:rPr>
        <w:t>Contract</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with 1001 Third Avenue LLC, a New York limited liability company (the “</w:t>
      </w:r>
      <w:r>
        <w:rPr>
          <w:rFonts w:ascii="Times New Roman;serif" w:hAnsi="Times New Roman;serif"/>
          <w:b w:val="false"/>
          <w:i w:val="false"/>
          <w:caps w:val="false"/>
          <w:smallCaps w:val="false"/>
          <w:sz w:val="20"/>
          <w:u w:val="single"/>
        </w:rPr>
        <w:t>Purchaser</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providing for the sale of the SHP’s cinema property located at 1001–1007 Third Avenue, New York, New York, commonly referred to as Cinemas 1, 2 &amp; 3 (the “</w:t>
      </w:r>
      <w:r>
        <w:rPr>
          <w:rFonts w:ascii="Times New Roman;serif" w:hAnsi="Times New Roman;serif"/>
          <w:b w:val="false"/>
          <w:i w:val="false"/>
          <w:caps w:val="false"/>
          <w:smallCaps w:val="false"/>
          <w:sz w:val="20"/>
          <w:u w:val="single"/>
        </w:rPr>
        <w:t>Premises</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for a sale price of $41,000,000 (the “</w:t>
      </w:r>
      <w:r>
        <w:rPr>
          <w:rFonts w:ascii="Times New Roman;serif" w:hAnsi="Times New Roman;serif"/>
          <w:b w:val="false"/>
          <w:i w:val="false"/>
          <w:caps w:val="false"/>
          <w:smallCaps w:val="false"/>
          <w:sz w:val="20"/>
          <w:u w:val="single"/>
        </w:rPr>
        <w:t>Sale Price</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xml:space="preserve">). A down payment of $4,100,000 has been paid into escrow, with the balance of the Sale Price, subject to customary adjustments, payable at the closing. The Closing is not subject to the satisfaction of any further due diligence or financing contingencies. The Premises is currently encumbered by an existing mortgage loan in the approximate amount of $19,000,000, SHP’s obligations with respect to which will be satisfied at the Closing.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closing is expected to occur on or about October 30, 2026.</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foregoing description of the Contract does not purport to be complete and is qualified in its entirety by reference to the full text of the Contract, a copy of which will be filed as an exhibit to the Registrant’s next periodic report filed with the Securities and Exchange Commission.</w:t>
      </w:r>
    </w:p>
    <w:p>
      <w:pPr>
        <w:pStyle w:val="TextBody"/>
        <w:bidi w:val="0"/>
        <w:spacing w:lineRule="auto" w:line="276" w:before="0" w:after="200"/>
        <w:ind w:left="720" w:right="0" w:hanging="720"/>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8028" w:type="dxa"/>
        <w:jc w:val="left"/>
        <w:tblInd w:w="0" w:type="dxa"/>
        <w:tblLayout w:type="fixed"/>
        <w:tblCellMar>
          <w:top w:w="0" w:type="dxa"/>
          <w:left w:w="0" w:type="dxa"/>
          <w:bottom w:w="0" w:type="dxa"/>
          <w:right w:w="0" w:type="dxa"/>
        </w:tblCellMar>
      </w:tblPr>
      <w:tblGrid>
        <w:gridCol w:w="2116"/>
        <w:gridCol w:w="631"/>
        <w:gridCol w:w="5281"/>
      </w:tblGrid>
      <w:tr>
        <w:trPr/>
        <w:tc>
          <w:tcPr>
            <w:tcW w:w="21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283"/>
              <w:jc w:val="left"/>
              <w:rPr>
                <w:sz w:val="4"/>
                <w:szCs w:val="4"/>
              </w:rPr>
            </w:pPr>
            <w:r>
              <w:rPr>
                <w:sz w:val="4"/>
                <w:szCs w:val="4"/>
              </w:rPr>
            </w:r>
          </w:p>
        </w:tc>
        <w:tc>
          <w:tcPr>
            <w:tcW w:w="5912"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21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September 4, 2026</w:t>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w:t>
            </w:r>
          </w:p>
        </w:tc>
        <w:tc>
          <w:tcPr>
            <w:tcW w:w="52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w:t>
            </w:r>
          </w:p>
        </w:tc>
        <w:tc>
          <w:tcPr>
            <w:tcW w:w="52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3162</Characters>
  <CharactersWithSpaces>3729</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