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jc w:val="center"/>
        <w:spacing w:after="0" w:line="229" w:lineRule="auto"/>
        <w:rPr>
          <w:sz w:val="20"/>
          <w:szCs w:val="20"/>
          <w:color w:val="auto"/>
        </w:rPr>
      </w:pPr>
      <w:r>
        <w:rPr>
          <w:rFonts w:ascii="Arial" w:cs="Arial" w:eastAsia="Arial" w:hAnsi="Arial"/>
          <w:sz w:val="20"/>
          <w:szCs w:val="20"/>
          <w:color w:val="auto"/>
        </w:rPr>
        <w:t>Washington, D.C. 20549</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27" w:lineRule="exact"/>
        <w:rPr>
          <w:sz w:val="24"/>
          <w:szCs w:val="24"/>
          <w:color w:val="auto"/>
        </w:rPr>
      </w:pPr>
    </w:p>
    <w:p>
      <w:pPr>
        <w:jc w:val="center"/>
        <w:ind w:left="4500" w:right="140" w:hanging="4401"/>
        <w:spacing w:after="0" w:line="225" w:lineRule="auto"/>
        <w:tabs>
          <w:tab w:leader="none" w:pos="424" w:val="left"/>
        </w:tabs>
        <w:numPr>
          <w:ilvl w:val="0"/>
          <w:numId w:val="1"/>
        </w:numPr>
        <w:rPr>
          <w:rFonts w:ascii="MS PGothic" w:cs="MS PGothic" w:eastAsia="MS PGothic" w:hAnsi="MS PGothic"/>
          <w:sz w:val="20"/>
          <w:szCs w:val="20"/>
          <w:b w:val="1"/>
          <w:bCs w:val="1"/>
          <w:color w:val="auto"/>
        </w:rPr>
      </w:pPr>
      <w:r>
        <w:rPr>
          <w:rFonts w:ascii="Arial" w:cs="Arial" w:eastAsia="Arial" w:hAnsi="Arial"/>
          <w:sz w:val="20"/>
          <w:szCs w:val="20"/>
          <w:color w:val="auto"/>
        </w:rPr>
        <w:t>ANNUAL REPORT PURSUANT TO SECTION 13 OR 15(d) OF THE SECURITIES EXCHANGE ACT OF 1934</w:t>
      </w:r>
    </w:p>
    <w:p>
      <w:pPr>
        <w:jc w:val="center"/>
        <w:spacing w:after="0" w:line="230" w:lineRule="auto"/>
        <w:rPr>
          <w:sz w:val="20"/>
          <w:szCs w:val="20"/>
          <w:color w:val="auto"/>
        </w:rPr>
      </w:pPr>
      <w:r>
        <w:rPr>
          <w:rFonts w:ascii="Arial" w:cs="Arial" w:eastAsia="Arial" w:hAnsi="Arial"/>
          <w:sz w:val="20"/>
          <w:szCs w:val="20"/>
          <w:color w:val="auto"/>
        </w:rPr>
        <w:t>For the fiscal year ended December 31, 2025 or</w:t>
      </w:r>
    </w:p>
    <w:p>
      <w:pPr>
        <w:spacing w:after="0" w:line="125" w:lineRule="exact"/>
        <w:rPr>
          <w:sz w:val="24"/>
          <w:szCs w:val="24"/>
          <w:color w:val="auto"/>
        </w:rPr>
      </w:pPr>
    </w:p>
    <w:p>
      <w:pPr>
        <w:ind w:left="400" w:hanging="333"/>
        <w:spacing w:after="0"/>
        <w:tabs>
          <w:tab w:leader="none" w:pos="400"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color w:val="auto"/>
        </w:rPr>
        <w:t>TRANSITION REPORT PURSUANT TO SECTION 13 OR 15(d) OF THE SECURITIES EXCHANGE ACT</w:t>
      </w:r>
    </w:p>
    <w:p>
      <w:pPr>
        <w:jc w:val="center"/>
        <w:spacing w:after="0" w:line="225" w:lineRule="auto"/>
        <w:rPr>
          <w:sz w:val="20"/>
          <w:szCs w:val="20"/>
          <w:color w:val="auto"/>
        </w:rPr>
      </w:pPr>
      <w:r>
        <w:rPr>
          <w:rFonts w:ascii="Arial" w:cs="Arial" w:eastAsia="Arial" w:hAnsi="Arial"/>
          <w:sz w:val="20"/>
          <w:szCs w:val="20"/>
          <w:color w:val="auto"/>
        </w:rPr>
        <w:t>OF 1934</w:t>
      </w:r>
    </w:p>
    <w:p>
      <w:pPr>
        <w:ind w:left="2700"/>
        <w:spacing w:after="0" w:line="230" w:lineRule="auto"/>
        <w:rPr>
          <w:sz w:val="20"/>
          <w:szCs w:val="20"/>
          <w:color w:val="auto"/>
        </w:rPr>
      </w:pPr>
      <w:r>
        <w:rPr>
          <w:rFonts w:ascii="Arial" w:cs="Arial" w:eastAsia="Arial" w:hAnsi="Arial"/>
          <w:sz w:val="20"/>
          <w:szCs w:val="20"/>
          <w:color w:val="auto"/>
        </w:rPr>
        <w:t>For the transition period from _______ to ______</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2246630</wp:posOffset>
            </wp:positionH>
            <wp:positionV relativeFrom="paragraph">
              <wp:posOffset>67945</wp:posOffset>
            </wp:positionV>
            <wp:extent cx="1466850" cy="628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850" cy="628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0"/>
          <w:szCs w:val="30"/>
          <w:b w:val="1"/>
          <w:bCs w:val="1"/>
          <w:u w:val="single" w:color="auto"/>
          <w:color w:val="auto"/>
        </w:rPr>
        <w:t>READING INTERNATIONAL, INC.</w:t>
      </w:r>
    </w:p>
    <w:p>
      <w:pPr>
        <w:jc w:val="center"/>
        <w:spacing w:after="0" w:line="230" w:lineRule="auto"/>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4560" w:type="dxa"/>
            <w:vAlign w:val="bottom"/>
          </w:tcPr>
          <w:p>
            <w:pPr>
              <w:jc w:val="center"/>
              <w:ind w:right="648"/>
              <w:spacing w:after="0"/>
              <w:rPr>
                <w:sz w:val="20"/>
                <w:szCs w:val="20"/>
                <w:color w:val="auto"/>
              </w:rPr>
            </w:pPr>
            <w:r>
              <w:rPr>
                <w:rFonts w:ascii="Arial" w:cs="Arial" w:eastAsia="Arial" w:hAnsi="Arial"/>
                <w:sz w:val="20"/>
                <w:szCs w:val="20"/>
                <w:b w:val="1"/>
                <w:bCs w:val="1"/>
                <w:color w:val="auto"/>
                <w:w w:val="92"/>
              </w:rPr>
              <w:t>Nevada</w:t>
            </w:r>
          </w:p>
        </w:tc>
        <w:tc>
          <w:tcPr>
            <w:tcW w:w="3360" w:type="dxa"/>
            <w:vAlign w:val="bottom"/>
          </w:tcPr>
          <w:p>
            <w:pPr>
              <w:jc w:val="right"/>
              <w:ind w:right="730"/>
              <w:spacing w:after="0"/>
              <w:rPr>
                <w:sz w:val="20"/>
                <w:szCs w:val="20"/>
                <w:color w:val="auto"/>
              </w:rPr>
            </w:pPr>
            <w:r>
              <w:rPr>
                <w:rFonts w:ascii="Arial" w:cs="Arial" w:eastAsia="Arial" w:hAnsi="Arial"/>
                <w:sz w:val="20"/>
                <w:szCs w:val="20"/>
                <w:b w:val="1"/>
                <w:bCs w:val="1"/>
                <w:color w:val="auto"/>
              </w:rPr>
              <w:t>95-3885184</w:t>
            </w:r>
          </w:p>
        </w:tc>
      </w:tr>
      <w:tr>
        <w:trPr>
          <w:trHeight w:val="177"/>
        </w:trPr>
        <w:tc>
          <w:tcPr>
            <w:tcW w:w="4560" w:type="dxa"/>
            <w:vAlign w:val="bottom"/>
          </w:tcPr>
          <w:p>
            <w:pPr>
              <w:jc w:val="center"/>
              <w:ind w:right="648"/>
              <w:spacing w:after="0" w:line="177" w:lineRule="exact"/>
              <w:rPr>
                <w:sz w:val="20"/>
                <w:szCs w:val="20"/>
                <w:color w:val="auto"/>
              </w:rPr>
            </w:pPr>
            <w:r>
              <w:rPr>
                <w:rFonts w:ascii="Arial" w:cs="Arial" w:eastAsia="Arial" w:hAnsi="Arial"/>
                <w:sz w:val="16"/>
                <w:szCs w:val="16"/>
                <w:color w:val="auto"/>
                <w:w w:val="92"/>
              </w:rPr>
              <w:t>(State or other jurisdiction of incorporation or organization)</w:t>
            </w:r>
          </w:p>
        </w:tc>
        <w:tc>
          <w:tcPr>
            <w:tcW w:w="3360" w:type="dxa"/>
            <w:vAlign w:val="bottom"/>
          </w:tcPr>
          <w:p>
            <w:pPr>
              <w:jc w:val="center"/>
              <w:ind w:left="650"/>
              <w:spacing w:after="0" w:line="177" w:lineRule="exact"/>
              <w:rPr>
                <w:sz w:val="20"/>
                <w:szCs w:val="20"/>
                <w:color w:val="auto"/>
              </w:rPr>
            </w:pPr>
            <w:r>
              <w:rPr>
                <w:rFonts w:ascii="Arial" w:cs="Arial" w:eastAsia="Arial" w:hAnsi="Arial"/>
                <w:sz w:val="16"/>
                <w:szCs w:val="16"/>
                <w:color w:val="auto"/>
                <w:w w:val="94"/>
              </w:rPr>
              <w:t>(I.R.S. Employer Identification Number)</w:t>
            </w:r>
          </w:p>
        </w:tc>
      </w:tr>
      <w:tr>
        <w:trPr>
          <w:trHeight w:val="390"/>
        </w:trPr>
        <w:tc>
          <w:tcPr>
            <w:tcW w:w="4560" w:type="dxa"/>
            <w:vAlign w:val="bottom"/>
          </w:tcPr>
          <w:p>
            <w:pPr>
              <w:jc w:val="center"/>
              <w:ind w:right="648"/>
              <w:spacing w:after="0"/>
              <w:rPr>
                <w:sz w:val="20"/>
                <w:szCs w:val="20"/>
                <w:color w:val="auto"/>
              </w:rPr>
            </w:pPr>
            <w:r>
              <w:rPr>
                <w:rFonts w:ascii="Arial" w:cs="Arial" w:eastAsia="Arial" w:hAnsi="Arial"/>
                <w:sz w:val="20"/>
                <w:szCs w:val="20"/>
                <w:b w:val="1"/>
                <w:bCs w:val="1"/>
                <w:color w:val="auto"/>
                <w:w w:val="86"/>
              </w:rPr>
              <w:t>189 Second Avenue, Suite 2S</w:t>
            </w:r>
          </w:p>
        </w:tc>
        <w:tc>
          <w:tcPr>
            <w:tcW w:w="3360" w:type="dxa"/>
            <w:vAlign w:val="bottom"/>
          </w:tcPr>
          <w:p>
            <w:pPr>
              <w:jc w:val="right"/>
              <w:ind w:right="970"/>
              <w:spacing w:after="0"/>
              <w:rPr>
                <w:sz w:val="20"/>
                <w:szCs w:val="20"/>
                <w:color w:val="auto"/>
              </w:rPr>
            </w:pPr>
            <w:r>
              <w:rPr>
                <w:rFonts w:ascii="Arial" w:cs="Arial" w:eastAsia="Arial" w:hAnsi="Arial"/>
                <w:sz w:val="20"/>
                <w:szCs w:val="20"/>
                <w:b w:val="1"/>
                <w:bCs w:val="1"/>
                <w:color w:val="auto"/>
              </w:rPr>
              <w:t>10003</w:t>
            </w:r>
          </w:p>
        </w:tc>
      </w:tr>
      <w:tr>
        <w:trPr>
          <w:trHeight w:val="211"/>
        </w:trPr>
        <w:tc>
          <w:tcPr>
            <w:tcW w:w="4560" w:type="dxa"/>
            <w:vAlign w:val="bottom"/>
          </w:tcPr>
          <w:p>
            <w:pPr>
              <w:jc w:val="center"/>
              <w:ind w:right="648"/>
              <w:spacing w:after="0" w:line="211" w:lineRule="exact"/>
              <w:rPr>
                <w:sz w:val="20"/>
                <w:szCs w:val="20"/>
                <w:color w:val="auto"/>
              </w:rPr>
            </w:pPr>
            <w:r>
              <w:rPr>
                <w:rFonts w:ascii="Arial" w:cs="Arial" w:eastAsia="Arial" w:hAnsi="Arial"/>
                <w:sz w:val="20"/>
                <w:szCs w:val="20"/>
                <w:b w:val="1"/>
                <w:bCs w:val="1"/>
                <w:color w:val="auto"/>
                <w:w w:val="92"/>
              </w:rPr>
              <w:t>New York New York</w:t>
            </w:r>
          </w:p>
        </w:tc>
        <w:tc>
          <w:tcPr>
            <w:tcW w:w="3360" w:type="dxa"/>
            <w:vAlign w:val="bottom"/>
          </w:tcPr>
          <w:p>
            <w:pPr>
              <w:jc w:val="center"/>
              <w:ind w:left="650"/>
              <w:spacing w:after="0"/>
              <w:rPr>
                <w:sz w:val="20"/>
                <w:szCs w:val="20"/>
                <w:color w:val="auto"/>
              </w:rPr>
            </w:pPr>
            <w:r>
              <w:rPr>
                <w:rFonts w:ascii="Arial" w:cs="Arial" w:eastAsia="Arial" w:hAnsi="Arial"/>
                <w:sz w:val="16"/>
                <w:szCs w:val="16"/>
                <w:color w:val="auto"/>
                <w:w w:val="92"/>
              </w:rPr>
              <w:t>(Zip Code)</w:t>
            </w:r>
          </w:p>
        </w:tc>
      </w:tr>
      <w:tr>
        <w:trPr>
          <w:trHeight w:val="177"/>
        </w:trPr>
        <w:tc>
          <w:tcPr>
            <w:tcW w:w="4560" w:type="dxa"/>
            <w:vAlign w:val="bottom"/>
          </w:tcPr>
          <w:p>
            <w:pPr>
              <w:jc w:val="center"/>
              <w:ind w:right="648"/>
              <w:spacing w:after="0" w:line="177" w:lineRule="exact"/>
              <w:rPr>
                <w:sz w:val="20"/>
                <w:szCs w:val="20"/>
                <w:color w:val="auto"/>
              </w:rPr>
            </w:pPr>
            <w:r>
              <w:rPr>
                <w:rFonts w:ascii="Arial" w:cs="Arial" w:eastAsia="Arial" w:hAnsi="Arial"/>
                <w:sz w:val="16"/>
                <w:szCs w:val="16"/>
                <w:color w:val="auto"/>
                <w:w w:val="92"/>
              </w:rPr>
              <w:t>(Address of principal executive offices)</w:t>
            </w:r>
          </w:p>
        </w:tc>
        <w:tc>
          <w:tcPr>
            <w:tcW w:w="3360" w:type="dxa"/>
            <w:vAlign w:val="bottom"/>
          </w:tcPr>
          <w:p>
            <w:pPr>
              <w:spacing w:after="0"/>
              <w:rPr>
                <w:sz w:val="15"/>
                <w:szCs w:val="15"/>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 (213) 235-2240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6"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4060" w:type="dxa"/>
            <w:vAlign w:val="bottom"/>
          </w:tcPr>
          <w:p>
            <w:pPr>
              <w:jc w:val="center"/>
              <w:ind w:right="104"/>
              <w:spacing w:after="0"/>
              <w:rPr>
                <w:sz w:val="20"/>
                <w:szCs w:val="20"/>
                <w:color w:val="auto"/>
              </w:rPr>
            </w:pPr>
            <w:r>
              <w:rPr>
                <w:rFonts w:ascii="Arial" w:cs="Arial" w:eastAsia="Arial" w:hAnsi="Arial"/>
                <w:sz w:val="16"/>
                <w:szCs w:val="16"/>
                <w:color w:val="auto"/>
                <w:w w:val="88"/>
              </w:rPr>
              <w:t>Title of each class</w:t>
            </w:r>
          </w:p>
        </w:tc>
        <w:tc>
          <w:tcPr>
            <w:tcW w:w="1680" w:type="dxa"/>
            <w:vAlign w:val="bottom"/>
          </w:tcPr>
          <w:p>
            <w:pPr>
              <w:jc w:val="center"/>
              <w:ind w:right="47"/>
              <w:spacing w:after="0"/>
              <w:rPr>
                <w:sz w:val="20"/>
                <w:szCs w:val="20"/>
                <w:color w:val="auto"/>
              </w:rPr>
            </w:pPr>
            <w:r>
              <w:rPr>
                <w:rFonts w:ascii="Arial" w:cs="Arial" w:eastAsia="Arial" w:hAnsi="Arial"/>
                <w:sz w:val="16"/>
                <w:szCs w:val="16"/>
                <w:color w:val="auto"/>
                <w:w w:val="91"/>
              </w:rPr>
              <w:t>Trading Symbol</w:t>
            </w:r>
          </w:p>
        </w:tc>
        <w:tc>
          <w:tcPr>
            <w:tcW w:w="3200" w:type="dxa"/>
            <w:vAlign w:val="bottom"/>
          </w:tcPr>
          <w:p>
            <w:pPr>
              <w:jc w:val="center"/>
              <w:ind w:left="287"/>
              <w:spacing w:after="0"/>
              <w:rPr>
                <w:sz w:val="20"/>
                <w:szCs w:val="20"/>
                <w:color w:val="auto"/>
              </w:rPr>
            </w:pPr>
            <w:r>
              <w:rPr>
                <w:rFonts w:ascii="Arial" w:cs="Arial" w:eastAsia="Arial" w:hAnsi="Arial"/>
                <w:sz w:val="16"/>
                <w:szCs w:val="16"/>
                <w:color w:val="auto"/>
                <w:w w:val="89"/>
              </w:rPr>
              <w:t>Name of each exchange on which registered</w:t>
            </w:r>
          </w:p>
        </w:tc>
      </w:tr>
      <w:tr>
        <w:trPr>
          <w:trHeight w:val="216"/>
        </w:trPr>
        <w:tc>
          <w:tcPr>
            <w:tcW w:w="4060" w:type="dxa"/>
            <w:vAlign w:val="bottom"/>
          </w:tcPr>
          <w:p>
            <w:pPr>
              <w:jc w:val="center"/>
              <w:ind w:right="144"/>
              <w:spacing w:after="0" w:line="216" w:lineRule="exact"/>
              <w:rPr>
                <w:sz w:val="20"/>
                <w:szCs w:val="20"/>
                <w:color w:val="auto"/>
              </w:rPr>
            </w:pPr>
            <w:r>
              <w:rPr>
                <w:rFonts w:ascii="Arial" w:cs="Arial" w:eastAsia="Arial" w:hAnsi="Arial"/>
                <w:sz w:val="20"/>
                <w:szCs w:val="20"/>
                <w:b w:val="1"/>
                <w:bCs w:val="1"/>
                <w:color w:val="auto"/>
                <w:w w:val="89"/>
              </w:rPr>
              <w:t>Class A Nonvoting Common Stock, $0.01 par</w:t>
            </w:r>
          </w:p>
        </w:tc>
        <w:tc>
          <w:tcPr>
            <w:tcW w:w="1680" w:type="dxa"/>
            <w:vAlign w:val="bottom"/>
          </w:tcPr>
          <w:p>
            <w:pPr>
              <w:jc w:val="center"/>
              <w:ind w:right="47"/>
              <w:spacing w:after="0" w:line="216" w:lineRule="exact"/>
              <w:rPr>
                <w:sz w:val="20"/>
                <w:szCs w:val="20"/>
                <w:color w:val="auto"/>
              </w:rPr>
            </w:pPr>
            <w:r>
              <w:rPr>
                <w:rFonts w:ascii="Arial" w:cs="Arial" w:eastAsia="Arial" w:hAnsi="Arial"/>
                <w:sz w:val="20"/>
                <w:szCs w:val="20"/>
                <w:b w:val="1"/>
                <w:bCs w:val="1"/>
                <w:color w:val="auto"/>
              </w:rPr>
              <w:t>RDI</w:t>
            </w:r>
          </w:p>
        </w:tc>
        <w:tc>
          <w:tcPr>
            <w:tcW w:w="3200" w:type="dxa"/>
            <w:vAlign w:val="bottom"/>
          </w:tcPr>
          <w:p>
            <w:pPr>
              <w:jc w:val="center"/>
              <w:ind w:left="287"/>
              <w:spacing w:after="0" w:line="216" w:lineRule="exact"/>
              <w:rPr>
                <w:sz w:val="20"/>
                <w:szCs w:val="20"/>
                <w:color w:val="auto"/>
              </w:rPr>
            </w:pPr>
            <w:r>
              <w:rPr>
                <w:rFonts w:ascii="Arial" w:cs="Arial" w:eastAsia="Arial" w:hAnsi="Arial"/>
                <w:sz w:val="20"/>
                <w:szCs w:val="20"/>
                <w:b w:val="1"/>
                <w:bCs w:val="1"/>
                <w:color w:val="auto"/>
                <w:w w:val="99"/>
              </w:rPr>
              <w:t>NASDAQ</w:t>
            </w:r>
          </w:p>
        </w:tc>
      </w:tr>
      <w:tr>
        <w:trPr>
          <w:trHeight w:val="216"/>
        </w:trPr>
        <w:tc>
          <w:tcPr>
            <w:tcW w:w="4060" w:type="dxa"/>
            <w:vAlign w:val="bottom"/>
          </w:tcPr>
          <w:p>
            <w:pPr>
              <w:jc w:val="center"/>
              <w:ind w:right="104"/>
              <w:spacing w:after="0" w:line="216" w:lineRule="exact"/>
              <w:rPr>
                <w:sz w:val="20"/>
                <w:szCs w:val="20"/>
                <w:color w:val="auto"/>
              </w:rPr>
            </w:pPr>
            <w:r>
              <w:rPr>
                <w:rFonts w:ascii="Arial" w:cs="Arial" w:eastAsia="Arial" w:hAnsi="Arial"/>
                <w:sz w:val="20"/>
                <w:szCs w:val="20"/>
                <w:b w:val="1"/>
                <w:bCs w:val="1"/>
                <w:color w:val="auto"/>
                <w:w w:val="89"/>
              </w:rPr>
              <w:t>value</w:t>
            </w:r>
          </w:p>
        </w:tc>
        <w:tc>
          <w:tcPr>
            <w:tcW w:w="16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16"/>
        </w:trPr>
        <w:tc>
          <w:tcPr>
            <w:tcW w:w="4060" w:type="dxa"/>
            <w:vAlign w:val="bottom"/>
          </w:tcPr>
          <w:p>
            <w:pPr>
              <w:jc w:val="center"/>
              <w:ind w:right="144"/>
              <w:spacing w:after="0" w:line="216" w:lineRule="exact"/>
              <w:rPr>
                <w:sz w:val="20"/>
                <w:szCs w:val="20"/>
                <w:color w:val="auto"/>
              </w:rPr>
            </w:pPr>
            <w:r>
              <w:rPr>
                <w:rFonts w:ascii="Arial" w:cs="Arial" w:eastAsia="Arial" w:hAnsi="Arial"/>
                <w:sz w:val="20"/>
                <w:szCs w:val="20"/>
                <w:b w:val="1"/>
                <w:bCs w:val="1"/>
                <w:color w:val="auto"/>
                <w:w w:val="89"/>
              </w:rPr>
              <w:t>Class B Voting Common Stock, $0.01 par</w:t>
            </w:r>
          </w:p>
        </w:tc>
        <w:tc>
          <w:tcPr>
            <w:tcW w:w="1680" w:type="dxa"/>
            <w:vAlign w:val="bottom"/>
          </w:tcPr>
          <w:p>
            <w:pPr>
              <w:jc w:val="center"/>
              <w:ind w:right="47"/>
              <w:spacing w:after="0" w:line="216" w:lineRule="exact"/>
              <w:rPr>
                <w:sz w:val="20"/>
                <w:szCs w:val="20"/>
                <w:color w:val="auto"/>
              </w:rPr>
            </w:pPr>
            <w:r>
              <w:rPr>
                <w:rFonts w:ascii="Arial" w:cs="Arial" w:eastAsia="Arial" w:hAnsi="Arial"/>
                <w:sz w:val="20"/>
                <w:szCs w:val="20"/>
                <w:b w:val="1"/>
                <w:bCs w:val="1"/>
                <w:color w:val="auto"/>
              </w:rPr>
              <w:t>RDIB</w:t>
            </w:r>
          </w:p>
        </w:tc>
        <w:tc>
          <w:tcPr>
            <w:tcW w:w="3200" w:type="dxa"/>
            <w:vAlign w:val="bottom"/>
          </w:tcPr>
          <w:p>
            <w:pPr>
              <w:jc w:val="center"/>
              <w:ind w:left="287"/>
              <w:spacing w:after="0" w:line="216" w:lineRule="exact"/>
              <w:rPr>
                <w:sz w:val="20"/>
                <w:szCs w:val="20"/>
                <w:color w:val="auto"/>
              </w:rPr>
            </w:pPr>
            <w:r>
              <w:rPr>
                <w:rFonts w:ascii="Arial" w:cs="Arial" w:eastAsia="Arial" w:hAnsi="Arial"/>
                <w:sz w:val="20"/>
                <w:szCs w:val="20"/>
                <w:b w:val="1"/>
                <w:bCs w:val="1"/>
                <w:color w:val="auto"/>
                <w:w w:val="99"/>
              </w:rPr>
              <w:t>NASDAQ</w:t>
            </w:r>
          </w:p>
        </w:tc>
      </w:tr>
      <w:tr>
        <w:trPr>
          <w:trHeight w:val="220"/>
        </w:trPr>
        <w:tc>
          <w:tcPr>
            <w:tcW w:w="4060" w:type="dxa"/>
            <w:vAlign w:val="bottom"/>
          </w:tcPr>
          <w:p>
            <w:pPr>
              <w:jc w:val="center"/>
              <w:ind w:right="104"/>
              <w:spacing w:after="0" w:line="220" w:lineRule="exact"/>
              <w:rPr>
                <w:sz w:val="20"/>
                <w:szCs w:val="20"/>
                <w:color w:val="auto"/>
              </w:rPr>
            </w:pPr>
            <w:r>
              <w:rPr>
                <w:rFonts w:ascii="Arial" w:cs="Arial" w:eastAsia="Arial" w:hAnsi="Arial"/>
                <w:sz w:val="20"/>
                <w:szCs w:val="20"/>
                <w:b w:val="1"/>
                <w:bCs w:val="1"/>
                <w:color w:val="auto"/>
                <w:w w:val="89"/>
              </w:rPr>
              <w:t>value</w:t>
            </w:r>
          </w:p>
        </w:tc>
        <w:tc>
          <w:tcPr>
            <w:tcW w:w="1680" w:type="dxa"/>
            <w:vAlign w:val="bottom"/>
          </w:tcPr>
          <w:p>
            <w:pPr>
              <w:spacing w:after="0"/>
              <w:rPr>
                <w:sz w:val="19"/>
                <w:szCs w:val="19"/>
                <w:color w:val="auto"/>
              </w:rPr>
            </w:pPr>
          </w:p>
        </w:tc>
        <w:tc>
          <w:tcPr>
            <w:tcW w:w="3200" w:type="dxa"/>
            <w:vAlign w:val="bottom"/>
          </w:tcPr>
          <w:p>
            <w:pPr>
              <w:spacing w:after="0"/>
              <w:rPr>
                <w:sz w:val="19"/>
                <w:szCs w:val="19"/>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12(g) of the Act: None</w:t>
      </w:r>
    </w:p>
    <w:p>
      <w:pPr>
        <w:spacing w:after="0" w:line="111" w:lineRule="exact"/>
        <w:rPr>
          <w:sz w:val="24"/>
          <w:szCs w:val="24"/>
          <w:color w:val="auto"/>
        </w:rPr>
      </w:pPr>
    </w:p>
    <w:p>
      <w:pPr>
        <w:jc w:val="both"/>
        <w:ind w:right="400"/>
        <w:spacing w:after="0" w:line="20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93" w:lineRule="exact"/>
        <w:rPr>
          <w:sz w:val="24"/>
          <w:szCs w:val="24"/>
          <w:color w:val="auto"/>
        </w:rPr>
      </w:pPr>
    </w:p>
    <w:p>
      <w:pPr>
        <w:ind w:right="200"/>
        <w:spacing w:after="0" w:line="19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94" w:lineRule="exact"/>
        <w:rPr>
          <w:sz w:val="24"/>
          <w:szCs w:val="24"/>
          <w:color w:val="auto"/>
        </w:rPr>
      </w:pPr>
    </w:p>
    <w:p>
      <w:pPr>
        <w:ind w:right="80"/>
        <w:spacing w:after="0" w:line="198"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92" w:lineRule="exact"/>
        <w:rPr>
          <w:sz w:val="24"/>
          <w:szCs w:val="24"/>
          <w:color w:val="auto"/>
        </w:rPr>
      </w:pPr>
    </w:p>
    <w:p>
      <w:pPr>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92" w:lineRule="exact"/>
        <w:rPr>
          <w:sz w:val="24"/>
          <w:szCs w:val="24"/>
          <w:color w:val="auto"/>
        </w:rPr>
      </w:pPr>
    </w:p>
    <w:p>
      <w:pPr>
        <w:ind w:right="14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p>
      <w:pPr>
        <w:ind w:right="240"/>
        <w:spacing w:after="0" w:line="202"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b w:val="1"/>
          <w:bCs w:val="1"/>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b w:val="1"/>
          <w:bCs w:val="1"/>
          <w:color w:val="auto"/>
        </w:rPr>
        <w:t>☐</w:t>
      </w:r>
    </w:p>
    <w:p>
      <w:pPr>
        <w:spacing w:after="0" w:line="111" w:lineRule="exact"/>
        <w:rPr>
          <w:sz w:val="24"/>
          <w:szCs w:val="24"/>
          <w:color w:val="auto"/>
        </w:rPr>
      </w:pPr>
    </w:p>
    <w:p>
      <w:pPr>
        <w:ind w:right="140"/>
        <w:spacing w:after="0" w:line="29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Wingdings" w:cs="Wingdings" w:eastAsia="Wingdings" w:hAnsi="Wingdings"/>
          <w:sz w:val="17"/>
          <w:szCs w:val="17"/>
          <w:b w:val="1"/>
          <w:bCs w:val="1"/>
          <w:color w:val="auto"/>
        </w:rPr>
        <w:t></w:t>
      </w:r>
    </w:p>
    <w:p>
      <w:pPr>
        <w:spacing w:after="0" w:line="79" w:lineRule="exact"/>
        <w:rPr>
          <w:sz w:val="24"/>
          <w:szCs w:val="24"/>
          <w:color w:val="auto"/>
        </w:rPr>
      </w:pPr>
    </w:p>
    <w:p>
      <w:pPr>
        <w:ind w:right="140"/>
        <w:spacing w:after="0" w:line="250" w:lineRule="auto"/>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9"/>
          <w:szCs w:val="19"/>
          <w:b w:val="1"/>
          <w:bCs w:val="1"/>
          <w:color w:val="auto"/>
        </w:rPr>
        <w:t></w:t>
      </w:r>
    </w:p>
    <w:p>
      <w:pPr>
        <w:spacing w:after="0" w:line="112" w:lineRule="exact"/>
        <w:rPr>
          <w:sz w:val="24"/>
          <w:szCs w:val="24"/>
          <w:color w:val="auto"/>
        </w:rPr>
      </w:pPr>
    </w:p>
    <w:p>
      <w:pPr>
        <w:ind w:right="300"/>
        <w:spacing w:after="0" w:line="267" w:lineRule="auto"/>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w:t>
      </w:r>
    </w:p>
    <w:p>
      <w:pPr>
        <w:spacing w:after="0" w:line="99" w:lineRule="exact"/>
        <w:rPr>
          <w:sz w:val="24"/>
          <w:szCs w:val="24"/>
          <w:color w:val="auto"/>
        </w:rPr>
      </w:pPr>
    </w:p>
    <w:p>
      <w:pPr>
        <w:ind w:right="360"/>
        <w:spacing w:after="0" w:line="249" w:lineRule="auto"/>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9"/>
          <w:szCs w:val="19"/>
          <w:b w:val="1"/>
          <w:bCs w:val="1"/>
          <w:color w:val="auto"/>
        </w:rPr>
        <w:t></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ectPr>
          <w:pgSz w:w="11900" w:h="16838" w:orient="portrait"/>
          <w:cols w:equalWidth="0" w:num="1">
            <w:col w:w="9380"/>
          </w:cols>
          <w:pgMar w:left="1260" w:top="1234" w:right="126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 51</w:t>
      </w:r>
    </w:p>
    <w:p>
      <w:pPr>
        <w:sectPr>
          <w:pgSz w:w="11900" w:h="16838" w:orient="portrait"/>
          <w:cols w:equalWidth="0" w:num="1">
            <w:col w:w="9380"/>
          </w:cols>
          <w:pgMar w:left="1260" w:top="1234" w:right="1266" w:bottom="0" w:gutter="0" w:footer="0" w:header="0"/>
          <w:type w:val="continuous"/>
        </w:sectPr>
      </w:pPr>
    </w:p>
    <w:bookmarkStart w:id="1" w:name="page2"/>
    <w:bookmarkEnd w:id="1"/>
    <w:p>
      <w:pPr>
        <w:jc w:val="both"/>
        <w:spacing w:after="0" w:line="226" w:lineRule="auto"/>
        <w:rPr>
          <w:sz w:val="20"/>
          <w:szCs w:val="20"/>
          <w:color w:val="auto"/>
        </w:rPr>
      </w:pPr>
      <w:r>
        <w:rPr>
          <w:rFonts w:ascii="Arial" w:cs="Arial" w:eastAsia="Arial" w:hAnsi="Arial"/>
          <w:sz w:val="18"/>
          <w:szCs w:val="18"/>
          <w:color w:val="auto"/>
        </w:rPr>
        <w:t>As of June 30, 2025 (the last business day of the registrant’s most recently completed second fiscal quarter), the aggregate market value of the registrant's voting and non-voting common equity held by non-affiliates based on the closing price on that date as reported by the Nasdaq Stock Market was $26,804,265. As of March 30, 2026, there were 21,036,670 shares of class A non-voting common stock, par value $0.01 per share and 1,680,590 shares of class B voting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596773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0"/>
          </w:cols>
          <w:pgMar w:left="1260" w:top="1131"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 / 51</w:t>
      </w:r>
    </w:p>
    <w:p>
      <w:pPr>
        <w:sectPr>
          <w:pgSz w:w="11900" w:h="16838" w:orient="portrait"/>
          <w:cols w:equalWidth="0" w:num="1">
            <w:col w:w="9420"/>
          </w:cols>
          <w:pgMar w:left="1260" w:top="1131" w:right="1226" w:bottom="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Certain portions of the registrant’s definitive Proxy Statement for the 2026 annual meeting of the stockholders to be filed with the Securities and Exchange Commission within 120 days after the end of the fiscal year ended December 31, 2025 are incorporated by reference into Part III of this Annual Report on Form 10-K.</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22"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51</w:t>
      </w:r>
    </w:p>
    <w:p>
      <w:pPr>
        <w:sectPr>
          <w:pgSz w:w="11900" w:h="16838" w:orient="portrait"/>
          <w:cols w:equalWidth="0" w:num="1">
            <w:col w:w="9340"/>
          </w:cols>
          <w:pgMar w:left="1260" w:top="1122" w:right="1306" w:bottom="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30"/>
          <w:szCs w:val="30"/>
          <w:b w:val="1"/>
          <w:bCs w:val="1"/>
          <w:u w:val="single" w:color="auto"/>
          <w:color w:val="auto"/>
        </w:rPr>
        <w:t>READING INTERNATIONAL, INC.</w:t>
      </w:r>
    </w:p>
    <w:p>
      <w:pPr>
        <w:jc w:val="center"/>
        <w:ind w:right="20"/>
        <w:spacing w:after="0" w:line="225" w:lineRule="auto"/>
        <w:rPr>
          <w:sz w:val="20"/>
          <w:szCs w:val="20"/>
          <w:color w:val="auto"/>
        </w:rPr>
      </w:pPr>
      <w:r>
        <w:rPr>
          <w:rFonts w:ascii="Arial" w:cs="Arial" w:eastAsia="Arial" w:hAnsi="Arial"/>
          <w:sz w:val="20"/>
          <w:szCs w:val="20"/>
          <w:b w:val="1"/>
          <w:bCs w:val="1"/>
          <w:color w:val="auto"/>
        </w:rPr>
        <w:t>ANNUAL REPORT ON FORM 10-K</w:t>
      </w:r>
    </w:p>
    <w:p>
      <w:pPr>
        <w:jc w:val="center"/>
        <w:ind w:right="20"/>
        <w:spacing w:after="0" w:line="225" w:lineRule="auto"/>
        <w:rPr>
          <w:sz w:val="20"/>
          <w:szCs w:val="20"/>
          <w:color w:val="auto"/>
        </w:rPr>
      </w:pPr>
      <w:r>
        <w:rPr>
          <w:rFonts w:ascii="Arial" w:cs="Arial" w:eastAsia="Arial" w:hAnsi="Arial"/>
          <w:sz w:val="20"/>
          <w:szCs w:val="20"/>
          <w:b w:val="1"/>
          <w:bCs w:val="1"/>
          <w:color w:val="auto"/>
        </w:rPr>
        <w:t>YEAR ENDED DECEMBER 31, 2025</w:t>
      </w:r>
    </w:p>
    <w:p>
      <w:pPr>
        <w:jc w:val="center"/>
        <w:ind w:right="20"/>
        <w:spacing w:after="0" w:line="230" w:lineRule="auto"/>
        <w:rPr>
          <w:sz w:val="20"/>
          <w:szCs w:val="20"/>
          <w:color w:val="auto"/>
        </w:rPr>
      </w:pPr>
      <w:r>
        <w:rPr>
          <w:rFonts w:ascii="Arial" w:cs="Arial" w:eastAsia="Arial" w:hAnsi="Arial"/>
          <w:sz w:val="20"/>
          <w:szCs w:val="20"/>
          <w:u w:val="single" w:color="auto"/>
          <w:color w:val="auto"/>
        </w:rPr>
        <w:t>INDEX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8860" w:type="dxa"/>
            <w:vAlign w:val="bottom"/>
            <w:tcBorders>
              <w:top w:val="single" w:sz="8" w:color="CCEEFF"/>
            </w:tcBorders>
            <w:gridSpan w:val="29"/>
            <w:shd w:val="clear" w:color="auto" w:fill="CCEEFF"/>
          </w:tcPr>
          <w:p>
            <w:pPr>
              <w:spacing w:after="0" w:line="194" w:lineRule="exact"/>
              <w:rPr>
                <w:sz w:val="20"/>
                <w:szCs w:val="20"/>
                <w:color w:val="auto"/>
              </w:rPr>
            </w:pPr>
            <w:r>
              <w:rPr>
                <w:rFonts w:ascii="Arial" w:cs="Arial" w:eastAsia="Arial" w:hAnsi="Arial"/>
                <w:sz w:val="20"/>
                <w:szCs w:val="20"/>
                <w:b w:val="1"/>
                <w:bCs w:val="1"/>
                <w:color w:val="0000FF"/>
              </w:rPr>
              <w:t>PART I</w:t>
            </w:r>
          </w:p>
        </w:tc>
        <w:tc>
          <w:tcPr>
            <w:tcW w:w="20" w:type="dxa"/>
            <w:vAlign w:val="bottom"/>
          </w:tcPr>
          <w:p>
            <w:pPr>
              <w:spacing w:after="0"/>
              <w:rPr>
                <w:sz w:val="18"/>
                <w:szCs w:val="18"/>
                <w:color w:val="auto"/>
              </w:rPr>
            </w:pPr>
          </w:p>
        </w:tc>
        <w:tc>
          <w:tcPr>
            <w:tcW w:w="420" w:type="dxa"/>
            <w:vAlign w:val="bottom"/>
            <w:tcBorders>
              <w:top w:val="single" w:sz="8" w:color="auto"/>
              <w:left w:val="single" w:sz="8" w:color="CCEEFF"/>
            </w:tcBorders>
            <w:shd w:val="clear" w:color="auto" w:fill="CCEEFF"/>
          </w:tcPr>
          <w:p>
            <w:pPr>
              <w:jc w:val="center"/>
              <w:spacing w:after="0" w:line="194" w:lineRule="exact"/>
              <w:rPr>
                <w:sz w:val="20"/>
                <w:szCs w:val="20"/>
                <w:color w:val="auto"/>
              </w:rPr>
            </w:pPr>
            <w:r>
              <w:rPr>
                <w:rFonts w:ascii="Arial" w:cs="Arial" w:eastAsia="Arial" w:hAnsi="Arial"/>
                <w:sz w:val="20"/>
                <w:szCs w:val="20"/>
                <w:color w:val="auto"/>
                <w:w w:val="89"/>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640" w:type="dxa"/>
            <w:vAlign w:val="bottom"/>
            <w:tcBorders>
              <w:top w:val="single" w:sz="8" w:color="0000FF"/>
              <w:bottom w:val="single" w:sz="8" w:color="0000FF"/>
            </w:tcBorders>
          </w:tcPr>
          <w:p>
            <w:pPr>
              <w:spacing w:after="0" w:line="176" w:lineRule="exact"/>
              <w:rPr>
                <w:sz w:val="20"/>
                <w:szCs w:val="20"/>
                <w:color w:val="auto"/>
              </w:rPr>
            </w:pPr>
            <w:r>
              <w:rPr>
                <w:rFonts w:ascii="Arial" w:cs="Arial" w:eastAsia="Arial" w:hAnsi="Arial"/>
                <w:sz w:val="20"/>
                <w:szCs w:val="20"/>
                <w:color w:val="0000FF"/>
                <w:w w:val="85"/>
              </w:rPr>
              <w:t>Item 1 –</w:t>
            </w:r>
          </w:p>
        </w:tc>
        <w:tc>
          <w:tcPr>
            <w:tcW w:w="1200" w:type="dxa"/>
            <w:vAlign w:val="bottom"/>
            <w:tcBorders>
              <w:top w:val="single" w:sz="8" w:color="CCEEFF"/>
              <w:bottom w:val="single" w:sz="8" w:color="0000FF"/>
            </w:tcBorders>
            <w:gridSpan w:val="7"/>
          </w:tcPr>
          <w:p>
            <w:pPr>
              <w:ind w:left="60"/>
              <w:spacing w:after="0" w:line="176" w:lineRule="exact"/>
              <w:rPr>
                <w:sz w:val="20"/>
                <w:szCs w:val="20"/>
                <w:color w:val="auto"/>
              </w:rPr>
            </w:pPr>
            <w:r>
              <w:rPr>
                <w:rFonts w:ascii="Arial" w:cs="Arial" w:eastAsia="Arial" w:hAnsi="Arial"/>
                <w:sz w:val="20"/>
                <w:szCs w:val="20"/>
                <w:color w:val="0000FF"/>
                <w:w w:val="91"/>
              </w:rPr>
              <w:t>Our Business</w:t>
            </w:r>
          </w:p>
        </w:tc>
        <w:tc>
          <w:tcPr>
            <w:tcW w:w="7000" w:type="dxa"/>
            <w:vAlign w:val="bottom"/>
            <w:tcBorders>
              <w:top w:val="single" w:sz="8" w:color="CCEE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20"/>
                <w:szCs w:val="20"/>
                <w:color w:val="auto"/>
                <w:w w:val="89"/>
              </w:rPr>
              <w:t>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1A – Risk Factors</w:t>
            </w:r>
          </w:p>
        </w:tc>
        <w:tc>
          <w:tcPr>
            <w:tcW w:w="20" w:type="dxa"/>
            <w:vAlign w:val="bottom"/>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Item 1B – Unresolved Staff Comments</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2 – Properties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Item 3 – Legal Proceedings</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4 – Mine Safety Disclosures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b w:val="1"/>
                <w:bCs w:val="1"/>
                <w:color w:val="0000FF"/>
              </w:rPr>
              <w:t>PART II</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20"/>
                <w:szCs w:val="20"/>
                <w:color w:val="0000FF"/>
                <w:w w:val="96"/>
              </w:rPr>
              <w:t>Item 5 –</w:t>
            </w:r>
          </w:p>
        </w:tc>
        <w:tc>
          <w:tcPr>
            <w:tcW w:w="7580" w:type="dxa"/>
            <w:vAlign w:val="bottom"/>
            <w:tcBorders>
              <w:top w:val="single" w:sz="8" w:color="CCEEFF"/>
              <w:bottom w:val="single" w:sz="8" w:color="0000FF"/>
            </w:tcBorders>
            <w:gridSpan w:val="24"/>
            <w:shd w:val="clear" w:color="auto" w:fill="CCEEFF"/>
          </w:tcPr>
          <w:p>
            <w:pPr>
              <w:spacing w:after="0" w:line="196" w:lineRule="exact"/>
              <w:rPr>
                <w:sz w:val="20"/>
                <w:szCs w:val="20"/>
                <w:color w:val="auto"/>
              </w:rPr>
            </w:pPr>
            <w:r>
              <w:rPr>
                <w:rFonts w:ascii="Arial" w:cs="Arial" w:eastAsia="Arial" w:hAnsi="Arial"/>
                <w:sz w:val="20"/>
                <w:szCs w:val="20"/>
                <w:color w:val="0000FF"/>
                <w:w w:val="90"/>
              </w:rPr>
              <w:t>Market for Registrant’s Common Equity, Related Stockholder Matters and Issuer Purchases of</w:t>
            </w:r>
          </w:p>
        </w:tc>
        <w:tc>
          <w:tcPr>
            <w:tcW w:w="5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CCEEFF"/>
              <w:left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89"/>
              </w:rPr>
              <w:t>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860" w:type="dxa"/>
            <w:vAlign w:val="bottom"/>
            <w:gridSpan w:val="29"/>
            <w:vMerge w:val="restart"/>
            <w:shd w:val="clear" w:color="auto" w:fill="CCEEFF"/>
          </w:tcPr>
          <w:p>
            <w:pPr>
              <w:spacing w:after="0" w:line="196" w:lineRule="exact"/>
              <w:rPr>
                <w:sz w:val="20"/>
                <w:szCs w:val="20"/>
                <w:color w:val="auto"/>
              </w:rPr>
            </w:pPr>
            <w:r>
              <w:rPr>
                <w:rFonts w:ascii="Arial" w:cs="Arial" w:eastAsia="Arial" w:hAnsi="Arial"/>
                <w:sz w:val="20"/>
                <w:szCs w:val="20"/>
                <w:color w:val="0000FF"/>
              </w:rPr>
              <w:t>Equity Securities</w:t>
            </w:r>
          </w:p>
        </w:tc>
        <w:tc>
          <w:tcPr>
            <w:tcW w:w="20" w:type="dxa"/>
            <w:vAlign w:val="bottom"/>
          </w:tcPr>
          <w:p>
            <w:pPr>
              <w:spacing w:after="0"/>
              <w:rPr>
                <w:sz w:val="9"/>
                <w:szCs w:val="9"/>
                <w:color w:val="auto"/>
              </w:rPr>
            </w:pPr>
          </w:p>
        </w:tc>
        <w:tc>
          <w:tcPr>
            <w:tcW w:w="420" w:type="dxa"/>
            <w:vAlign w:val="bottom"/>
            <w:tcBorders>
              <w:lef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860" w:type="dxa"/>
            <w:vAlign w:val="bottom"/>
            <w:gridSpan w:val="29"/>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Item 6 – Selected Financial Data</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7 – Management’s Discussion and Analysis of Financial Condition and Results of Operations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Item 7A – Quantitative and Qualitative Disclosure about Market Risk</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8 – Financial Statements and Supplementary Data</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Management’s Report on Internal Control over Financial Reporting</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Report of Independent Registered Public Accounting Firm (Consolidated Financial Statements)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Consolidated Balance Sheets as of December 31, 2025 and 2024</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Consolidated Statements of Operations for the Three Years Ended December 31, 2025</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CCEEFF"/>
            </w:tcBorders>
            <w:shd w:val="clear" w:color="auto" w:fill="0000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w w:val="93"/>
              </w:rPr>
              <w:t>Consolidated Statements of Comprehensive Income (Loss) for the Three Years Ended December 31, 2025</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Consolidated Statements of Stockholders’ Equity for the Three Years Ended December 31, 2025</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Consolidated Statements of Cash Flows for the Three Years Ended December 31, 2025</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Notes to Consolidated Financial Statements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Schedule II – Valuation and Qualifying Accounts</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9 – Change in and Disagreements with Accountants on Accounting and Financial Disclosure</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color w:val="0000FF"/>
              </w:rPr>
              <w:t>Item 9A – Controls and Procedures</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color w:val="0000FF"/>
              </w:rPr>
              <w:t>Item 9B – Other Information</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tcPr>
          <w:p>
            <w:pPr>
              <w:spacing w:after="0" w:line="196" w:lineRule="exact"/>
              <w:rPr>
                <w:sz w:val="20"/>
                <w:szCs w:val="20"/>
                <w:color w:val="auto"/>
              </w:rPr>
            </w:pPr>
            <w:r>
              <w:rPr>
                <w:rFonts w:ascii="Arial" w:cs="Arial" w:eastAsia="Arial" w:hAnsi="Arial"/>
                <w:sz w:val="20"/>
                <w:szCs w:val="20"/>
                <w:b w:val="1"/>
                <w:bCs w:val="1"/>
                <w:color w:val="0000FF"/>
              </w:rPr>
              <w:t>PART III</w:t>
            </w:r>
          </w:p>
        </w:tc>
        <w:tc>
          <w:tcPr>
            <w:tcW w:w="20" w:type="dxa"/>
            <w:vAlign w:val="bottom"/>
            <w:vMerge w:val="continue"/>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Arial" w:cs="Arial" w:eastAsia="Arial" w:hAnsi="Arial"/>
                <w:sz w:val="20"/>
                <w:szCs w:val="20"/>
                <w:color w:val="auto"/>
                <w:w w:val="89"/>
              </w:rPr>
              <w:t>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0000FF"/>
            </w:tcBorders>
            <w:gridSpan w:val="4"/>
            <w:shd w:val="clear" w:color="auto" w:fill="CCEEFF"/>
          </w:tcPr>
          <w:p>
            <w:pPr>
              <w:spacing w:after="0" w:line="196" w:lineRule="exact"/>
              <w:rPr>
                <w:sz w:val="20"/>
                <w:szCs w:val="20"/>
                <w:color w:val="auto"/>
              </w:rPr>
            </w:pPr>
            <w:r>
              <w:rPr>
                <w:rFonts w:ascii="Arial" w:cs="Arial" w:eastAsia="Arial" w:hAnsi="Arial"/>
                <w:sz w:val="20"/>
                <w:szCs w:val="20"/>
                <w:b w:val="1"/>
                <w:bCs w:val="1"/>
                <w:color w:val="0000FF"/>
                <w:w w:val="98"/>
              </w:rPr>
              <w:t>PART IV</w:t>
            </w:r>
          </w:p>
        </w:tc>
        <w:tc>
          <w:tcPr>
            <w:tcW w:w="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gridSpan w:val="12"/>
            <w:shd w:val="clear" w:color="auto" w:fill="CCEEFF"/>
          </w:tcPr>
          <w:p>
            <w:pPr>
              <w:spacing w:after="0"/>
              <w:rPr>
                <w:sz w:val="18"/>
                <w:szCs w:val="18"/>
                <w:color w:val="auto"/>
              </w:rPr>
            </w:pPr>
          </w:p>
        </w:tc>
        <w:tc>
          <w:tcPr>
            <w:tcW w:w="4820" w:type="dxa"/>
            <w:vAlign w:val="bottom"/>
            <w:tcBorders>
              <w:top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CCEEFF"/>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0000FF"/>
            </w:tcBorders>
            <w:gridSpan w:val="3"/>
          </w:tcPr>
          <w:p>
            <w:pPr>
              <w:spacing w:after="0" w:line="176" w:lineRule="exact"/>
              <w:rPr>
                <w:sz w:val="20"/>
                <w:szCs w:val="20"/>
                <w:color w:val="auto"/>
              </w:rPr>
            </w:pPr>
            <w:r>
              <w:rPr>
                <w:rFonts w:ascii="Arial" w:cs="Arial" w:eastAsia="Arial" w:hAnsi="Arial"/>
                <w:sz w:val="20"/>
                <w:szCs w:val="20"/>
                <w:color w:val="0000FF"/>
                <w:w w:val="91"/>
              </w:rPr>
              <w:t>Item 15 –</w:t>
            </w:r>
          </w:p>
        </w:tc>
        <w:tc>
          <w:tcPr>
            <w:tcW w:w="8060" w:type="dxa"/>
            <w:vAlign w:val="bottom"/>
            <w:tcBorders>
              <w:top w:val="single" w:sz="8" w:color="CCEEFF"/>
            </w:tcBorders>
            <w:gridSpan w:val="25"/>
          </w:tcPr>
          <w:p>
            <w:pPr>
              <w:ind w:left="20"/>
              <w:spacing w:after="0" w:line="176" w:lineRule="exact"/>
              <w:rPr>
                <w:sz w:val="20"/>
                <w:szCs w:val="20"/>
                <w:color w:val="auto"/>
              </w:rPr>
            </w:pPr>
            <w:r>
              <w:rPr>
                <w:rFonts w:ascii="Arial" w:cs="Arial" w:eastAsia="Arial" w:hAnsi="Arial"/>
                <w:sz w:val="20"/>
                <w:szCs w:val="20"/>
                <w:color w:val="0000FF"/>
              </w:rPr>
              <w:t>Exhibits, Financial Statement Schedules</w:t>
            </w:r>
          </w:p>
        </w:tc>
        <w:tc>
          <w:tcPr>
            <w:tcW w:w="20" w:type="dxa"/>
            <w:vAlign w:val="bottom"/>
          </w:tcPr>
          <w:p>
            <w:pPr>
              <w:spacing w:after="0"/>
              <w:rPr>
                <w:sz w:val="15"/>
                <w:szCs w:val="15"/>
                <w:color w:val="auto"/>
              </w:rPr>
            </w:pPr>
          </w:p>
        </w:tc>
        <w:tc>
          <w:tcPr>
            <w:tcW w:w="4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20"/>
                <w:szCs w:val="20"/>
                <w:color w:val="auto"/>
                <w:w w:val="89"/>
              </w:rPr>
              <w:t>99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9"/>
            <w:shd w:val="clear" w:color="auto" w:fill="CCEEFF"/>
          </w:tcPr>
          <w:p>
            <w:pPr>
              <w:spacing w:after="0" w:line="196" w:lineRule="exact"/>
              <w:rPr>
                <w:sz w:val="20"/>
                <w:szCs w:val="20"/>
                <w:color w:val="auto"/>
              </w:rPr>
            </w:pPr>
            <w:r>
              <w:rPr>
                <w:rFonts w:ascii="Arial" w:cs="Arial" w:eastAsia="Arial" w:hAnsi="Arial"/>
                <w:sz w:val="20"/>
                <w:szCs w:val="20"/>
                <w:b w:val="1"/>
                <w:bCs w:val="1"/>
                <w:color w:val="0000FF"/>
              </w:rPr>
              <w:t>SIGNATURES</w:t>
            </w:r>
          </w:p>
        </w:tc>
        <w:tc>
          <w:tcPr>
            <w:tcW w:w="20" w:type="dxa"/>
            <w:vAlign w:val="bottom"/>
            <w:vMerge w:val="continue"/>
          </w:tcPr>
          <w:p>
            <w:pPr>
              <w:spacing w:after="0"/>
              <w:rPr>
                <w:sz w:val="17"/>
                <w:szCs w:val="17"/>
                <w:color w:val="auto"/>
              </w:rPr>
            </w:pPr>
          </w:p>
        </w:tc>
        <w:tc>
          <w:tcPr>
            <w:tcW w:w="4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1280" w:type="dxa"/>
            <w:vAlign w:val="bottom"/>
            <w:tcBorders>
              <w:top w:val="single" w:sz="8" w:color="0000FF"/>
            </w:tcBorders>
            <w:gridSpan w:val="5"/>
          </w:tcPr>
          <w:p>
            <w:pPr>
              <w:spacing w:after="0"/>
              <w:rPr>
                <w:sz w:val="24"/>
                <w:szCs w:val="24"/>
                <w:color w:val="auto"/>
              </w:rPr>
            </w:pPr>
          </w:p>
        </w:tc>
        <w:tc>
          <w:tcPr>
            <w:tcW w:w="3880" w:type="dxa"/>
            <w:vAlign w:val="bottom"/>
            <w:tcBorders>
              <w:top w:val="single" w:sz="8" w:color="CCEEFF"/>
            </w:tcBorders>
            <w:gridSpan w:val="14"/>
          </w:tcPr>
          <w:p>
            <w:pPr>
              <w:jc w:val="right"/>
              <w:ind w:right="320"/>
              <w:spacing w:after="0"/>
              <w:rPr>
                <w:sz w:val="20"/>
                <w:szCs w:val="20"/>
                <w:color w:val="auto"/>
              </w:rPr>
            </w:pPr>
            <w:r>
              <w:rPr>
                <w:rFonts w:ascii="Arial" w:cs="Arial" w:eastAsia="Arial" w:hAnsi="Arial"/>
                <w:sz w:val="20"/>
                <w:szCs w:val="20"/>
                <w:color w:val="auto"/>
              </w:rPr>
              <w:t>- 3 -</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2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51</w:t>
      </w:r>
    </w:p>
    <w:p>
      <w:pPr>
        <w:sectPr>
          <w:pgSz w:w="11900" w:h="16838" w:orient="portrait"/>
          <w:cols w:equalWidth="0" w:num="1">
            <w:col w:w="9400"/>
          </w:cols>
          <w:pgMar w:left="1260" w:top="1326" w:right="1246" w:bottom="0" w:gutter="0" w:footer="0" w:header="0"/>
          <w:type w:val="continuous"/>
        </w:sectPr>
      </w:pPr>
    </w:p>
    <w:bookmarkStart w:id="4" w:name="page5"/>
    <w:bookmarkEnd w:id="4"/>
    <w:p>
      <w:pPr>
        <w:spacing w:after="0" w:line="120" w:lineRule="exact"/>
        <w:rPr>
          <w:sz w:val="20"/>
          <w:szCs w:val="20"/>
          <w:color w:val="auto"/>
        </w:rPr>
      </w:pPr>
    </w:p>
    <w:p>
      <w:pPr>
        <w:ind w:left="100" w:right="300"/>
        <w:spacing w:after="0"/>
        <w:rPr>
          <w:sz w:val="20"/>
          <w:szCs w:val="20"/>
          <w:color w:val="auto"/>
        </w:rPr>
      </w:pPr>
      <w:r>
        <w:rPr>
          <w:rFonts w:ascii="Arial" w:cs="Arial" w:eastAsia="Arial" w:hAnsi="Arial"/>
          <w:sz w:val="14"/>
          <w:szCs w:val="14"/>
          <w:i w:val="1"/>
          <w:iCs w:val="1"/>
          <w:color w:val="auto"/>
        </w:rPr>
        <w:t>The information in this Annual Report on Form 10-K for the year ended December 31, 2025 ("2025 Form 10-K" or “2025 Annual Report”) contains certain forward-looking statements, including statements related to trends in the Company's business. The Company's actual results may differ materially from the results discussed in the “Cautionary Statement Regarding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2025 Form 10-K.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PART I</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1 –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at 189 Second Avenue, Suite 2S, New York, New York, 10003.</w:t>
      </w: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Our corporate website address is </w:t>
      </w:r>
      <w:r>
        <w:rPr>
          <w:rFonts w:ascii="Arial" w:cs="Arial" w:eastAsia="Arial" w:hAnsi="Arial"/>
          <w:sz w:val="20"/>
          <w:szCs w:val="20"/>
          <w:b w:val="1"/>
          <w:bCs w:val="1"/>
          <w:u w:val="single" w:color="auto"/>
          <w:color w:val="auto"/>
        </w:rPr>
        <w:t>www.ReadingRDI.com</w:t>
      </w:r>
      <w:r>
        <w:rPr>
          <w:rFonts w:ascii="Arial" w:cs="Arial" w:eastAsia="Arial" w:hAnsi="Arial"/>
          <w:sz w:val="20"/>
          <w:szCs w:val="20"/>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Arial" w:cs="Arial" w:eastAsia="Arial" w:hAnsi="Arial"/>
          <w:sz w:val="20"/>
          <w:szCs w:val="20"/>
          <w:u w:val="single" w:color="auto"/>
          <w:color w:val="auto"/>
        </w:rPr>
        <w:t>www.sec.gov</w:t>
      </w:r>
      <w:r>
        <w:rPr>
          <w:rFonts w:ascii="Arial" w:cs="Arial" w:eastAsia="Arial" w:hAnsi="Arial"/>
          <w:sz w:val="20"/>
          <w:szCs w:val="20"/>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DESCRIPTION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Synergistic Diversification and Branding</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are an internationally diversified company focused on the development, ownership and operation of entertainment and real property assets in three jurisdictions: (i) United States (“U.S.”), (ii) Australia, and (iii) New Zealand. We group our businesses into two operating segments, which are owned and operated through various operating subsidiaries:</w:t>
      </w:r>
    </w:p>
    <w:p>
      <w:pPr>
        <w:spacing w:after="0" w:line="98" w:lineRule="exact"/>
        <w:rPr>
          <w:sz w:val="20"/>
          <w:szCs w:val="20"/>
          <w:color w:val="auto"/>
        </w:rPr>
      </w:pPr>
    </w:p>
    <w:p>
      <w:pPr>
        <w:ind w:left="720" w:right="40" w:hanging="366"/>
        <w:spacing w:after="0" w:line="245" w:lineRule="auto"/>
        <w:tabs>
          <w:tab w:leader="none" w:pos="720" w:val="left"/>
        </w:tabs>
        <w:numPr>
          <w:ilvl w:val="0"/>
          <w:numId w:val="3"/>
        </w:numPr>
        <w:rPr>
          <w:rFonts w:ascii="Wingdings" w:cs="Wingdings" w:eastAsia="Wingdings" w:hAnsi="Wingdings"/>
          <w:sz w:val="16"/>
          <w:szCs w:val="16"/>
          <w:color w:val="auto"/>
        </w:rPr>
      </w:pPr>
      <w:r>
        <w:rPr>
          <w:rFonts w:ascii="Arial" w:cs="Arial" w:eastAsia="Arial" w:hAnsi="Arial"/>
          <w:sz w:val="20"/>
          <w:szCs w:val="20"/>
          <w:b w:val="1"/>
          <w:bCs w:val="1"/>
          <w:i w:val="1"/>
          <w:iCs w:val="1"/>
          <w:color w:val="auto"/>
        </w:rPr>
        <w:t xml:space="preserve">Theatrical Motion Picture Exhibition </w:t>
      </w:r>
      <w:r>
        <w:rPr>
          <w:rFonts w:ascii="Arial" w:cs="Arial" w:eastAsia="Arial" w:hAnsi="Arial"/>
          <w:sz w:val="20"/>
          <w:szCs w:val="20"/>
          <w:color w:val="auto"/>
        </w:rPr>
        <w:t>(“Cinema Exhibition”), through as of the date of this 2025 Annual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 our 58 cinemas.</w:t>
      </w:r>
    </w:p>
    <w:p>
      <w:pPr>
        <w:spacing w:after="0" w:line="111" w:lineRule="exact"/>
        <w:rPr>
          <w:rFonts w:ascii="Wingdings" w:cs="Wingdings" w:eastAsia="Wingdings" w:hAnsi="Wingdings"/>
          <w:sz w:val="16"/>
          <w:szCs w:val="16"/>
          <w:color w:val="auto"/>
        </w:rPr>
      </w:pPr>
    </w:p>
    <w:p>
      <w:pPr>
        <w:ind w:left="720" w:hanging="366"/>
        <w:spacing w:after="0"/>
        <w:tabs>
          <w:tab w:leader="none" w:pos="720" w:val="left"/>
        </w:tabs>
        <w:numPr>
          <w:ilvl w:val="0"/>
          <w:numId w:val="3"/>
        </w:numPr>
        <w:rPr>
          <w:rFonts w:ascii="Wingdings" w:cs="Wingdings" w:eastAsia="Wingdings" w:hAnsi="Wingdings"/>
          <w:sz w:val="15"/>
          <w:szCs w:val="15"/>
          <w:color w:val="auto"/>
        </w:rPr>
      </w:pPr>
      <w:r>
        <w:rPr>
          <w:rFonts w:ascii="Arial" w:cs="Arial" w:eastAsia="Arial" w:hAnsi="Arial"/>
          <w:sz w:val="19"/>
          <w:szCs w:val="19"/>
          <w:b w:val="1"/>
          <w:bCs w:val="1"/>
          <w:i w:val="1"/>
          <w:iCs w:val="1"/>
          <w:color w:val="auto"/>
        </w:rPr>
        <w:t>Real Estate</w:t>
      </w:r>
      <w:r>
        <w:rPr>
          <w:rFonts w:ascii="Arial" w:cs="Arial" w:eastAsia="Arial" w:hAnsi="Arial"/>
          <w:sz w:val="19"/>
          <w:szCs w:val="19"/>
          <w:color w:val="auto"/>
        </w:rPr>
        <w:t>, including real estate development and the rental or licensing of retail, commercial and live</w:t>
      </w:r>
    </w:p>
    <w:p>
      <w:pPr>
        <w:spacing w:after="0" w:line="26" w:lineRule="exact"/>
        <w:rPr>
          <w:rFonts w:ascii="Wingdings" w:cs="Wingdings" w:eastAsia="Wingdings" w:hAnsi="Wingdings"/>
          <w:sz w:val="15"/>
          <w:szCs w:val="15"/>
          <w:color w:val="auto"/>
        </w:rPr>
      </w:pPr>
    </w:p>
    <w:p>
      <w:pPr>
        <w:ind w:left="720" w:right="40"/>
        <w:spacing w:after="0" w:line="237" w:lineRule="auto"/>
        <w:rPr>
          <w:rFonts w:ascii="Wingdings" w:cs="Wingdings" w:eastAsia="Wingdings" w:hAnsi="Wingdings"/>
          <w:sz w:val="15"/>
          <w:szCs w:val="15"/>
          <w:color w:val="auto"/>
        </w:rPr>
      </w:pPr>
      <w:r>
        <w:rPr>
          <w:rFonts w:ascii="Arial" w:cs="Arial" w:eastAsia="Arial" w:hAnsi="Arial"/>
          <w:sz w:val="20"/>
          <w:szCs w:val="20"/>
          <w:color w:val="auto"/>
        </w:rPr>
        <w:t>theatre assets comprised, as of the date of this 2025 Annual Report, of approximately 9,114,000 square feet of land and approximately 429,000 square feet of net rentable area.</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Market and External Impacts on our Cinema Exhibition Business and Our Company’s Responses</w:t>
      </w:r>
    </w:p>
    <w:p>
      <w:pPr>
        <w:spacing w:after="0" w:line="20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We believe that, although the global cinema industry box office was relatively flat for 2025 as compared to 2024, our industry has over the past year demonstrated its resilience and its continuing ability to attract customers looking for an outside the home entertainment experience. The success of releases such as </w:t>
      </w:r>
      <w:r>
        <w:rPr>
          <w:rFonts w:ascii="Arial" w:cs="Arial" w:eastAsia="Arial" w:hAnsi="Arial"/>
          <w:sz w:val="20"/>
          <w:szCs w:val="20"/>
          <w:i w:val="1"/>
          <w:iCs w:val="1"/>
          <w:color w:val="auto"/>
        </w:rPr>
        <w:t>A Minecraft Movie</w:t>
      </w:r>
      <w:r>
        <w:rPr>
          <w:rFonts w:ascii="Arial" w:cs="Arial" w:eastAsia="Arial" w:hAnsi="Arial"/>
          <w:sz w:val="20"/>
          <w:szCs w:val="20"/>
          <w:color w:val="auto"/>
        </w:rPr>
        <w:t xml:space="preserve">, </w:t>
      </w:r>
      <w:r>
        <w:rPr>
          <w:rFonts w:ascii="Arial" w:cs="Arial" w:eastAsia="Arial" w:hAnsi="Arial"/>
          <w:sz w:val="20"/>
          <w:szCs w:val="20"/>
          <w:i w:val="1"/>
          <w:iCs w:val="1"/>
          <w:color w:val="auto"/>
        </w:rPr>
        <w:t>Lilo &amp; Stitch</w:t>
      </w:r>
      <w:r>
        <w:rPr>
          <w:rFonts w:ascii="Arial" w:cs="Arial" w:eastAsia="Arial" w:hAnsi="Arial"/>
          <w:sz w:val="20"/>
          <w:szCs w:val="20"/>
          <w:color w:val="auto"/>
        </w:rPr>
        <w:t xml:space="preserve">, </w:t>
      </w:r>
      <w:r>
        <w:rPr>
          <w:rFonts w:ascii="Arial" w:cs="Arial" w:eastAsia="Arial" w:hAnsi="Arial"/>
          <w:sz w:val="20"/>
          <w:szCs w:val="20"/>
          <w:i w:val="1"/>
          <w:iCs w:val="1"/>
          <w:color w:val="auto"/>
        </w:rPr>
        <w:t>Superman</w:t>
      </w:r>
      <w:r>
        <w:rPr>
          <w:rFonts w:ascii="Arial" w:cs="Arial" w:eastAsia="Arial" w:hAnsi="Arial"/>
          <w:sz w:val="20"/>
          <w:szCs w:val="20"/>
          <w:color w:val="auto"/>
        </w:rPr>
        <w:t>,</w:t>
      </w:r>
      <w:r>
        <w:rPr>
          <w:rFonts w:ascii="Arial" w:cs="Arial" w:eastAsia="Arial" w:hAnsi="Arial"/>
          <w:sz w:val="20"/>
          <w:szCs w:val="20"/>
          <w:i w:val="1"/>
          <w:iCs w:val="1"/>
          <w:color w:val="auto"/>
        </w:rPr>
        <w:t xml:space="preserve"> Jurassic World: Rebirth</w:t>
      </w:r>
      <w:r>
        <w:rPr>
          <w:rFonts w:ascii="Arial" w:cs="Arial" w:eastAsia="Arial" w:hAnsi="Arial"/>
          <w:sz w:val="20"/>
          <w:szCs w:val="20"/>
          <w:color w:val="auto"/>
        </w:rPr>
        <w:t>,</w:t>
      </w:r>
      <w:r>
        <w:rPr>
          <w:rFonts w:ascii="Arial" w:cs="Arial" w:eastAsia="Arial" w:hAnsi="Arial"/>
          <w:sz w:val="20"/>
          <w:szCs w:val="20"/>
          <w:i w:val="1"/>
          <w:iCs w:val="1"/>
          <w:color w:val="auto"/>
        </w:rPr>
        <w:t xml:space="preserve"> Zootopia 2</w:t>
      </w:r>
      <w:r>
        <w:rPr>
          <w:rFonts w:ascii="Arial" w:cs="Arial" w:eastAsia="Arial" w:hAnsi="Arial"/>
          <w:sz w:val="20"/>
          <w:szCs w:val="20"/>
          <w:color w:val="auto"/>
        </w:rPr>
        <w:t>,</w:t>
      </w:r>
      <w:r>
        <w:rPr>
          <w:rFonts w:ascii="Arial" w:cs="Arial" w:eastAsia="Arial" w:hAnsi="Arial"/>
          <w:sz w:val="20"/>
          <w:szCs w:val="20"/>
          <w:i w:val="1"/>
          <w:iCs w:val="1"/>
          <w:color w:val="auto"/>
        </w:rPr>
        <w:t xml:space="preserve"> Wicked: For Good</w:t>
      </w:r>
      <w:r>
        <w:rPr>
          <w:rFonts w:ascii="Arial" w:cs="Arial" w:eastAsia="Arial" w:hAnsi="Arial"/>
          <w:sz w:val="20"/>
          <w:szCs w:val="20"/>
          <w:color w:val="auto"/>
        </w:rPr>
        <w:t>,</w:t>
      </w:r>
      <w:r>
        <w:rPr>
          <w:rFonts w:ascii="Arial" w:cs="Arial" w:eastAsia="Arial" w:hAnsi="Arial"/>
          <w:sz w:val="20"/>
          <w:szCs w:val="20"/>
          <w:i w:val="1"/>
          <w:iCs w:val="1"/>
          <w:color w:val="auto"/>
        </w:rPr>
        <w:t xml:space="preserve"> Sinners</w:t>
      </w:r>
      <w:r>
        <w:rPr>
          <w:rFonts w:ascii="Arial" w:cs="Arial" w:eastAsia="Arial" w:hAnsi="Arial"/>
          <w:sz w:val="20"/>
          <w:szCs w:val="20"/>
          <w:color w:val="auto"/>
        </w:rPr>
        <w:t>, and</w:t>
      </w:r>
      <w:r>
        <w:rPr>
          <w:rFonts w:ascii="Arial" w:cs="Arial" w:eastAsia="Arial" w:hAnsi="Arial"/>
          <w:sz w:val="20"/>
          <w:szCs w:val="20"/>
          <w:i w:val="1"/>
          <w:iCs w:val="1"/>
          <w:color w:val="auto"/>
        </w:rPr>
        <w:t xml:space="preserve"> Avatar: Fire and Ash</w:t>
      </w:r>
      <w:r>
        <w:rPr>
          <w:rFonts w:ascii="Arial" w:cs="Arial" w:eastAsia="Arial" w:hAnsi="Arial"/>
          <w:sz w:val="20"/>
          <w:szCs w:val="20"/>
          <w:color w:val="auto"/>
        </w:rPr>
        <w:t>, together with what we believe is a strong film slate through the end of 2026, make us optimistic about the future</w:t>
      </w:r>
      <w:r>
        <w:rPr>
          <w:rFonts w:ascii="Arial" w:cs="Arial" w:eastAsia="Arial" w:hAnsi="Arial"/>
          <w:sz w:val="20"/>
          <w:szCs w:val="20"/>
          <w:i w:val="1"/>
          <w:iCs w:val="1"/>
          <w:color w:val="auto"/>
        </w:rPr>
        <w:t xml:space="preserve"> </w:t>
      </w:r>
      <w:r>
        <w:rPr>
          <w:rFonts w:ascii="Arial" w:cs="Arial" w:eastAsia="Arial" w:hAnsi="Arial"/>
          <w:sz w:val="20"/>
          <w:szCs w:val="20"/>
          <w:color w:val="auto"/>
        </w:rPr>
        <w:t>of our cinema business.</w:t>
      </w:r>
    </w:p>
    <w:p>
      <w:pPr>
        <w:spacing w:after="0" w:line="155" w:lineRule="exact"/>
        <w:rPr>
          <w:sz w:val="20"/>
          <w:szCs w:val="20"/>
          <w:color w:val="auto"/>
        </w:rPr>
      </w:pPr>
    </w:p>
    <w:p>
      <w:pPr>
        <w:jc w:val="both"/>
        <w:ind w:right="40"/>
        <w:spacing w:after="0" w:line="231" w:lineRule="auto"/>
        <w:rPr>
          <w:sz w:val="20"/>
          <w:szCs w:val="20"/>
          <w:color w:val="auto"/>
        </w:rPr>
      </w:pPr>
      <w:r>
        <w:rPr>
          <w:rFonts w:ascii="Arial" w:cs="Arial" w:eastAsia="Arial" w:hAnsi="Arial"/>
          <w:sz w:val="19"/>
          <w:szCs w:val="19"/>
          <w:color w:val="auto"/>
        </w:rPr>
        <w:t>While the COVID 19 pandemic is substantially behind us, its lasting effects on both the global economy and the cinema industry remain evident. The pandemic had a profound impact on our Company’s operations and significantly strained our liquidity. Beginning in March 2020, government mandates required the temporary closure of all our cinemas and live theatres across the United States, Australia, and New Zealand, resulting in an immediate interruption of cinema revenues and heightened consumer caution towards public entertainment venues. After the start of the pandemic, we were able to negotiate occupancy relief with our cinema landlords. Unfortunately, the recovery from the pandemic was then interrupted by the screen actors and writers strikes of 2023, which materially impacted the movie release schedule. Also, even though we are a micro-cap public company, the U.S. federal government prohibited public companies from receiving any financial support.</w:t>
      </w:r>
    </w:p>
    <w:p>
      <w:pPr>
        <w:spacing w:after="0" w:line="157"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Following the worldwide pandemic and the screen actors and writers strikes, our global cinema operations have faced elevated cost pressures, including legislated increases in labor expenses and higher costs for goods, utilities, and insurance. Our cinemas use a significant amount of electricity and U.S. operations are concentrated in Hawaii and California which have the highest electricity costs in the United States. Labor related changes across have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51</w:t>
      </w:r>
    </w:p>
    <w:p>
      <w:pPr>
        <w:sectPr>
          <w:pgSz w:w="11900" w:h="16838" w:orient="portrait"/>
          <w:cols w:equalWidth="0" w:num="1">
            <w:col w:w="9380"/>
          </w:cols>
          <w:pgMar w:left="1260" w:top="1440" w:right="1266" w:bottom="0" w:gutter="0" w:footer="0" w:header="0"/>
          <w:type w:val="continuous"/>
        </w:sectPr>
      </w:pPr>
    </w:p>
    <w:bookmarkStart w:id="5" w:name="page6"/>
    <w:bookmarkEnd w:id="5"/>
    <w:p>
      <w:pPr>
        <w:jc w:val="both"/>
        <w:spacing w:after="0" w:line="251" w:lineRule="auto"/>
        <w:rPr>
          <w:sz w:val="20"/>
          <w:szCs w:val="20"/>
          <w:color w:val="auto"/>
        </w:rPr>
      </w:pPr>
      <w:r>
        <w:rPr>
          <w:rFonts w:ascii="Arial" w:cs="Arial" w:eastAsia="Arial" w:hAnsi="Arial"/>
          <w:sz w:val="18"/>
          <w:szCs w:val="18"/>
          <w:color w:val="auto"/>
        </w:rPr>
        <w:t>expanded beyond wage rates to include additional leave requirements, revised overtime calculations, and increased compliance and administrative obligations. The Company has partially offset these higher costs through measured adjustments to ticket and food and beverage pricing, while remaining mindful of price sensitivity and demand.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2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 / 51</w:t>
      </w:r>
    </w:p>
    <w:p>
      <w:pPr>
        <w:sectPr>
          <w:pgSz w:w="11900" w:h="16838" w:orient="portrait"/>
          <w:cols w:equalWidth="0" w:num="1">
            <w:col w:w="9340"/>
          </w:cols>
          <w:pgMar w:left="1260" w:top="1128" w:right="1306" w:bottom="0" w:gutter="0" w:footer="0" w:header="0"/>
          <w:type w:val="continuous"/>
        </w:sectPr>
      </w:pPr>
    </w:p>
    <w:bookmarkStart w:id="6" w:name="page7"/>
    <w:bookmarkEnd w:id="6"/>
    <w:p>
      <w:pPr>
        <w:jc w:val="both"/>
        <w:ind w:right="60"/>
        <w:spacing w:after="0" w:line="221" w:lineRule="auto"/>
        <w:rPr>
          <w:sz w:val="20"/>
          <w:szCs w:val="20"/>
          <w:color w:val="auto"/>
        </w:rPr>
      </w:pPr>
      <w:r>
        <w:rPr>
          <w:rFonts w:ascii="Arial" w:cs="Arial" w:eastAsia="Arial" w:hAnsi="Arial"/>
          <w:sz w:val="20"/>
          <w:szCs w:val="20"/>
          <w:color w:val="auto"/>
        </w:rPr>
        <w:t>To address liquidity pressures, the Company undertook a range of actions focused on strengthening its financial position, including monetizing certain of our real estate holdings, working with lenders to extend loan terms and obtain covenant relief, exiting unprofitable cinema locations, negotiating rent abatements and deferrals with landlords, and cutting back anticipated capital expenditures.</w:t>
      </w:r>
    </w:p>
    <w:p>
      <w:pPr>
        <w:spacing w:after="0" w:line="153"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auto"/>
        </w:rPr>
        <w:t>We have taken meaningful steps to run our theatres more efficiently while strengthening cinema level profitability, and this progress was evident when we last year achieved record food and beverage spend per guest across our circuit. Alcohol is now available at all of our domestic U.S. locations and at most theatres in Australia and New Zealand. The continued growth of mobile ticketing and mobile concession ordering has made purchasing easier for guests, increased concession sales, and allowed us to operate with leaner staffing levels without diminishing the overall moviegoing experience.</w:t>
      </w:r>
    </w:p>
    <w:p>
      <w:pPr>
        <w:spacing w:after="0" w:line="155" w:lineRule="exact"/>
        <w:rPr>
          <w:sz w:val="20"/>
          <w:szCs w:val="20"/>
          <w:color w:val="auto"/>
        </w:rPr>
      </w:pPr>
    </w:p>
    <w:p>
      <w:pPr>
        <w:jc w:val="both"/>
        <w:ind w:right="60"/>
        <w:spacing w:after="0" w:line="224" w:lineRule="auto"/>
        <w:rPr>
          <w:sz w:val="20"/>
          <w:szCs w:val="20"/>
          <w:color w:val="auto"/>
        </w:rPr>
      </w:pPr>
      <w:r>
        <w:rPr>
          <w:rFonts w:ascii="Arial" w:cs="Arial" w:eastAsia="Arial" w:hAnsi="Arial"/>
          <w:sz w:val="20"/>
          <w:szCs w:val="20"/>
          <w:color w:val="auto"/>
        </w:rPr>
        <w:t>Since 2020, we have wound up our business at eight (8) cinemas. All had negative cash flow during the year of closing. All but one had negative cash flow since the onset of the Pandemic.</w:t>
      </w:r>
    </w:p>
    <w:p>
      <w:pPr>
        <w:spacing w:after="0" w:line="154"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 xml:space="preserve">Following a slow first quarter of 2025 at the box office, we began to observe improved box office trends in April 2025, supported by releases such as </w:t>
      </w:r>
      <w:r>
        <w:rPr>
          <w:rFonts w:ascii="Arial" w:cs="Arial" w:eastAsia="Arial" w:hAnsi="Arial"/>
          <w:sz w:val="19"/>
          <w:szCs w:val="19"/>
          <w:i w:val="1"/>
          <w:iCs w:val="1"/>
          <w:color w:val="auto"/>
        </w:rPr>
        <w:t>A Minecraft Movie</w:t>
      </w:r>
      <w:r>
        <w:rPr>
          <w:rFonts w:ascii="Arial" w:cs="Arial" w:eastAsia="Arial" w:hAnsi="Arial"/>
          <w:sz w:val="19"/>
          <w:szCs w:val="19"/>
          <w:color w:val="auto"/>
        </w:rPr>
        <w:t xml:space="preserve"> ($961 million) and </w:t>
      </w:r>
      <w:r>
        <w:rPr>
          <w:rFonts w:ascii="Arial" w:cs="Arial" w:eastAsia="Arial" w:hAnsi="Arial"/>
          <w:sz w:val="19"/>
          <w:szCs w:val="19"/>
          <w:i w:val="1"/>
          <w:iCs w:val="1"/>
          <w:color w:val="auto"/>
        </w:rPr>
        <w:t>Sinners</w:t>
      </w:r>
      <w:r>
        <w:rPr>
          <w:rFonts w:ascii="Arial" w:cs="Arial" w:eastAsia="Arial" w:hAnsi="Arial"/>
          <w:sz w:val="19"/>
          <w:szCs w:val="19"/>
          <w:color w:val="auto"/>
        </w:rPr>
        <w:t xml:space="preserve"> ($370 million). Performance remained relatively consistent throughout the year with the release of several higher-grossing titles, including </w:t>
      </w:r>
      <w:r>
        <w:rPr>
          <w:rFonts w:ascii="Arial" w:cs="Arial" w:eastAsia="Arial" w:hAnsi="Arial"/>
          <w:sz w:val="19"/>
          <w:szCs w:val="19"/>
          <w:i w:val="1"/>
          <w:iCs w:val="1"/>
          <w:color w:val="auto"/>
        </w:rPr>
        <w:t>Lilo &amp;</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Stitch </w:t>
      </w:r>
      <w:r>
        <w:rPr>
          <w:rFonts w:ascii="Arial" w:cs="Arial" w:eastAsia="Arial" w:hAnsi="Arial"/>
          <w:sz w:val="19"/>
          <w:szCs w:val="19"/>
          <w:color w:val="auto"/>
        </w:rPr>
        <w:t>($1.0 billion),</w:t>
      </w:r>
      <w:r>
        <w:rPr>
          <w:rFonts w:ascii="Arial" w:cs="Arial" w:eastAsia="Arial" w:hAnsi="Arial"/>
          <w:sz w:val="19"/>
          <w:szCs w:val="19"/>
          <w:i w:val="1"/>
          <w:iCs w:val="1"/>
          <w:color w:val="auto"/>
        </w:rPr>
        <w:t xml:space="preserve"> Superman </w:t>
      </w:r>
      <w:r>
        <w:rPr>
          <w:rFonts w:ascii="Arial" w:cs="Arial" w:eastAsia="Arial" w:hAnsi="Arial"/>
          <w:sz w:val="19"/>
          <w:szCs w:val="19"/>
          <w:color w:val="auto"/>
        </w:rPr>
        <w:t>($618 million),</w:t>
      </w:r>
      <w:r>
        <w:rPr>
          <w:rFonts w:ascii="Arial" w:cs="Arial" w:eastAsia="Arial" w:hAnsi="Arial"/>
          <w:sz w:val="19"/>
          <w:szCs w:val="19"/>
          <w:i w:val="1"/>
          <w:iCs w:val="1"/>
          <w:color w:val="auto"/>
        </w:rPr>
        <w:t xml:space="preserve"> Jurassic World: Rebirth </w:t>
      </w:r>
      <w:r>
        <w:rPr>
          <w:rFonts w:ascii="Arial" w:cs="Arial" w:eastAsia="Arial" w:hAnsi="Arial"/>
          <w:sz w:val="19"/>
          <w:szCs w:val="19"/>
          <w:color w:val="auto"/>
        </w:rPr>
        <w:t>($869 million), and</w:t>
      </w:r>
      <w:r>
        <w:rPr>
          <w:rFonts w:ascii="Arial" w:cs="Arial" w:eastAsia="Arial" w:hAnsi="Arial"/>
          <w:sz w:val="19"/>
          <w:szCs w:val="19"/>
          <w:i w:val="1"/>
          <w:iCs w:val="1"/>
          <w:color w:val="auto"/>
        </w:rPr>
        <w:t xml:space="preserve"> The Fantastic Four: First Steps </w:t>
      </w:r>
      <w:r>
        <w:rPr>
          <w:rFonts w:ascii="Arial" w:cs="Arial" w:eastAsia="Arial" w:hAnsi="Arial"/>
          <w:sz w:val="19"/>
          <w:szCs w:val="19"/>
          <w:color w:val="auto"/>
        </w:rPr>
        <w:t>($522 million). And, while the industry delivered certain strong movies in the fourth quarter 2025,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 </w:t>
      </w:r>
      <w:r>
        <w:rPr>
          <w:rFonts w:ascii="Arial" w:cs="Arial" w:eastAsia="Arial" w:hAnsi="Arial"/>
          <w:sz w:val="19"/>
          <w:szCs w:val="19"/>
          <w:i w:val="1"/>
          <w:iCs w:val="1"/>
          <w:color w:val="auto"/>
        </w:rPr>
        <w:t>Wicked: For Good</w:t>
      </w:r>
      <w:r>
        <w:rPr>
          <w:rFonts w:ascii="Arial" w:cs="Arial" w:eastAsia="Arial" w:hAnsi="Arial"/>
          <w:sz w:val="19"/>
          <w:szCs w:val="19"/>
          <w:color w:val="auto"/>
        </w:rPr>
        <w:t xml:space="preserve"> ($526 million), </w:t>
      </w:r>
      <w:r>
        <w:rPr>
          <w:rFonts w:ascii="Arial" w:cs="Arial" w:eastAsia="Arial" w:hAnsi="Arial"/>
          <w:sz w:val="19"/>
          <w:szCs w:val="19"/>
          <w:i w:val="1"/>
          <w:iCs w:val="1"/>
          <w:color w:val="auto"/>
        </w:rPr>
        <w:t>Zootopia 2</w:t>
      </w:r>
      <w:r>
        <w:rPr>
          <w:rFonts w:ascii="Arial" w:cs="Arial" w:eastAsia="Arial" w:hAnsi="Arial"/>
          <w:sz w:val="19"/>
          <w:szCs w:val="19"/>
          <w:color w:val="auto"/>
        </w:rPr>
        <w:t xml:space="preserve"> ($1.9 billion), and </w:t>
      </w:r>
      <w:r>
        <w:rPr>
          <w:rFonts w:ascii="Arial" w:cs="Arial" w:eastAsia="Arial" w:hAnsi="Arial"/>
          <w:sz w:val="19"/>
          <w:szCs w:val="19"/>
          <w:i w:val="1"/>
          <w:iCs w:val="1"/>
          <w:color w:val="auto"/>
        </w:rPr>
        <w:t>Avatar: Fire and Ash</w:t>
      </w:r>
      <w:r>
        <w:rPr>
          <w:rFonts w:ascii="Arial" w:cs="Arial" w:eastAsia="Arial" w:hAnsi="Arial"/>
          <w:sz w:val="19"/>
          <w:szCs w:val="19"/>
          <w:color w:val="auto"/>
        </w:rPr>
        <w:t xml:space="preserve"> ($1.5 billion), the quarterly result could not match the strength of the film slate delivered in the fourth quarter 2024. Looking ahead, audiences are expected to return for a robust slate of highly anticipated upcoming releases in 2026, including </w:t>
      </w:r>
      <w:r>
        <w:rPr>
          <w:rFonts w:ascii="Arial" w:cs="Arial" w:eastAsia="Arial" w:hAnsi="Arial"/>
          <w:sz w:val="19"/>
          <w:szCs w:val="19"/>
          <w:i w:val="1"/>
          <w:iCs w:val="1"/>
          <w:color w:val="auto"/>
        </w:rPr>
        <w:t>The Super Mario</w:t>
      </w:r>
      <w:r>
        <w:rPr>
          <w:rFonts w:ascii="Arial" w:cs="Arial" w:eastAsia="Arial" w:hAnsi="Arial"/>
          <w:sz w:val="19"/>
          <w:szCs w:val="19"/>
          <w:color w:val="auto"/>
        </w:rPr>
        <w:t xml:space="preserve"> </w:t>
      </w:r>
      <w:r>
        <w:rPr>
          <w:rFonts w:ascii="Arial" w:cs="Arial" w:eastAsia="Arial" w:hAnsi="Arial"/>
          <w:sz w:val="19"/>
          <w:szCs w:val="19"/>
          <w:i w:val="1"/>
          <w:iCs w:val="1"/>
          <w:color w:val="auto"/>
        </w:rPr>
        <w:t>Galaxy Movie</w:t>
      </w:r>
      <w:r>
        <w:rPr>
          <w:rFonts w:ascii="Arial" w:cs="Arial" w:eastAsia="Arial" w:hAnsi="Arial"/>
          <w:sz w:val="19"/>
          <w:szCs w:val="19"/>
          <w:color w:val="auto"/>
        </w:rPr>
        <w:t>,</w:t>
      </w:r>
      <w:r>
        <w:rPr>
          <w:rFonts w:ascii="Arial" w:cs="Arial" w:eastAsia="Arial" w:hAnsi="Arial"/>
          <w:sz w:val="19"/>
          <w:szCs w:val="19"/>
          <w:i w:val="1"/>
          <w:iCs w:val="1"/>
          <w:color w:val="auto"/>
        </w:rPr>
        <w:t xml:space="preserve"> The Devil Wears Prada 2</w:t>
      </w:r>
      <w:r>
        <w:rPr>
          <w:rFonts w:ascii="Arial" w:cs="Arial" w:eastAsia="Arial" w:hAnsi="Arial"/>
          <w:sz w:val="19"/>
          <w:szCs w:val="19"/>
          <w:color w:val="auto"/>
        </w:rPr>
        <w:t>,</w:t>
      </w:r>
      <w:r>
        <w:rPr>
          <w:rFonts w:ascii="Arial" w:cs="Arial" w:eastAsia="Arial" w:hAnsi="Arial"/>
          <w:sz w:val="19"/>
          <w:szCs w:val="19"/>
          <w:i w:val="1"/>
          <w:iCs w:val="1"/>
          <w:color w:val="auto"/>
        </w:rPr>
        <w:t xml:space="preserve"> Toy Story 5</w:t>
      </w:r>
      <w:r>
        <w:rPr>
          <w:rFonts w:ascii="Arial" w:cs="Arial" w:eastAsia="Arial" w:hAnsi="Arial"/>
          <w:sz w:val="19"/>
          <w:szCs w:val="19"/>
          <w:color w:val="auto"/>
        </w:rPr>
        <w:t>,</w:t>
      </w:r>
      <w:r>
        <w:rPr>
          <w:rFonts w:ascii="Arial" w:cs="Arial" w:eastAsia="Arial" w:hAnsi="Arial"/>
          <w:sz w:val="19"/>
          <w:szCs w:val="19"/>
          <w:i w:val="1"/>
          <w:iCs w:val="1"/>
          <w:color w:val="auto"/>
        </w:rPr>
        <w:t xml:space="preserve"> Supergirl</w:t>
      </w:r>
      <w:r>
        <w:rPr>
          <w:rFonts w:ascii="Arial" w:cs="Arial" w:eastAsia="Arial" w:hAnsi="Arial"/>
          <w:sz w:val="19"/>
          <w:szCs w:val="19"/>
          <w:color w:val="auto"/>
        </w:rPr>
        <w:t>,</w:t>
      </w:r>
      <w:r>
        <w:rPr>
          <w:rFonts w:ascii="Arial" w:cs="Arial" w:eastAsia="Arial" w:hAnsi="Arial"/>
          <w:sz w:val="19"/>
          <w:szCs w:val="19"/>
          <w:i w:val="1"/>
          <w:iCs w:val="1"/>
          <w:color w:val="auto"/>
        </w:rPr>
        <w:t xml:space="preserve"> Minions 3</w:t>
      </w:r>
      <w:r>
        <w:rPr>
          <w:rFonts w:ascii="Arial" w:cs="Arial" w:eastAsia="Arial" w:hAnsi="Arial"/>
          <w:sz w:val="19"/>
          <w:szCs w:val="19"/>
          <w:color w:val="auto"/>
        </w:rPr>
        <w:t>,</w:t>
      </w:r>
      <w:r>
        <w:rPr>
          <w:rFonts w:ascii="Arial" w:cs="Arial" w:eastAsia="Arial" w:hAnsi="Arial"/>
          <w:sz w:val="19"/>
          <w:szCs w:val="19"/>
          <w:i w:val="1"/>
          <w:iCs w:val="1"/>
          <w:color w:val="auto"/>
        </w:rPr>
        <w:t xml:space="preserve"> Moana</w:t>
      </w:r>
      <w:r>
        <w:rPr>
          <w:rFonts w:ascii="Arial" w:cs="Arial" w:eastAsia="Arial" w:hAnsi="Arial"/>
          <w:sz w:val="19"/>
          <w:szCs w:val="19"/>
          <w:color w:val="auto"/>
        </w:rPr>
        <w:t>,</w:t>
      </w:r>
      <w:r>
        <w:rPr>
          <w:rFonts w:ascii="Arial" w:cs="Arial" w:eastAsia="Arial" w:hAnsi="Arial"/>
          <w:sz w:val="19"/>
          <w:szCs w:val="19"/>
          <w:i w:val="1"/>
          <w:iCs w:val="1"/>
          <w:color w:val="auto"/>
        </w:rPr>
        <w:t xml:space="preserve"> The Odyssey</w:t>
      </w:r>
      <w:r>
        <w:rPr>
          <w:rFonts w:ascii="Arial" w:cs="Arial" w:eastAsia="Arial" w:hAnsi="Arial"/>
          <w:sz w:val="19"/>
          <w:szCs w:val="19"/>
          <w:color w:val="auto"/>
        </w:rPr>
        <w:t>,</w:t>
      </w:r>
      <w:r>
        <w:rPr>
          <w:rFonts w:ascii="Arial" w:cs="Arial" w:eastAsia="Arial" w:hAnsi="Arial"/>
          <w:sz w:val="19"/>
          <w:szCs w:val="19"/>
          <w:i w:val="1"/>
          <w:iCs w:val="1"/>
          <w:color w:val="auto"/>
        </w:rPr>
        <w:t xml:space="preserve"> Spider Man: Brand New Day</w:t>
      </w:r>
      <w:r>
        <w:rPr>
          <w:rFonts w:ascii="Arial" w:cs="Arial" w:eastAsia="Arial" w:hAnsi="Arial"/>
          <w:sz w:val="19"/>
          <w:szCs w:val="19"/>
          <w:color w:val="auto"/>
        </w:rPr>
        <w:t>,</w:t>
      </w:r>
      <w:r>
        <w:rPr>
          <w:rFonts w:ascii="Arial" w:cs="Arial" w:eastAsia="Arial" w:hAnsi="Arial"/>
          <w:sz w:val="19"/>
          <w:szCs w:val="19"/>
          <w:i w:val="1"/>
          <w:iCs w:val="1"/>
          <w:color w:val="auto"/>
        </w:rPr>
        <w:t xml:space="preserve"> The Cat in the Hat</w:t>
      </w:r>
      <w:r>
        <w:rPr>
          <w:rFonts w:ascii="Arial" w:cs="Arial" w:eastAsia="Arial" w:hAnsi="Arial"/>
          <w:sz w:val="19"/>
          <w:szCs w:val="19"/>
          <w:color w:val="auto"/>
        </w:rPr>
        <w:t>,</w:t>
      </w:r>
      <w:r>
        <w:rPr>
          <w:rFonts w:ascii="Arial" w:cs="Arial" w:eastAsia="Arial" w:hAnsi="Arial"/>
          <w:sz w:val="19"/>
          <w:szCs w:val="19"/>
          <w:i w:val="1"/>
          <w:iCs w:val="1"/>
          <w:color w:val="auto"/>
        </w:rPr>
        <w:t xml:space="preserve"> Avengers: Doomsday</w:t>
      </w:r>
      <w:r>
        <w:rPr>
          <w:rFonts w:ascii="Arial" w:cs="Arial" w:eastAsia="Arial" w:hAnsi="Arial"/>
          <w:sz w:val="19"/>
          <w:szCs w:val="19"/>
          <w:color w:val="auto"/>
        </w:rPr>
        <w:t>, and</w:t>
      </w:r>
      <w:r>
        <w:rPr>
          <w:rFonts w:ascii="Arial" w:cs="Arial" w:eastAsia="Arial" w:hAnsi="Arial"/>
          <w:sz w:val="19"/>
          <w:szCs w:val="19"/>
          <w:i w:val="1"/>
          <w:iCs w:val="1"/>
          <w:color w:val="auto"/>
        </w:rPr>
        <w:t xml:space="preserve"> Dune: Part Three</w:t>
      </w:r>
      <w:r>
        <w:rPr>
          <w:rFonts w:ascii="Arial" w:cs="Arial" w:eastAsia="Arial" w:hAnsi="Arial"/>
          <w:sz w:val="19"/>
          <w:szCs w:val="19"/>
          <w:color w:val="auto"/>
        </w:rPr>
        <w:t>, further supporting the continued</w:t>
      </w:r>
      <w:r>
        <w:rPr>
          <w:rFonts w:ascii="Arial" w:cs="Arial" w:eastAsia="Arial" w:hAnsi="Arial"/>
          <w:sz w:val="19"/>
          <w:szCs w:val="19"/>
          <w:i w:val="1"/>
          <w:iCs w:val="1"/>
          <w:color w:val="auto"/>
        </w:rPr>
        <w:t xml:space="preserve"> </w:t>
      </w:r>
      <w:r>
        <w:rPr>
          <w:rFonts w:ascii="Arial" w:cs="Arial" w:eastAsia="Arial" w:hAnsi="Arial"/>
          <w:sz w:val="19"/>
          <w:szCs w:val="19"/>
          <w:color w:val="auto"/>
        </w:rPr>
        <w:t>recovery and long term strength of the cinema industry.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Development and Operation of our Real Estate Business and Selective Monetization Strategies</w:t>
      </w:r>
    </w:p>
    <w:p>
      <w:pPr>
        <w:spacing w:after="0" w:line="209"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auto"/>
        </w:rPr>
        <w:t>Our real estate assets continue to perform, and while we have monetized a number of our fee interests to meet recent economic challenges, we continue to regard our real estate operations as key to the development of long term stockholder value. We have been strategic in our monetization decisions principally selling either non-income producing assets previously held for development or assets which had reached their maximum value, absent the investment of significant additional capital. We have not engaged in fire sale dispositions or turned over any properties to lenders.</w:t>
      </w:r>
    </w:p>
    <w:p>
      <w:pPr>
        <w:spacing w:after="0" w:line="15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color w:val="auto"/>
        </w:rPr>
        <w:t>Between 2021 and 2025, our real estate monetizations have generated $197.5 million in net cash, which enabled us to reduce debt by $99.9 million, invest $32.4 million in capital improvements, and continue to support operations, retain key employees and stabilize our workforce. In early 2024, as our need for administrative space declined, we sold our administrative building in Culver City, California for $10.0 million, generating approximately $1.3 million in net cash (after paying off our mortgage, brokerage commissions and transactional fees). We are currently reviewing our need for replacement of office space, focusing on leasing opportunities. Looking ahead, we expect additional cash will be required through 2026 as the global film release schedule continues to stabilize following the lasting impacts of the pandemic and the 2023 Hollywood strikes and as deferred rent obligations are to be repaid and debt is to be reduced. In addition to working with existing lenders, we believe certain real estate assets can provide an additional source of liquidity. While the amounts that may be generated from future dispositions cannot be predicted with certainty, management believes that, based on independent valuations and past successful asset sales, sufficient funds can be raised to meet expected liquidity needs.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At our 44 Union Square property in New York, Petco Animal Supplies Stores. Inc (“Petco”) continues to occupy the cellar, ground, and second floors under a long-term lease on a full rent-paying basis, while we actively market the remaining space through our newly appointed leasing agent, Newmark. We are seeing improving demand within the Union Square submarket. Regarding Australia and New Zealand, we completed two significant asset monetization’s during the first half of 2025. On January 31, 2025, we sold our Wellington, New Zealand properties for $21.5 million (NZ$38.0 million) and entered into an ATL for the cinema component of that upgraded Courtenay Central building. On May 21, 2025, we sold our Cannon Park properties in Townsville, Queensland for $20.7 million (AU$32.0 million), while retaining the cinema leasehold. Proceeds from these transactions were used, in part, to pay approximately $32.1 million of debt. In our Australia and New Zealand real estate assets, our third party, non-cinema rental space is approximately 98% leased, with tenants paying full rent.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4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51</w:t>
      </w:r>
    </w:p>
    <w:p>
      <w:pPr>
        <w:sectPr>
          <w:pgSz w:w="11900" w:h="16838" w:orient="portrait"/>
          <w:cols w:equalWidth="0" w:num="1">
            <w:col w:w="9380"/>
          </w:cols>
          <w:pgMar w:left="1260" w:top="1344" w:right="1266" w:bottom="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OUR COMMERCIAL BRANDS</w:t>
      </w:r>
    </w:p>
    <w:p>
      <w:pPr>
        <w:spacing w:after="0" w:line="225" w:lineRule="auto"/>
        <w:rPr>
          <w:sz w:val="20"/>
          <w:szCs w:val="20"/>
          <w:color w:val="auto"/>
        </w:rPr>
      </w:pPr>
      <w:r>
        <w:rPr>
          <w:rFonts w:ascii="Arial" w:cs="Arial" w:eastAsia="Arial" w:hAnsi="Arial"/>
          <w:sz w:val="20"/>
          <w:szCs w:val="20"/>
          <w:color w:val="auto"/>
        </w:rPr>
        <w:t>Set forth below is a brief description of the various brands under which we organize our business operations: We are the sole owner worldwide of the “ANGELIKA” trademark and trade dress for motion picture and entertainment purposes.</w:t>
      </w:r>
    </w:p>
    <w:p>
      <w:pPr>
        <w:jc w:val="center"/>
        <w:ind w:right="-79"/>
        <w:spacing w:after="0" w:line="231" w:lineRule="auto"/>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33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 / 51</w:t>
      </w:r>
    </w:p>
    <w:p>
      <w:pPr>
        <w:sectPr>
          <w:pgSz w:w="11900" w:h="16838" w:orient="portrait"/>
          <w:cols w:equalWidth="0" w:num="1">
            <w:col w:w="9300"/>
          </w:cols>
          <w:pgMar w:left="1260" w:top="1333" w:right="1346"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160" w:type="dxa"/>
            <w:vAlign w:val="bottom"/>
          </w:tcPr>
          <w:p>
            <w:pPr>
              <w:jc w:val="center"/>
              <w:ind w:right="160"/>
              <w:spacing w:after="0"/>
              <w:rPr>
                <w:sz w:val="20"/>
                <w:szCs w:val="20"/>
                <w:color w:val="auto"/>
              </w:rPr>
            </w:pPr>
            <w:r>
              <w:rPr>
                <w:rFonts w:ascii="Arial" w:cs="Arial" w:eastAsia="Arial" w:hAnsi="Arial"/>
                <w:sz w:val="16"/>
                <w:szCs w:val="16"/>
                <w:b w:val="1"/>
                <w:bCs w:val="1"/>
                <w:color w:val="auto"/>
                <w:w w:val="84"/>
              </w:rPr>
              <w:t>Business</w:t>
            </w:r>
          </w:p>
        </w:tc>
        <w:tc>
          <w:tcPr>
            <w:tcW w:w="2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ind w:right="160"/>
              <w:spacing w:after="0" w:line="173" w:lineRule="exact"/>
              <w:rPr>
                <w:sz w:val="20"/>
                <w:szCs w:val="20"/>
                <w:color w:val="auto"/>
              </w:rPr>
            </w:pPr>
            <w:r>
              <w:rPr>
                <w:rFonts w:ascii="Arial" w:cs="Arial" w:eastAsia="Arial" w:hAnsi="Arial"/>
                <w:sz w:val="16"/>
                <w:szCs w:val="16"/>
                <w:b w:val="1"/>
                <w:bCs w:val="1"/>
                <w:color w:val="auto"/>
                <w:w w:val="88"/>
              </w:rPr>
              <w:t>Segment /</w:t>
            </w:r>
          </w:p>
        </w:tc>
        <w:tc>
          <w:tcPr>
            <w:tcW w:w="2240" w:type="dxa"/>
            <w:vAlign w:val="bottom"/>
          </w:tcPr>
          <w:p>
            <w:pPr>
              <w:ind w:left="280"/>
              <w:spacing w:after="0" w:line="173" w:lineRule="exact"/>
              <w:rPr>
                <w:sz w:val="20"/>
                <w:szCs w:val="20"/>
                <w:color w:val="auto"/>
              </w:rPr>
            </w:pPr>
            <w:r>
              <w:rPr>
                <w:rFonts w:ascii="Arial" w:cs="Arial" w:eastAsia="Arial" w:hAnsi="Arial"/>
                <w:sz w:val="16"/>
                <w:szCs w:val="16"/>
                <w:b w:val="1"/>
                <w:bCs w:val="1"/>
                <w:color w:val="auto"/>
              </w:rPr>
              <w:t>Our Commercial Brands</w:t>
            </w:r>
          </w:p>
        </w:tc>
        <w:tc>
          <w:tcPr>
            <w:tcW w:w="1180" w:type="dxa"/>
            <w:vAlign w:val="bottom"/>
          </w:tcPr>
          <w:p>
            <w:pPr>
              <w:jc w:val="center"/>
              <w:ind w:left="160"/>
              <w:spacing w:after="0" w:line="173" w:lineRule="exact"/>
              <w:rPr>
                <w:sz w:val="20"/>
                <w:szCs w:val="20"/>
                <w:color w:val="auto"/>
              </w:rPr>
            </w:pPr>
            <w:r>
              <w:rPr>
                <w:rFonts w:ascii="Arial" w:cs="Arial" w:eastAsia="Arial" w:hAnsi="Arial"/>
                <w:sz w:val="16"/>
                <w:szCs w:val="16"/>
                <w:b w:val="1"/>
                <w:bCs w:val="1"/>
                <w:color w:val="auto"/>
                <w:w w:val="94"/>
              </w:rPr>
              <w:t>Country</w:t>
            </w:r>
          </w:p>
        </w:tc>
        <w:tc>
          <w:tcPr>
            <w:tcW w:w="720" w:type="dxa"/>
            <w:vAlign w:val="bottom"/>
          </w:tcPr>
          <w:p>
            <w:pPr>
              <w:spacing w:after="0"/>
              <w:rPr>
                <w:sz w:val="15"/>
                <w:szCs w:val="15"/>
                <w:color w:val="auto"/>
              </w:rPr>
            </w:pPr>
          </w:p>
        </w:tc>
        <w:tc>
          <w:tcPr>
            <w:tcW w:w="1360" w:type="dxa"/>
            <w:vAlign w:val="bottom"/>
          </w:tcPr>
          <w:p>
            <w:pPr>
              <w:ind w:left="560"/>
              <w:spacing w:after="0" w:line="173" w:lineRule="exact"/>
              <w:rPr>
                <w:sz w:val="20"/>
                <w:szCs w:val="20"/>
                <w:color w:val="auto"/>
              </w:rPr>
            </w:pPr>
            <w:r>
              <w:rPr>
                <w:rFonts w:ascii="Arial" w:cs="Arial" w:eastAsia="Arial" w:hAnsi="Arial"/>
                <w:sz w:val="16"/>
                <w:szCs w:val="16"/>
                <w:b w:val="1"/>
                <w:bCs w:val="1"/>
                <w:color w:val="auto"/>
                <w:w w:val="88"/>
              </w:rPr>
              <w:t>Description</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tcPr>
          <w:p>
            <w:pPr>
              <w:jc w:val="center"/>
              <w:ind w:right="20"/>
              <w:spacing w:after="0" w:line="173" w:lineRule="exact"/>
              <w:rPr>
                <w:sz w:val="20"/>
                <w:szCs w:val="20"/>
                <w:color w:val="auto"/>
              </w:rPr>
            </w:pPr>
            <w:r>
              <w:rPr>
                <w:rFonts w:ascii="Arial" w:cs="Arial" w:eastAsia="Arial" w:hAnsi="Arial"/>
                <w:sz w:val="16"/>
                <w:szCs w:val="16"/>
                <w:b w:val="1"/>
                <w:bCs w:val="1"/>
                <w:color w:val="auto"/>
                <w:w w:val="91"/>
              </w:rPr>
              <w:t>Website Link</w:t>
            </w:r>
          </w:p>
        </w:tc>
        <w:tc>
          <w:tcPr>
            <w:tcW w:w="0" w:type="dxa"/>
            <w:vAlign w:val="bottom"/>
          </w:tcPr>
          <w:p>
            <w:pPr>
              <w:spacing w:after="0"/>
              <w:rPr>
                <w:sz w:val="1"/>
                <w:szCs w:val="1"/>
                <w:color w:val="auto"/>
              </w:rPr>
            </w:pPr>
          </w:p>
        </w:tc>
      </w:tr>
      <w:tr>
        <w:trPr>
          <w:trHeight w:val="173"/>
        </w:trPr>
        <w:tc>
          <w:tcPr>
            <w:tcW w:w="1160" w:type="dxa"/>
            <w:vAlign w:val="bottom"/>
          </w:tcPr>
          <w:p>
            <w:pPr>
              <w:jc w:val="center"/>
              <w:ind w:right="100"/>
              <w:spacing w:after="0" w:line="173" w:lineRule="exact"/>
              <w:rPr>
                <w:sz w:val="20"/>
                <w:szCs w:val="20"/>
                <w:color w:val="auto"/>
              </w:rPr>
            </w:pPr>
            <w:r>
              <w:rPr>
                <w:rFonts w:ascii="Arial" w:cs="Arial" w:eastAsia="Arial" w:hAnsi="Arial"/>
                <w:sz w:val="16"/>
                <w:szCs w:val="16"/>
                <w:b w:val="1"/>
                <w:bCs w:val="1"/>
                <w:color w:val="auto"/>
                <w:w w:val="96"/>
              </w:rPr>
              <w:t>Unit</w:t>
            </w: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line="173" w:lineRule="exact"/>
              <w:rPr>
                <w:sz w:val="20"/>
                <w:szCs w:val="20"/>
                <w:color w:val="auto"/>
              </w:rPr>
            </w:pPr>
            <w:r>
              <w:rPr>
                <w:rFonts w:ascii="Arial" w:cs="Arial" w:eastAsia="Arial" w:hAnsi="Arial"/>
                <w:sz w:val="16"/>
                <w:szCs w:val="16"/>
                <w:b w:val="1"/>
                <w:bCs w:val="1"/>
                <w:color w:val="auto"/>
              </w:rPr>
              <w:t>Cinema</w:t>
            </w:r>
          </w:p>
        </w:tc>
        <w:tc>
          <w:tcPr>
            <w:tcW w:w="2240" w:type="dxa"/>
            <w:vAlign w:val="bottom"/>
          </w:tcPr>
          <w:p>
            <w:pPr>
              <w:spacing w:after="0"/>
              <w:rPr>
                <w:sz w:val="15"/>
                <w:szCs w:val="15"/>
                <w:color w:val="auto"/>
              </w:rPr>
            </w:pPr>
          </w:p>
        </w:tc>
        <w:tc>
          <w:tcPr>
            <w:tcW w:w="1180" w:type="dxa"/>
            <w:vAlign w:val="bottom"/>
          </w:tcPr>
          <w:p>
            <w:pPr>
              <w:jc w:val="center"/>
              <w:ind w:left="120"/>
              <w:spacing w:after="0" w:line="173" w:lineRule="exact"/>
              <w:rPr>
                <w:sz w:val="20"/>
                <w:szCs w:val="20"/>
                <w:color w:val="auto"/>
              </w:rPr>
            </w:pPr>
            <w:r>
              <w:rPr>
                <w:rFonts w:ascii="Arial" w:cs="Arial" w:eastAsia="Arial" w:hAnsi="Arial"/>
                <w:sz w:val="16"/>
                <w:szCs w:val="16"/>
                <w:color w:val="auto"/>
                <w:w w:val="89"/>
              </w:rPr>
              <w:t>United States</w:t>
            </w:r>
          </w:p>
        </w:tc>
        <w:tc>
          <w:tcPr>
            <w:tcW w:w="3320" w:type="dxa"/>
            <w:vAlign w:val="bottom"/>
            <w:gridSpan w:val="4"/>
          </w:tcPr>
          <w:p>
            <w:pPr>
              <w:ind w:left="60"/>
              <w:spacing w:after="0" w:line="173" w:lineRule="exact"/>
              <w:rPr>
                <w:sz w:val="20"/>
                <w:szCs w:val="20"/>
                <w:color w:val="auto"/>
              </w:rPr>
            </w:pPr>
            <w:r>
              <w:rPr>
                <w:rFonts w:ascii="Arial" w:cs="Arial" w:eastAsia="Arial" w:hAnsi="Arial"/>
                <w:sz w:val="16"/>
                <w:szCs w:val="16"/>
                <w:color w:val="auto"/>
                <w:w w:val="91"/>
              </w:rPr>
              <w:t xml:space="preserve">Our </w:t>
            </w:r>
            <w:r>
              <w:rPr>
                <w:rFonts w:ascii="Arial" w:cs="Arial" w:eastAsia="Arial" w:hAnsi="Arial"/>
                <w:sz w:val="16"/>
                <w:szCs w:val="16"/>
                <w:b w:val="1"/>
                <w:bCs w:val="1"/>
                <w:color w:val="auto"/>
                <w:w w:val="91"/>
              </w:rPr>
              <w:t>Reading Cinemas</w:t>
            </w:r>
            <w:r>
              <w:rPr>
                <w:rFonts w:ascii="Arial" w:cs="Arial" w:eastAsia="Arial" w:hAnsi="Arial"/>
                <w:sz w:val="16"/>
                <w:szCs w:val="16"/>
                <w:color w:val="auto"/>
                <w:w w:val="91"/>
              </w:rPr>
              <w:t xml:space="preserve"> tradename is derived from</w:t>
            </w: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line="160" w:lineRule="exact"/>
              <w:rPr>
                <w:sz w:val="20"/>
                <w:szCs w:val="20"/>
                <w:color w:val="auto"/>
              </w:rPr>
            </w:pPr>
            <w:r>
              <w:rPr>
                <w:rFonts w:ascii="Arial" w:cs="Arial" w:eastAsia="Arial" w:hAnsi="Arial"/>
                <w:sz w:val="16"/>
                <w:szCs w:val="16"/>
                <w:b w:val="1"/>
                <w:bCs w:val="1"/>
                <w:color w:val="auto"/>
              </w:rPr>
              <w:t xml:space="preserve">Exhibition </w:t>
            </w:r>
            <w:r>
              <w:rPr>
                <w:rFonts w:ascii="Arial" w:cs="Arial" w:eastAsia="Arial" w:hAnsi="Arial"/>
                <w:sz w:val="16"/>
                <w:szCs w:val="16"/>
                <w:color w:val="auto"/>
              </w:rPr>
              <w:t>/</w:t>
            </w:r>
          </w:p>
        </w:tc>
        <w:tc>
          <w:tcPr>
            <w:tcW w:w="2240" w:type="dxa"/>
            <w:vAlign w:val="bottom"/>
          </w:tcPr>
          <w:p>
            <w:pPr>
              <w:spacing w:after="0"/>
              <w:rPr>
                <w:sz w:val="13"/>
                <w:szCs w:val="13"/>
                <w:color w:val="auto"/>
              </w:rPr>
            </w:pPr>
          </w:p>
        </w:tc>
        <w:tc>
          <w:tcPr>
            <w:tcW w:w="1180" w:type="dxa"/>
            <w:vAlign w:val="bottom"/>
          </w:tcPr>
          <w:p>
            <w:pPr>
              <w:jc w:val="center"/>
              <w:ind w:left="160"/>
              <w:spacing w:after="0" w:line="160" w:lineRule="exact"/>
              <w:rPr>
                <w:sz w:val="20"/>
                <w:szCs w:val="20"/>
                <w:color w:val="auto"/>
              </w:rPr>
            </w:pPr>
            <w:r>
              <w:rPr>
                <w:rFonts w:ascii="Arial" w:cs="Arial" w:eastAsia="Arial" w:hAnsi="Arial"/>
                <w:sz w:val="16"/>
                <w:szCs w:val="16"/>
                <w:color w:val="auto"/>
                <w:w w:val="93"/>
              </w:rPr>
              <w:t>Australia</w:t>
            </w:r>
          </w:p>
        </w:tc>
        <w:tc>
          <w:tcPr>
            <w:tcW w:w="3320" w:type="dxa"/>
            <w:vAlign w:val="bottom"/>
            <w:gridSpan w:val="4"/>
          </w:tcPr>
          <w:p>
            <w:pPr>
              <w:ind w:left="60"/>
              <w:spacing w:after="0" w:line="160" w:lineRule="exact"/>
              <w:rPr>
                <w:sz w:val="20"/>
                <w:szCs w:val="20"/>
                <w:color w:val="auto"/>
              </w:rPr>
            </w:pPr>
            <w:r>
              <w:rPr>
                <w:rFonts w:ascii="Arial" w:cs="Arial" w:eastAsia="Arial" w:hAnsi="Arial"/>
                <w:sz w:val="16"/>
                <w:szCs w:val="16"/>
                <w:color w:val="auto"/>
              </w:rPr>
              <w:t>our  over  186-year  history  as  the  “Reading</w:t>
            </w:r>
          </w:p>
        </w:tc>
        <w:tc>
          <w:tcPr>
            <w:tcW w:w="60" w:type="dxa"/>
            <w:vAlign w:val="bottom"/>
          </w:tcPr>
          <w:p>
            <w:pPr>
              <w:spacing w:after="0"/>
              <w:rPr>
                <w:sz w:val="13"/>
                <w:szCs w:val="13"/>
                <w:color w:val="auto"/>
              </w:rPr>
            </w:pPr>
          </w:p>
        </w:tc>
        <w:tc>
          <w:tcPr>
            <w:tcW w:w="1380" w:type="dxa"/>
            <w:vAlign w:val="bottom"/>
            <w:tcBorders>
              <w:bottom w:val="single" w:sz="8" w:color="0000FF"/>
            </w:tcBorders>
          </w:tcPr>
          <w:p>
            <w:pPr>
              <w:jc w:val="center"/>
              <w:spacing w:after="0" w:line="160" w:lineRule="exact"/>
              <w:rPr>
                <w:sz w:val="20"/>
                <w:szCs w:val="20"/>
                <w:color w:val="auto"/>
              </w:rPr>
            </w:pPr>
            <w:r>
              <w:rPr>
                <w:rFonts w:ascii="Arial" w:cs="Arial" w:eastAsia="Arial" w:hAnsi="Arial"/>
                <w:sz w:val="16"/>
                <w:szCs w:val="16"/>
                <w:color w:val="0000FF"/>
                <w:w w:val="89"/>
              </w:rPr>
              <w:t>Reading Cinemas 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ind w:right="200"/>
              <w:spacing w:after="0" w:line="153" w:lineRule="exact"/>
              <w:rPr>
                <w:sz w:val="20"/>
                <w:szCs w:val="20"/>
                <w:color w:val="auto"/>
              </w:rPr>
            </w:pPr>
            <w:r>
              <w:rPr>
                <w:rFonts w:ascii="Arial" w:cs="Arial" w:eastAsia="Arial" w:hAnsi="Arial"/>
                <w:sz w:val="16"/>
                <w:szCs w:val="16"/>
                <w:color w:val="auto"/>
                <w:w w:val="96"/>
              </w:rPr>
              <w:t>All Countries</w:t>
            </w:r>
          </w:p>
        </w:tc>
        <w:tc>
          <w:tcPr>
            <w:tcW w:w="2240" w:type="dxa"/>
            <w:vAlign w:val="bottom"/>
          </w:tcPr>
          <w:p>
            <w:pPr>
              <w:spacing w:after="0"/>
              <w:rPr>
                <w:sz w:val="13"/>
                <w:szCs w:val="13"/>
                <w:color w:val="auto"/>
              </w:rPr>
            </w:pPr>
          </w:p>
        </w:tc>
        <w:tc>
          <w:tcPr>
            <w:tcW w:w="1180" w:type="dxa"/>
            <w:vAlign w:val="bottom"/>
          </w:tcPr>
          <w:p>
            <w:pPr>
              <w:jc w:val="center"/>
              <w:ind w:left="160"/>
              <w:spacing w:after="0" w:line="153" w:lineRule="exact"/>
              <w:rPr>
                <w:sz w:val="20"/>
                <w:szCs w:val="20"/>
                <w:color w:val="auto"/>
              </w:rPr>
            </w:pPr>
            <w:r>
              <w:rPr>
                <w:rFonts w:ascii="Arial" w:cs="Arial" w:eastAsia="Arial" w:hAnsi="Arial"/>
                <w:sz w:val="16"/>
                <w:szCs w:val="16"/>
                <w:color w:val="auto"/>
                <w:w w:val="91"/>
              </w:rPr>
              <w:t>New Zealand</w:t>
            </w:r>
          </w:p>
        </w:tc>
        <w:tc>
          <w:tcPr>
            <w:tcW w:w="720" w:type="dxa"/>
            <w:vAlign w:val="bottom"/>
          </w:tcPr>
          <w:p>
            <w:pPr>
              <w:ind w:left="60"/>
              <w:spacing w:after="0" w:line="153" w:lineRule="exact"/>
              <w:rPr>
                <w:sz w:val="20"/>
                <w:szCs w:val="20"/>
                <w:color w:val="auto"/>
              </w:rPr>
            </w:pPr>
            <w:r>
              <w:rPr>
                <w:rFonts w:ascii="Arial" w:cs="Arial" w:eastAsia="Arial" w:hAnsi="Arial"/>
                <w:sz w:val="16"/>
                <w:szCs w:val="16"/>
                <w:color w:val="auto"/>
                <w:w w:val="98"/>
              </w:rPr>
              <w:t>Railroad”</w:t>
            </w:r>
          </w:p>
        </w:tc>
        <w:tc>
          <w:tcPr>
            <w:tcW w:w="1360" w:type="dxa"/>
            <w:vAlign w:val="bottom"/>
          </w:tcPr>
          <w:p>
            <w:pPr>
              <w:ind w:left="400"/>
              <w:spacing w:after="0" w:line="153" w:lineRule="exact"/>
              <w:rPr>
                <w:sz w:val="20"/>
                <w:szCs w:val="20"/>
                <w:color w:val="auto"/>
              </w:rPr>
            </w:pPr>
            <w:r>
              <w:rPr>
                <w:rFonts w:ascii="Arial" w:cs="Arial" w:eastAsia="Arial" w:hAnsi="Arial"/>
                <w:sz w:val="16"/>
                <w:szCs w:val="16"/>
                <w:color w:val="auto"/>
              </w:rPr>
              <w:t>featured</w:t>
            </w:r>
          </w:p>
        </w:tc>
        <w:tc>
          <w:tcPr>
            <w:tcW w:w="380" w:type="dxa"/>
            <w:vAlign w:val="bottom"/>
          </w:tcPr>
          <w:p>
            <w:pPr>
              <w:spacing w:after="0" w:line="153" w:lineRule="exact"/>
              <w:rPr>
                <w:sz w:val="20"/>
                <w:szCs w:val="20"/>
                <w:color w:val="auto"/>
              </w:rPr>
            </w:pPr>
            <w:r>
              <w:rPr>
                <w:rFonts w:ascii="Arial" w:cs="Arial" w:eastAsia="Arial" w:hAnsi="Arial"/>
                <w:sz w:val="16"/>
                <w:szCs w:val="16"/>
                <w:color w:val="auto"/>
              </w:rPr>
              <w:t>on</w:t>
            </w:r>
          </w:p>
        </w:tc>
        <w:tc>
          <w:tcPr>
            <w:tcW w:w="860" w:type="dxa"/>
            <w:vAlign w:val="bottom"/>
          </w:tcPr>
          <w:p>
            <w:pPr>
              <w:ind w:left="220"/>
              <w:spacing w:after="0" w:line="153" w:lineRule="exact"/>
              <w:rPr>
                <w:sz w:val="20"/>
                <w:szCs w:val="20"/>
                <w:color w:val="auto"/>
              </w:rPr>
            </w:pPr>
            <w:r>
              <w:rPr>
                <w:rFonts w:ascii="Arial" w:cs="Arial" w:eastAsia="Arial" w:hAnsi="Arial"/>
                <w:sz w:val="16"/>
                <w:szCs w:val="16"/>
                <w:color w:val="auto"/>
              </w:rPr>
              <w:t>the</w:t>
            </w:r>
          </w:p>
        </w:tc>
        <w:tc>
          <w:tcPr>
            <w:tcW w:w="1460" w:type="dxa"/>
            <w:vAlign w:val="bottom"/>
            <w:gridSpan w:val="3"/>
          </w:tcPr>
          <w:p>
            <w:pPr>
              <w:jc w:val="center"/>
              <w:spacing w:after="0" w:line="153" w:lineRule="exact"/>
              <w:rPr>
                <w:sz w:val="20"/>
                <w:szCs w:val="20"/>
                <w:color w:val="auto"/>
              </w:rPr>
            </w:pPr>
            <w:r>
              <w:rPr>
                <w:rFonts w:ascii="Arial" w:cs="Arial" w:eastAsia="Arial" w:hAnsi="Arial"/>
                <w:sz w:val="16"/>
                <w:szCs w:val="16"/>
                <w:color w:val="0000FF"/>
                <w:w w:val="89"/>
              </w:rPr>
              <w:t>Reading Cinemas AU</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320" w:type="dxa"/>
            <w:vAlign w:val="bottom"/>
            <w:gridSpan w:val="4"/>
            <w:vMerge w:val="restart"/>
          </w:tcPr>
          <w:p>
            <w:pPr>
              <w:ind w:left="60"/>
              <w:spacing w:after="0" w:line="226" w:lineRule="exact"/>
              <w:rPr>
                <w:sz w:val="20"/>
                <w:szCs w:val="20"/>
                <w:color w:val="auto"/>
              </w:rPr>
            </w:pPr>
            <w:r>
              <w:rPr>
                <w:rFonts w:ascii="Arial" w:cs="Arial" w:eastAsia="Arial" w:hAnsi="Arial"/>
                <w:sz w:val="15"/>
                <w:szCs w:val="15"/>
                <w:i w:val="1"/>
                <w:iCs w:val="1"/>
                <w:color w:val="auto"/>
              </w:rPr>
              <w:t>Monopoly</w:t>
            </w:r>
            <w:r>
              <w:rPr>
                <w:rFonts w:ascii="Arial" w:cs="Arial" w:eastAsia="Arial" w:hAnsi="Arial"/>
                <w:sz w:val="26"/>
                <w:szCs w:val="26"/>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game board. Under this brand, we</w:t>
            </w:r>
          </w:p>
        </w:tc>
        <w:tc>
          <w:tcPr>
            <w:tcW w:w="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jc w:val="center"/>
              <w:spacing w:after="0" w:line="145" w:lineRule="exact"/>
              <w:rPr>
                <w:sz w:val="20"/>
                <w:szCs w:val="20"/>
                <w:color w:val="auto"/>
              </w:rPr>
            </w:pPr>
            <w:r>
              <w:rPr>
                <w:rFonts w:ascii="Arial" w:cs="Arial" w:eastAsia="Arial" w:hAnsi="Arial"/>
                <w:sz w:val="16"/>
                <w:szCs w:val="16"/>
                <w:color w:val="0000FF"/>
                <w:w w:val="90"/>
              </w:rPr>
              <w:t>Reading Cinemas NZ</w:t>
            </w:r>
          </w:p>
        </w:tc>
        <w:tc>
          <w:tcPr>
            <w:tcW w:w="20" w:type="dxa"/>
            <w:vAlign w:val="bottom"/>
            <w:tcBorders>
              <w:top w:val="single" w:sz="8" w:color="0000FF"/>
              <w:bottom w:val="single" w:sz="8" w:color="0000FF"/>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3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ind w:left="60"/>
              <w:spacing w:after="0" w:line="173" w:lineRule="exact"/>
              <w:rPr>
                <w:sz w:val="20"/>
                <w:szCs w:val="20"/>
                <w:color w:val="auto"/>
              </w:rPr>
            </w:pPr>
            <w:r>
              <w:rPr>
                <w:rFonts w:ascii="Arial" w:cs="Arial" w:eastAsia="Arial" w:hAnsi="Arial"/>
                <w:sz w:val="16"/>
                <w:szCs w:val="16"/>
                <w:color w:val="auto"/>
              </w:rPr>
              <w:t>deliver</w:t>
            </w:r>
          </w:p>
        </w:tc>
        <w:tc>
          <w:tcPr>
            <w:tcW w:w="1360" w:type="dxa"/>
            <w:vAlign w:val="bottom"/>
          </w:tcPr>
          <w:p>
            <w:pPr>
              <w:ind w:left="40"/>
              <w:spacing w:after="0" w:line="173" w:lineRule="exact"/>
              <w:rPr>
                <w:sz w:val="20"/>
                <w:szCs w:val="20"/>
                <w:color w:val="auto"/>
              </w:rPr>
            </w:pPr>
            <w:r>
              <w:rPr>
                <w:rFonts w:ascii="Arial" w:cs="Arial" w:eastAsia="Arial" w:hAnsi="Arial"/>
                <w:sz w:val="16"/>
                <w:szCs w:val="16"/>
                <w:color w:val="auto"/>
              </w:rPr>
              <w:t>beyond-the-home</w:t>
            </w:r>
          </w:p>
        </w:tc>
        <w:tc>
          <w:tcPr>
            <w:tcW w:w="1240" w:type="dxa"/>
            <w:vAlign w:val="bottom"/>
            <w:gridSpan w:val="2"/>
          </w:tcPr>
          <w:p>
            <w:pPr>
              <w:ind w:left="80"/>
              <w:spacing w:after="0" w:line="173" w:lineRule="exact"/>
              <w:rPr>
                <w:sz w:val="20"/>
                <w:szCs w:val="20"/>
                <w:color w:val="auto"/>
              </w:rPr>
            </w:pPr>
            <w:r>
              <w:rPr>
                <w:rFonts w:ascii="Arial" w:cs="Arial" w:eastAsia="Arial" w:hAnsi="Arial"/>
                <w:sz w:val="16"/>
                <w:szCs w:val="16"/>
                <w:color w:val="auto"/>
              </w:rPr>
              <w:t>entertainment</w:t>
            </w: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20" w:type="dxa"/>
            <w:vAlign w:val="bottom"/>
            <w:gridSpan w:val="4"/>
          </w:tcPr>
          <w:p>
            <w:pPr>
              <w:ind w:left="60"/>
              <w:spacing w:after="0" w:line="173" w:lineRule="exact"/>
              <w:rPr>
                <w:sz w:val="20"/>
                <w:szCs w:val="20"/>
                <w:color w:val="auto"/>
              </w:rPr>
            </w:pPr>
            <w:r>
              <w:rPr>
                <w:rFonts w:ascii="Arial" w:cs="Arial" w:eastAsia="Arial" w:hAnsi="Arial"/>
                <w:sz w:val="16"/>
                <w:szCs w:val="16"/>
                <w:color w:val="auto"/>
                <w:w w:val="98"/>
              </w:rPr>
              <w:t>(principally mainstream movies and alternative</w:t>
            </w: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20" w:type="dxa"/>
            <w:vAlign w:val="bottom"/>
            <w:gridSpan w:val="4"/>
          </w:tcPr>
          <w:p>
            <w:pPr>
              <w:ind w:left="60"/>
              <w:spacing w:after="0" w:line="173" w:lineRule="exact"/>
              <w:rPr>
                <w:sz w:val="20"/>
                <w:szCs w:val="20"/>
                <w:color w:val="auto"/>
              </w:rPr>
            </w:pPr>
            <w:r>
              <w:rPr>
                <w:rFonts w:ascii="Arial" w:cs="Arial" w:eastAsia="Arial" w:hAnsi="Arial"/>
                <w:sz w:val="16"/>
                <w:szCs w:val="16"/>
                <w:color w:val="auto"/>
                <w:w w:val="93"/>
              </w:rPr>
              <w:t>content and food and beverage) across our three</w:t>
            </w: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8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operating jurisdictions.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-916305</wp:posOffset>
            </wp:positionV>
            <wp:extent cx="904875" cy="1104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4875" cy="1104900"/>
                    </a:xfrm>
                    <a:prstGeom prst="rect">
                      <a:avLst/>
                    </a:prstGeom>
                    <a:noFill/>
                  </pic:spPr>
                </pic:pic>
              </a:graphicData>
            </a:graphic>
          </wp:anchor>
        </w:drawing>
      </w:r>
    </w:p>
    <w:p>
      <w:pPr>
        <w:spacing w:after="0" w:line="149" w:lineRule="exact"/>
        <w:rPr>
          <w:sz w:val="20"/>
          <w:szCs w:val="20"/>
          <w:color w:val="auto"/>
        </w:rPr>
      </w:pPr>
    </w:p>
    <w:p>
      <w:pPr>
        <w:jc w:val="both"/>
        <w:ind w:left="4640" w:right="1500"/>
        <w:spacing w:after="0" w:line="241" w:lineRule="auto"/>
        <w:rPr>
          <w:sz w:val="20"/>
          <w:szCs w:val="20"/>
          <w:color w:val="auto"/>
        </w:rPr>
      </w:pPr>
      <w:r>
        <w:rPr>
          <w:rFonts w:ascii="Arial" w:cs="Arial" w:eastAsia="Arial" w:hAnsi="Arial"/>
          <w:sz w:val="15"/>
          <w:szCs w:val="15"/>
          <w:color w:val="auto"/>
        </w:rPr>
        <w:t>With respect to our global cinema circuit trading under three brands, (i) all such cinemas are equipped with digital projection, (ii) 27 cinemas feature at least one TITAN LUXE, TITAN XC or IMAX premium auditorium, and (ii) 202 screens feature luxury recliner seating as of December 31, 2025.</w:t>
      </w:r>
    </w:p>
    <w:p>
      <w:pPr>
        <w:spacing w:after="0" w:line="15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 xml:space="preserve">United States Founded in 1917, our </w:t>
      </w:r>
      <w:r>
        <w:rPr>
          <w:rFonts w:ascii="Arial" w:cs="Arial" w:eastAsia="Arial" w:hAnsi="Arial"/>
          <w:sz w:val="16"/>
          <w:szCs w:val="16"/>
          <w:b w:val="1"/>
          <w:bCs w:val="1"/>
          <w:color w:val="auto"/>
        </w:rPr>
        <w:t>Consolidated Theatres</w:t>
      </w:r>
    </w:p>
    <w:p>
      <w:pPr>
        <w:ind w:left="4640"/>
        <w:spacing w:after="0" w:line="227" w:lineRule="auto"/>
        <w:rPr>
          <w:sz w:val="20"/>
          <w:szCs w:val="20"/>
          <w:color w:val="auto"/>
        </w:rPr>
      </w:pPr>
      <w:r>
        <w:rPr>
          <w:rFonts w:ascii="Arial" w:cs="Arial" w:eastAsia="Arial" w:hAnsi="Arial"/>
          <w:sz w:val="16"/>
          <w:szCs w:val="16"/>
          <w:color w:val="auto"/>
        </w:rPr>
        <w:t xml:space="preserve">circuit in the state of Hawaii is the oldest and </w:t>
      </w:r>
      <w:r>
        <w:rPr>
          <w:rFonts w:ascii="Arial" w:cs="Arial" w:eastAsia="Arial" w:hAnsi="Arial"/>
          <w:sz w:val="16"/>
          <w:szCs w:val="16"/>
          <w:u w:val="single" w:color="auto"/>
          <w:color w:val="0000FF"/>
        </w:rPr>
        <w:t>Consolidated Theatres</w:t>
      </w:r>
      <w:r>
        <w:rPr>
          <w:rFonts w:ascii="Arial" w:cs="Arial" w:eastAsia="Arial" w:hAnsi="Arial"/>
          <w:sz w:val="16"/>
          <w:szCs w:val="16"/>
          <w:color w:val="auto"/>
        </w:rPr>
        <w:t xml:space="preserve"> largest circuit in Hawaii with six cinemas on the island of Oahu.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-109855</wp:posOffset>
            </wp:positionV>
            <wp:extent cx="1651635"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1635" cy="402590"/>
                    </a:xfrm>
                    <a:prstGeom prst="rect">
                      <a:avLst/>
                    </a:prstGeom>
                    <a:noFill/>
                  </pic:spPr>
                </pic:pic>
              </a:graphicData>
            </a:graphic>
          </wp:anchor>
        </w:drawing>
      </w:r>
    </w:p>
    <w:p>
      <w:pPr>
        <w:spacing w:after="0" w:line="149" w:lineRule="exact"/>
        <w:rPr>
          <w:sz w:val="20"/>
          <w:szCs w:val="20"/>
          <w:color w:val="auto"/>
        </w:rPr>
      </w:pPr>
    </w:p>
    <w:p>
      <w:pPr>
        <w:jc w:val="both"/>
        <w:ind w:left="4640" w:right="1480"/>
        <w:spacing w:after="0" w:line="265" w:lineRule="auto"/>
        <w:rPr>
          <w:sz w:val="20"/>
          <w:szCs w:val="20"/>
          <w:color w:val="auto"/>
        </w:rPr>
      </w:pPr>
      <w:r>
        <w:rPr>
          <w:rFonts w:ascii="Arial" w:cs="Arial" w:eastAsia="Arial" w:hAnsi="Arial"/>
          <w:sz w:val="14"/>
          <w:szCs w:val="14"/>
          <w:color w:val="auto"/>
        </w:rPr>
        <w:t>Each of our Consolidated Theatres offers luxury recliner seats. In addition, three of our six theaters feature one (or, in the case of the theater at Ward Village, two) TITAN LUXE premium screens.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 xml:space="preserve">United States Several of our cinemas are arthouses or specialty  </w:t>
      </w:r>
      <w:r>
        <w:rPr>
          <w:rFonts w:ascii="Arial" w:cs="Arial" w:eastAsia="Arial" w:hAnsi="Arial"/>
          <w:sz w:val="14"/>
          <w:szCs w:val="14"/>
          <w:u w:val="single" w:color="auto"/>
          <w:color w:val="0000FF"/>
        </w:rPr>
        <w:t>Angelika Film Center</w:t>
      </w:r>
    </w:p>
    <w:p>
      <w:pPr>
        <w:spacing w:after="0" w:line="12" w:lineRule="exact"/>
        <w:rPr>
          <w:sz w:val="20"/>
          <w:szCs w:val="20"/>
          <w:color w:val="auto"/>
        </w:rPr>
      </w:pPr>
    </w:p>
    <w:p>
      <w:pPr>
        <w:ind w:left="4640" w:right="280" w:hanging="819"/>
        <w:spacing w:after="0" w:line="225" w:lineRule="auto"/>
        <w:tabs>
          <w:tab w:leader="none" w:pos="4620" w:val="left"/>
        </w:tabs>
        <w:rPr>
          <w:sz w:val="20"/>
          <w:szCs w:val="20"/>
          <w:color w:val="auto"/>
        </w:rPr>
      </w:pPr>
      <w:r>
        <w:rPr>
          <w:rFonts w:ascii="Arial" w:cs="Arial" w:eastAsia="Arial" w:hAnsi="Arial"/>
          <w:sz w:val="16"/>
          <w:szCs w:val="16"/>
          <w:color w:val="auto"/>
        </w:rPr>
        <w:t>Australia</w:t>
        <w:tab/>
        <w:t xml:space="preserve">theaters operating under our Angelika brand. </w:t>
      </w:r>
      <w:r>
        <w:rPr>
          <w:rFonts w:ascii="Arial" w:cs="Arial" w:eastAsia="Arial" w:hAnsi="Arial"/>
          <w:sz w:val="16"/>
          <w:szCs w:val="16"/>
          <w:u w:val="single" w:color="auto"/>
          <w:color w:val="0000FF"/>
        </w:rPr>
        <w:t>State Cinema</w:t>
      </w:r>
      <w:r>
        <w:rPr>
          <w:rFonts w:ascii="Arial" w:cs="Arial" w:eastAsia="Arial" w:hAnsi="Arial"/>
          <w:sz w:val="16"/>
          <w:szCs w:val="16"/>
          <w:color w:val="auto"/>
        </w:rPr>
        <w:t xml:space="preserve"> These cinemas feature specialty films,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-217170</wp:posOffset>
            </wp:positionV>
            <wp:extent cx="1414145" cy="839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839470"/>
                    </a:xfrm>
                    <a:prstGeom prst="rect">
                      <a:avLst/>
                    </a:prstGeom>
                    <a:noFill/>
                  </pic:spPr>
                </pic:pic>
              </a:graphicData>
            </a:graphic>
          </wp:anchor>
        </w:drawing>
      </w:r>
    </w:p>
    <w:p>
      <w:pPr>
        <w:ind w:left="4640" w:right="1600"/>
        <w:spacing w:after="0" w:line="227" w:lineRule="auto"/>
        <w:rPr>
          <w:sz w:val="20"/>
          <w:szCs w:val="20"/>
          <w:color w:val="auto"/>
        </w:rPr>
      </w:pPr>
      <w:r>
        <w:rPr>
          <w:rFonts w:ascii="Arial" w:cs="Arial" w:eastAsia="Arial" w:hAnsi="Arial"/>
          <w:sz w:val="16"/>
          <w:szCs w:val="16"/>
          <w:color w:val="auto"/>
        </w:rPr>
        <w:t>independent films, international films, and documentaries.</w:t>
      </w:r>
    </w:p>
    <w:p>
      <w:pPr>
        <w:spacing w:after="0" w:line="170" w:lineRule="exact"/>
        <w:rPr>
          <w:sz w:val="20"/>
          <w:szCs w:val="20"/>
          <w:color w:val="auto"/>
        </w:rPr>
      </w:pPr>
    </w:p>
    <w:p>
      <w:pPr>
        <w:jc w:val="both"/>
        <w:ind w:left="4640" w:right="1520"/>
        <w:spacing w:after="0" w:line="263" w:lineRule="auto"/>
        <w:rPr>
          <w:sz w:val="20"/>
          <w:szCs w:val="20"/>
          <w:color w:val="auto"/>
        </w:rPr>
      </w:pPr>
      <w:r>
        <w:rPr>
          <w:rFonts w:ascii="Arial" w:cs="Arial" w:eastAsia="Arial" w:hAnsi="Arial"/>
          <w:sz w:val="14"/>
          <w:szCs w:val="14"/>
          <w:color w:val="auto"/>
        </w:rPr>
        <w:t xml:space="preserve">Since its opening in 1989, our New York City </w:t>
      </w:r>
      <w:r>
        <w:rPr>
          <w:rFonts w:ascii="Arial" w:cs="Arial" w:eastAsia="Arial" w:hAnsi="Arial"/>
          <w:sz w:val="14"/>
          <w:szCs w:val="14"/>
          <w:b w:val="1"/>
          <w:bCs w:val="1"/>
          <w:color w:val="auto"/>
        </w:rPr>
        <w:t xml:space="preserve">Angelika Film Center </w:t>
      </w:r>
      <w:r>
        <w:rPr>
          <w:rFonts w:ascii="Arial" w:cs="Arial" w:eastAsia="Arial" w:hAnsi="Arial"/>
          <w:sz w:val="14"/>
          <w:szCs w:val="14"/>
          <w:color w:val="auto"/>
        </w:rPr>
        <w:t>has been and consistently</w:t>
      </w:r>
      <w:r>
        <w:rPr>
          <w:rFonts w:ascii="Arial" w:cs="Arial" w:eastAsia="Arial" w:hAnsi="Arial"/>
          <w:sz w:val="14"/>
          <w:szCs w:val="14"/>
          <w:b w:val="1"/>
          <w:bCs w:val="1"/>
          <w:color w:val="auto"/>
        </w:rPr>
        <w:t xml:space="preserve"> </w:t>
      </w:r>
      <w:r>
        <w:rPr>
          <w:rFonts w:ascii="Arial" w:cs="Arial" w:eastAsia="Arial" w:hAnsi="Arial"/>
          <w:sz w:val="14"/>
          <w:szCs w:val="14"/>
          <w:color w:val="auto"/>
        </w:rPr>
        <w:t>continues to be one of the most popular and influential arthouse cinemas in the U.S., featuring principally independent and foreign films.</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To date, the following cinemas operate under the</w:t>
      </w:r>
    </w:p>
    <w:p>
      <w:pPr>
        <w:ind w:left="4640"/>
        <w:spacing w:after="0" w:line="230" w:lineRule="auto"/>
        <w:rPr>
          <w:sz w:val="20"/>
          <w:szCs w:val="20"/>
          <w:color w:val="auto"/>
        </w:rPr>
      </w:pPr>
      <w:r>
        <w:rPr>
          <w:rFonts w:ascii="Arial" w:cs="Arial" w:eastAsia="Arial" w:hAnsi="Arial"/>
          <w:sz w:val="16"/>
          <w:szCs w:val="16"/>
          <w:color w:val="auto"/>
        </w:rPr>
        <w:t>Angelika brand:</w:t>
      </w:r>
    </w:p>
    <w:p>
      <w:pPr>
        <w:spacing w:after="0" w:line="158" w:lineRule="exact"/>
        <w:rPr>
          <w:sz w:val="20"/>
          <w:szCs w:val="20"/>
          <w:color w:val="auto"/>
        </w:rPr>
      </w:pPr>
    </w:p>
    <w:p>
      <w:pPr>
        <w:ind w:left="4640"/>
        <w:spacing w:after="0"/>
        <w:tabs>
          <w:tab w:leader="none" w:pos="53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The Angelika Film Center &amp; Cafés in</w:t>
      </w:r>
    </w:p>
    <w:p>
      <w:pPr>
        <w:ind w:left="5360"/>
        <w:spacing w:after="0" w:line="225" w:lineRule="auto"/>
        <w:rPr>
          <w:sz w:val="20"/>
          <w:szCs w:val="20"/>
          <w:color w:val="auto"/>
        </w:rPr>
      </w:pPr>
      <w:r>
        <w:rPr>
          <w:rFonts w:ascii="Arial" w:cs="Arial" w:eastAsia="Arial" w:hAnsi="Arial"/>
          <w:sz w:val="16"/>
          <w:szCs w:val="16"/>
          <w:color w:val="auto"/>
        </w:rPr>
        <w:t>San Diego, CA; Dallas, TX; and</w:t>
      </w:r>
    </w:p>
    <w:p>
      <w:pPr>
        <w:ind w:left="5360"/>
        <w:spacing w:after="0" w:line="230" w:lineRule="auto"/>
        <w:rPr>
          <w:sz w:val="20"/>
          <w:szCs w:val="20"/>
          <w:color w:val="auto"/>
        </w:rPr>
      </w:pPr>
      <w:r>
        <w:rPr>
          <w:rFonts w:ascii="Arial" w:cs="Arial" w:eastAsia="Arial" w:hAnsi="Arial"/>
          <w:sz w:val="16"/>
          <w:szCs w:val="16"/>
          <w:color w:val="auto"/>
        </w:rPr>
        <w:t>Fairfax, VA;</w:t>
      </w:r>
    </w:p>
    <w:p>
      <w:pPr>
        <w:spacing w:after="0" w:line="158" w:lineRule="exact"/>
        <w:rPr>
          <w:sz w:val="20"/>
          <w:szCs w:val="20"/>
          <w:color w:val="auto"/>
        </w:rPr>
      </w:pPr>
    </w:p>
    <w:p>
      <w:pPr>
        <w:ind w:left="4640"/>
        <w:spacing w:after="0"/>
        <w:tabs>
          <w:tab w:leader="none" w:pos="54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The Angelika Pop-Up 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-10795</wp:posOffset>
            </wp:positionV>
            <wp:extent cx="1651635" cy="1181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1635" cy="1181100"/>
                    </a:xfrm>
                    <a:prstGeom prst="rect">
                      <a:avLst/>
                    </a:prstGeom>
                    <a:noFill/>
                  </pic:spPr>
                </pic:pic>
              </a:graphicData>
            </a:graphic>
          </wp:anchor>
        </w:drawing>
      </w:r>
    </w:p>
    <w:p>
      <w:pPr>
        <w:ind w:left="5360"/>
        <w:spacing w:after="0" w:line="230" w:lineRule="auto"/>
        <w:rPr>
          <w:sz w:val="20"/>
          <w:szCs w:val="20"/>
          <w:color w:val="auto"/>
        </w:rPr>
      </w:pPr>
      <w:r>
        <w:rPr>
          <w:rFonts w:ascii="Arial" w:cs="Arial" w:eastAsia="Arial" w:hAnsi="Arial"/>
          <w:sz w:val="16"/>
          <w:szCs w:val="16"/>
          <w:color w:val="auto"/>
        </w:rPr>
        <w:t>DC;</w:t>
      </w:r>
    </w:p>
    <w:p>
      <w:pPr>
        <w:spacing w:after="0" w:line="158" w:lineRule="exact"/>
        <w:rPr>
          <w:sz w:val="20"/>
          <w:szCs w:val="20"/>
          <w:color w:val="auto"/>
        </w:rPr>
      </w:pPr>
    </w:p>
    <w:p>
      <w:pPr>
        <w:ind w:left="4640"/>
        <w:spacing w:after="0"/>
        <w:tabs>
          <w:tab w:leader="none" w:pos="536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The Tower Theater in Sacramento,</w:t>
      </w:r>
    </w:p>
    <w:p>
      <w:pPr>
        <w:ind w:left="5360"/>
        <w:spacing w:after="0" w:line="230" w:lineRule="auto"/>
        <w:rPr>
          <w:sz w:val="20"/>
          <w:szCs w:val="20"/>
          <w:color w:val="auto"/>
        </w:rPr>
      </w:pPr>
      <w:r>
        <w:rPr>
          <w:rFonts w:ascii="Arial" w:cs="Arial" w:eastAsia="Arial" w:hAnsi="Arial"/>
          <w:sz w:val="16"/>
          <w:szCs w:val="16"/>
          <w:color w:val="auto"/>
        </w:rPr>
        <w:t>CA;</w:t>
      </w:r>
    </w:p>
    <w:p>
      <w:pPr>
        <w:spacing w:after="0" w:line="158" w:lineRule="exact"/>
        <w:rPr>
          <w:sz w:val="20"/>
          <w:szCs w:val="20"/>
          <w:color w:val="auto"/>
        </w:rPr>
      </w:pPr>
    </w:p>
    <w:p>
      <w:pPr>
        <w:ind w:left="4640"/>
        <w:spacing w:after="0"/>
        <w:tabs>
          <w:tab w:leader="none" w:pos="536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The Village East and Cinemas 123 in</w:t>
      </w:r>
    </w:p>
    <w:p>
      <w:pPr>
        <w:ind w:left="5360"/>
        <w:spacing w:after="0" w:line="230" w:lineRule="auto"/>
        <w:rPr>
          <w:sz w:val="20"/>
          <w:szCs w:val="20"/>
          <w:color w:val="auto"/>
        </w:rPr>
      </w:pPr>
      <w:r>
        <w:rPr>
          <w:rFonts w:ascii="Arial" w:cs="Arial" w:eastAsia="Arial" w:hAnsi="Arial"/>
          <w:sz w:val="16"/>
          <w:szCs w:val="16"/>
          <w:color w:val="auto"/>
        </w:rPr>
        <w:t>New York City;</w:t>
      </w:r>
    </w:p>
    <w:p>
      <w:pPr>
        <w:spacing w:after="0" w:line="158" w:lineRule="exact"/>
        <w:rPr>
          <w:sz w:val="20"/>
          <w:szCs w:val="20"/>
          <w:color w:val="auto"/>
        </w:rPr>
      </w:pPr>
    </w:p>
    <w:p>
      <w:pPr>
        <w:ind w:left="4640"/>
        <w:spacing w:after="0"/>
        <w:tabs>
          <w:tab w:leader="none" w:pos="534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color w:val="auto"/>
        </w:rPr>
        <w:t>Angelika Cinemas at South City</w:t>
      </w:r>
    </w:p>
    <w:p>
      <w:pPr>
        <w:jc w:val="center"/>
        <w:ind w:left="2860"/>
        <w:spacing w:after="0" w:line="230" w:lineRule="auto"/>
        <w:rPr>
          <w:sz w:val="20"/>
          <w:szCs w:val="20"/>
          <w:color w:val="auto"/>
        </w:rPr>
      </w:pPr>
      <w:r>
        <w:rPr>
          <w:rFonts w:ascii="Arial" w:cs="Arial" w:eastAsia="Arial" w:hAnsi="Arial"/>
          <w:sz w:val="16"/>
          <w:szCs w:val="16"/>
          <w:color w:val="auto"/>
        </w:rPr>
        <w:t>Square in Brisbane; and</w:t>
      </w:r>
    </w:p>
    <w:p>
      <w:pPr>
        <w:spacing w:after="0" w:line="158" w:lineRule="exact"/>
        <w:rPr>
          <w:sz w:val="20"/>
          <w:szCs w:val="20"/>
          <w:color w:val="auto"/>
        </w:rPr>
      </w:pPr>
    </w:p>
    <w:p>
      <w:pPr>
        <w:ind w:left="4640"/>
        <w:spacing w:after="0"/>
        <w:tabs>
          <w:tab w:leader="none" w:pos="534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The iconic State Cinema in Hobart,</w:t>
      </w:r>
    </w:p>
    <w:p>
      <w:pPr>
        <w:ind w:left="5360"/>
        <w:spacing w:after="0" w:line="230" w:lineRule="auto"/>
        <w:rPr>
          <w:sz w:val="20"/>
          <w:szCs w:val="20"/>
          <w:color w:val="auto"/>
        </w:rPr>
      </w:pPr>
      <w:r>
        <w:rPr>
          <w:rFonts w:ascii="Arial" w:cs="Arial" w:eastAsia="Arial" w:hAnsi="Arial"/>
          <w:sz w:val="16"/>
          <w:szCs w:val="16"/>
          <w:color w:val="auto"/>
        </w:rPr>
        <w:t>Tasmania,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-13335</wp:posOffset>
            </wp:positionV>
            <wp:extent cx="1651635" cy="1695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1635" cy="1695450"/>
                    </a:xfrm>
                    <a:prstGeom prst="rect">
                      <a:avLst/>
                    </a:prstGeom>
                    <a:noFill/>
                  </pic:spPr>
                </pic:pic>
              </a:graphicData>
            </a:graphic>
          </wp:anchor>
        </w:drawing>
      </w:r>
    </w:p>
    <w:p>
      <w:pPr>
        <w:spacing w:after="0" w:line="149" w:lineRule="exact"/>
        <w:rPr>
          <w:sz w:val="20"/>
          <w:szCs w:val="20"/>
          <w:color w:val="auto"/>
        </w:rPr>
      </w:pPr>
    </w:p>
    <w:p>
      <w:pPr>
        <w:jc w:val="both"/>
        <w:ind w:left="4640" w:right="1520"/>
        <w:spacing w:after="0" w:line="246" w:lineRule="auto"/>
        <w:rPr>
          <w:sz w:val="20"/>
          <w:szCs w:val="20"/>
          <w:color w:val="auto"/>
        </w:rPr>
      </w:pPr>
      <w:r>
        <w:rPr>
          <w:rFonts w:ascii="Arial" w:cs="Arial" w:eastAsia="Arial" w:hAnsi="Arial"/>
          <w:sz w:val="15"/>
          <w:szCs w:val="15"/>
          <w:color w:val="auto"/>
        </w:rPr>
        <w:t>Each of our Angelika Film Centers also offers a curated food and beverage experience.</w:t>
      </w:r>
    </w:p>
    <w:p>
      <w:pPr>
        <w:spacing w:after="0" w:line="338" w:lineRule="exact"/>
        <w:rPr>
          <w:sz w:val="20"/>
          <w:szCs w:val="20"/>
          <w:color w:val="auto"/>
        </w:rPr>
      </w:pPr>
    </w:p>
    <w:p>
      <w:pPr>
        <w:jc w:val="both"/>
        <w:ind w:left="4640" w:right="1540"/>
        <w:spacing w:after="0" w:line="226" w:lineRule="auto"/>
        <w:rPr>
          <w:sz w:val="20"/>
          <w:szCs w:val="20"/>
          <w:color w:val="auto"/>
        </w:rPr>
      </w:pPr>
      <w:r>
        <w:rPr>
          <w:rFonts w:ascii="Arial" w:cs="Arial" w:eastAsia="Arial" w:hAnsi="Arial"/>
          <w:sz w:val="16"/>
          <w:szCs w:val="16"/>
          <w:color w:val="auto"/>
        </w:rPr>
        <w:t>We continue to look to expand our specialty theater portfolio by looking for more specialty theater sites in the U.S., Australia, and New Zealand.</w:t>
      </w:r>
    </w:p>
    <w:p>
      <w:pPr>
        <w:sectPr>
          <w:pgSz w:w="11900" w:h="16838" w:orient="portrait"/>
          <w:cols w:equalWidth="0" w:num="1">
            <w:col w:w="9360"/>
          </w:cols>
          <w:pgMar w:left="1260" w:top="139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51</w:t>
      </w:r>
    </w:p>
    <w:p>
      <w:pPr>
        <w:sectPr>
          <w:pgSz w:w="11900" w:h="16838" w:orient="portrait"/>
          <w:cols w:equalWidth="0" w:num="1">
            <w:col w:w="9360"/>
          </w:cols>
          <w:pgMar w:left="1260" w:top="1397" w:right="1286" w:bottom="0" w:gutter="0" w:footer="0" w:header="0"/>
          <w:type w:val="continuous"/>
        </w:sectPr>
      </w:pPr>
    </w:p>
    <w:bookmarkStart w:id="9" w:name="page10"/>
    <w:bookmarkEnd w:id="9"/>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Our</w:t>
      </w:r>
    </w:p>
    <w:p>
      <w:pPr>
        <w:spacing w:after="0"/>
        <w:tabs>
          <w:tab w:leader="none" w:pos="3000" w:val="left"/>
          <w:tab w:leader="none" w:pos="4680" w:val="left"/>
          <w:tab w:leader="none" w:pos="7260" w:val="left"/>
        </w:tabs>
        <w:rPr>
          <w:sz w:val="20"/>
          <w:szCs w:val="20"/>
          <w:color w:val="auto"/>
        </w:rPr>
      </w:pPr>
      <w:r>
        <w:rPr>
          <w:rFonts w:ascii="Arial" w:cs="Arial" w:eastAsia="Arial" w:hAnsi="Arial"/>
          <w:sz w:val="16"/>
          <w:szCs w:val="16"/>
          <w:b w:val="1"/>
          <w:bCs w:val="1"/>
          <w:color w:val="auto"/>
        </w:rPr>
        <w:t>Business Segment / Unit  Commercial</w:t>
      </w:r>
      <w:r>
        <w:rPr>
          <w:sz w:val="20"/>
          <w:szCs w:val="20"/>
          <w:color w:val="auto"/>
        </w:rPr>
        <w:tab/>
      </w:r>
      <w:r>
        <w:rPr>
          <w:rFonts w:ascii="Arial" w:cs="Arial" w:eastAsia="Arial" w:hAnsi="Arial"/>
          <w:sz w:val="16"/>
          <w:szCs w:val="16"/>
          <w:b w:val="1"/>
          <w:bCs w:val="1"/>
          <w:color w:val="auto"/>
        </w:rPr>
        <w:t>Country</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Website Link</w:t>
      </w:r>
    </w:p>
    <w:p>
      <w:pPr>
        <w:ind w:left="1940"/>
        <w:spacing w:after="0" w:line="230" w:lineRule="auto"/>
        <w:rPr>
          <w:sz w:val="20"/>
          <w:szCs w:val="20"/>
          <w:color w:val="auto"/>
        </w:rPr>
      </w:pPr>
      <w:r>
        <w:rPr>
          <w:rFonts w:ascii="Arial" w:cs="Arial" w:eastAsia="Arial" w:hAnsi="Arial"/>
          <w:sz w:val="16"/>
          <w:szCs w:val="16"/>
          <w:b w:val="1"/>
          <w:bCs w:val="1"/>
          <w:color w:val="auto"/>
        </w:rPr>
        <w:t>Brands</w:t>
      </w:r>
    </w:p>
    <w:p>
      <w:pPr>
        <w:spacing w:after="0" w:line="200" w:lineRule="exact"/>
        <w:rPr>
          <w:sz w:val="20"/>
          <w:szCs w:val="20"/>
          <w:color w:val="auto"/>
        </w:rPr>
      </w:pPr>
    </w:p>
    <w:p>
      <w:pPr>
        <w:spacing w:after="0" w:line="305" w:lineRule="exact"/>
        <w:rPr>
          <w:sz w:val="20"/>
          <w:szCs w:val="20"/>
          <w:color w:val="auto"/>
        </w:rPr>
      </w:pPr>
    </w:p>
    <w:p>
      <w:pPr>
        <w:jc w:val="center"/>
        <w:ind w:right="-73"/>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227965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06"/>
          </w:cols>
          <w:pgMar w:left="13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3"/>
        <w:spacing w:after="0"/>
        <w:rPr>
          <w:sz w:val="20"/>
          <w:szCs w:val="20"/>
          <w:color w:val="auto"/>
        </w:rPr>
      </w:pPr>
      <w:r>
        <w:rPr>
          <w:rFonts w:ascii="Arial" w:cs="Arial" w:eastAsia="Arial" w:hAnsi="Arial"/>
          <w:sz w:val="20"/>
          <w:szCs w:val="20"/>
          <w:color w:val="auto"/>
        </w:rPr>
        <w:t>10 / 51</w:t>
      </w:r>
    </w:p>
    <w:p>
      <w:pPr>
        <w:sectPr>
          <w:pgSz w:w="11900" w:h="16838" w:orient="portrait"/>
          <w:cols w:equalWidth="0" w:num="1">
            <w:col w:w="9106"/>
          </w:cols>
          <w:pgMar w:left="1360" w:top="1440" w:right="1440"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b w:val="1"/>
                <w:bCs w:val="1"/>
                <w:color w:val="auto"/>
              </w:rPr>
              <w:t xml:space="preserve">Real Estate </w:t>
            </w:r>
            <w:r>
              <w:rPr>
                <w:rFonts w:ascii="Arial" w:cs="Arial" w:eastAsia="Arial" w:hAnsi="Arial"/>
                <w:sz w:val="16"/>
                <w:szCs w:val="16"/>
                <w:color w:val="auto"/>
              </w:rPr>
              <w:t>/</w:t>
            </w:r>
          </w:p>
        </w:tc>
        <w:tc>
          <w:tcPr>
            <w:tcW w:w="2280" w:type="dxa"/>
            <w:vAlign w:val="bottom"/>
          </w:tcPr>
          <w:p>
            <w:pPr>
              <w:jc w:val="center"/>
              <w:ind w:left="1220"/>
              <w:spacing w:after="0"/>
              <w:rPr>
                <w:sz w:val="20"/>
                <w:szCs w:val="20"/>
                <w:color w:val="auto"/>
              </w:rPr>
            </w:pPr>
            <w:r>
              <w:rPr>
                <w:rFonts w:ascii="Arial" w:cs="Arial" w:eastAsia="Arial" w:hAnsi="Arial"/>
                <w:sz w:val="16"/>
                <w:szCs w:val="16"/>
                <w:color w:val="auto"/>
                <w:w w:val="89"/>
              </w:rPr>
              <w:t>United States</w:t>
            </w:r>
          </w:p>
        </w:tc>
        <w:tc>
          <w:tcPr>
            <w:tcW w:w="3380" w:type="dxa"/>
            <w:vAlign w:val="bottom"/>
          </w:tcPr>
          <w:p>
            <w:pPr>
              <w:ind w:left="60"/>
              <w:spacing w:after="0"/>
              <w:rPr>
                <w:sz w:val="20"/>
                <w:szCs w:val="20"/>
                <w:color w:val="auto"/>
              </w:rPr>
            </w:pPr>
            <w:r>
              <w:rPr>
                <w:rFonts w:ascii="Arial" w:cs="Arial" w:eastAsia="Arial" w:hAnsi="Arial"/>
                <w:sz w:val="16"/>
                <w:szCs w:val="16"/>
                <w:color w:val="auto"/>
              </w:rPr>
              <w:t>Historically  known  as  Tammany  Hall,  this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color w:val="0000FF"/>
                <w:w w:val="89"/>
              </w:rPr>
              <w:t>44 Union Square</w:t>
            </w:r>
          </w:p>
        </w:tc>
      </w:tr>
      <w:tr>
        <w:trPr>
          <w:trHeight w:val="166"/>
        </w:trPr>
        <w:tc>
          <w:tcPr>
            <w:tcW w:w="2220" w:type="dxa"/>
            <w:vAlign w:val="bottom"/>
          </w:tcPr>
          <w:p>
            <w:pPr>
              <w:spacing w:after="0" w:line="166" w:lineRule="exact"/>
              <w:rPr>
                <w:sz w:val="20"/>
                <w:szCs w:val="20"/>
                <w:color w:val="auto"/>
              </w:rPr>
            </w:pPr>
            <w:r>
              <w:rPr>
                <w:rFonts w:ascii="Arial" w:cs="Arial" w:eastAsia="Arial" w:hAnsi="Arial"/>
                <w:sz w:val="16"/>
                <w:szCs w:val="16"/>
                <w:color w:val="auto"/>
              </w:rPr>
              <w:t>Leasing</w:t>
            </w:r>
          </w:p>
        </w:tc>
        <w:tc>
          <w:tcPr>
            <w:tcW w:w="2280" w:type="dxa"/>
            <w:vAlign w:val="bottom"/>
          </w:tcPr>
          <w:p>
            <w:pPr>
              <w:spacing w:after="0"/>
              <w:rPr>
                <w:sz w:val="14"/>
                <w:szCs w:val="14"/>
                <w:color w:val="auto"/>
              </w:rPr>
            </w:pPr>
          </w:p>
        </w:tc>
        <w:tc>
          <w:tcPr>
            <w:tcW w:w="3380" w:type="dxa"/>
            <w:vAlign w:val="bottom"/>
          </w:tcPr>
          <w:p>
            <w:pPr>
              <w:ind w:left="60"/>
              <w:spacing w:after="0" w:line="166" w:lineRule="exact"/>
              <w:rPr>
                <w:sz w:val="20"/>
                <w:szCs w:val="20"/>
                <w:color w:val="auto"/>
              </w:rPr>
            </w:pPr>
            <w:r>
              <w:rPr>
                <w:rFonts w:ascii="Arial" w:cs="Arial" w:eastAsia="Arial" w:hAnsi="Arial"/>
                <w:sz w:val="16"/>
                <w:szCs w:val="16"/>
                <w:color w:val="auto"/>
              </w:rPr>
              <w:t>approximately  73,000  square  foot  building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4"/>
              </w:rPr>
              <w:t xml:space="preserve">overlooking Manhattan’s </w:t>
            </w:r>
            <w:r>
              <w:rPr>
                <w:rFonts w:ascii="Arial" w:cs="Arial" w:eastAsia="Arial" w:hAnsi="Arial"/>
                <w:sz w:val="16"/>
                <w:szCs w:val="16"/>
                <w:b w:val="1"/>
                <w:bCs w:val="1"/>
                <w:color w:val="auto"/>
                <w:w w:val="94"/>
              </w:rPr>
              <w:t>Union Square</w:t>
            </w:r>
            <w:r>
              <w:rPr>
                <w:rFonts w:ascii="Arial" w:cs="Arial" w:eastAsia="Arial" w:hAnsi="Arial"/>
                <w:sz w:val="16"/>
                <w:szCs w:val="16"/>
                <w:color w:val="auto"/>
                <w:w w:val="94"/>
              </w:rPr>
              <w:t>, features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5"/>
              </w:rPr>
              <w:t>an award winning retail space occupied by Petco</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5"/>
              </w:rPr>
              <w:t>who occupies most of the ground floor, the cellar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w w:val="97"/>
              </w:rPr>
              <w:t>and the second floor, on a full rent paying basis.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2"/>
        </w:trPr>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w w:val="96"/>
              </w:rPr>
              <w:t>Hailed as a dramatic pièce de résistance with its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7"/>
              </w:rPr>
              <w:t>first in the city, over 800-piece, glass dome, this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7"/>
              </w:rPr>
              <w:t>multi-award winning building brings the future to</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rPr>
              <w:t>New York’s fabled past.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2"/>
        </w:trPr>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w w:val="97"/>
              </w:rPr>
              <w:t>44 Union Square remains of the few locations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rPr>
              <w:t>Manhattan that offer potential tenant(s) with 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rPr>
              <w:t>“brandable” site.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3"/>
        </w:trPr>
        <w:tc>
          <w:tcPr>
            <w:tcW w:w="2220" w:type="dxa"/>
            <w:vAlign w:val="bottom"/>
          </w:tcPr>
          <w:p>
            <w:pPr>
              <w:spacing w:after="0"/>
              <w:rPr>
                <w:sz w:val="21"/>
                <w:szCs w:val="21"/>
                <w:color w:val="auto"/>
              </w:rPr>
            </w:pPr>
          </w:p>
        </w:tc>
        <w:tc>
          <w:tcPr>
            <w:tcW w:w="2280" w:type="dxa"/>
            <w:vAlign w:val="bottom"/>
          </w:tcPr>
          <w:p>
            <w:pPr>
              <w:jc w:val="center"/>
              <w:ind w:left="1220"/>
              <w:spacing w:after="0"/>
              <w:rPr>
                <w:sz w:val="20"/>
                <w:szCs w:val="20"/>
                <w:color w:val="auto"/>
              </w:rPr>
            </w:pPr>
            <w:r>
              <w:rPr>
                <w:rFonts w:ascii="Arial" w:cs="Arial" w:eastAsia="Arial" w:hAnsi="Arial"/>
                <w:sz w:val="16"/>
                <w:szCs w:val="16"/>
                <w:color w:val="auto"/>
                <w:w w:val="93"/>
              </w:rPr>
              <w:t>Australia</w:t>
            </w:r>
          </w:p>
        </w:tc>
        <w:tc>
          <w:tcPr>
            <w:tcW w:w="3380" w:type="dxa"/>
            <w:vAlign w:val="bottom"/>
          </w:tcPr>
          <w:p>
            <w:pPr>
              <w:ind w:left="60"/>
              <w:spacing w:after="0"/>
              <w:rPr>
                <w:sz w:val="20"/>
                <w:szCs w:val="20"/>
                <w:color w:val="auto"/>
              </w:rPr>
            </w:pPr>
            <w:r>
              <w:rPr>
                <w:rFonts w:ascii="Arial" w:cs="Arial" w:eastAsia="Arial" w:hAnsi="Arial"/>
                <w:sz w:val="16"/>
                <w:szCs w:val="16"/>
                <w:color w:val="auto"/>
                <w:w w:val="90"/>
              </w:rPr>
              <w:t>Located on 219,228 square feet of land in suburban</w:t>
            </w:r>
          </w:p>
        </w:tc>
        <w:tc>
          <w:tcPr>
            <w:tcW w:w="20" w:type="dxa"/>
            <w:vAlign w:val="bottom"/>
          </w:tcPr>
          <w:p>
            <w:pPr>
              <w:spacing w:after="0"/>
              <w:rPr>
                <w:sz w:val="21"/>
                <w:szCs w:val="21"/>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color w:val="0000FF"/>
                <w:w w:val="92"/>
              </w:rPr>
              <w:t>Newmarket Village</w:t>
            </w:r>
          </w:p>
        </w:tc>
      </w:tr>
      <w:tr>
        <w:trPr>
          <w:trHeight w:val="166"/>
        </w:trPr>
        <w:tc>
          <w:tcPr>
            <w:tcW w:w="2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tcPr>
          <w:p>
            <w:pPr>
              <w:ind w:left="60"/>
              <w:spacing w:after="0" w:line="166" w:lineRule="exact"/>
              <w:rPr>
                <w:sz w:val="20"/>
                <w:szCs w:val="20"/>
                <w:color w:val="auto"/>
              </w:rPr>
            </w:pPr>
            <w:r>
              <w:rPr>
                <w:rFonts w:ascii="Arial" w:cs="Arial" w:eastAsia="Arial" w:hAnsi="Arial"/>
                <w:sz w:val="16"/>
                <w:szCs w:val="16"/>
                <w:color w:val="auto"/>
              </w:rPr>
              <w:t xml:space="preserve">Brisbane,  </w:t>
            </w:r>
            <w:r>
              <w:rPr>
                <w:rFonts w:ascii="Arial" w:cs="Arial" w:eastAsia="Arial" w:hAnsi="Arial"/>
                <w:sz w:val="16"/>
                <w:szCs w:val="16"/>
                <w:b w:val="1"/>
                <w:bCs w:val="1"/>
                <w:color w:val="auto"/>
              </w:rPr>
              <w:t>Newmarket  Village</w:t>
            </w:r>
            <w:r>
              <w:rPr>
                <w:rFonts w:ascii="Arial" w:cs="Arial" w:eastAsia="Arial" w:hAnsi="Arial"/>
                <w:sz w:val="16"/>
                <w:szCs w:val="16"/>
                <w:color w:val="auto"/>
              </w:rPr>
              <w:t xml:space="preserve">  is  currently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1"/>
              </w:rPr>
              <w:t>comprised of approximately 144,430 square feet of</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0"/>
              </w:rPr>
              <w:t>net rentable area, including a Coles Supermarket, 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w w:val="93"/>
              </w:rPr>
              <w:t>Reading Cinema and 46 other third-party tenants,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rPr>
              <w:t>offering F&amp;B, retail, and professional services.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2"/>
        </w:trPr>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Adjacent to our Newmarket Village, we own 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rPr>
              <w:t>three-level, 21,582 square foot office building.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rPr>
              <w:t>Taken together with the retail components, the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w w:val="97"/>
              </w:rPr>
              <w:t>center is 98% leased as of December 31, 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15"/>
        </w:trPr>
        <w:tc>
          <w:tcPr>
            <w:tcW w:w="2220" w:type="dxa"/>
            <w:vAlign w:val="bottom"/>
          </w:tcPr>
          <w:p>
            <w:pPr>
              <w:spacing w:after="0"/>
              <w:rPr>
                <w:sz w:val="24"/>
                <w:szCs w:val="24"/>
                <w:color w:val="auto"/>
              </w:rPr>
            </w:pPr>
          </w:p>
        </w:tc>
        <w:tc>
          <w:tcPr>
            <w:tcW w:w="2280" w:type="dxa"/>
            <w:vAlign w:val="bottom"/>
          </w:tcPr>
          <w:p>
            <w:pPr>
              <w:jc w:val="center"/>
              <w:ind w:left="1220"/>
              <w:spacing w:after="0"/>
              <w:rPr>
                <w:sz w:val="20"/>
                <w:szCs w:val="20"/>
                <w:color w:val="auto"/>
              </w:rPr>
            </w:pPr>
            <w:r>
              <w:rPr>
                <w:rFonts w:ascii="Arial" w:cs="Arial" w:eastAsia="Arial" w:hAnsi="Arial"/>
                <w:sz w:val="16"/>
                <w:szCs w:val="16"/>
                <w:color w:val="auto"/>
                <w:w w:val="93"/>
              </w:rPr>
              <w:t>Australia</w:t>
            </w:r>
          </w:p>
        </w:tc>
        <w:tc>
          <w:tcPr>
            <w:tcW w:w="3380" w:type="dxa"/>
            <w:vAlign w:val="bottom"/>
          </w:tcPr>
          <w:p>
            <w:pPr>
              <w:ind w:left="60"/>
              <w:spacing w:after="0"/>
              <w:rPr>
                <w:sz w:val="20"/>
                <w:szCs w:val="20"/>
                <w:color w:val="auto"/>
              </w:rPr>
            </w:pPr>
            <w:r>
              <w:rPr>
                <w:rFonts w:ascii="Arial" w:cs="Arial" w:eastAsia="Arial" w:hAnsi="Arial"/>
                <w:sz w:val="16"/>
                <w:szCs w:val="16"/>
                <w:color w:val="auto"/>
                <w:w w:val="92"/>
              </w:rPr>
              <w:t>Anchored by our 10-screen Reading Cinemas and</w:t>
            </w:r>
          </w:p>
        </w:tc>
        <w:tc>
          <w:tcPr>
            <w:tcW w:w="1500" w:type="dxa"/>
            <w:vAlign w:val="bottom"/>
            <w:gridSpan w:val="6"/>
          </w:tcPr>
          <w:p>
            <w:pPr>
              <w:jc w:val="center"/>
              <w:spacing w:after="0"/>
              <w:rPr>
                <w:sz w:val="20"/>
                <w:szCs w:val="20"/>
                <w:color w:val="auto"/>
              </w:rPr>
            </w:pPr>
            <w:r>
              <w:rPr>
                <w:rFonts w:ascii="Arial" w:cs="Arial" w:eastAsia="Arial" w:hAnsi="Arial"/>
                <w:sz w:val="16"/>
                <w:szCs w:val="16"/>
                <w:color w:val="0000FF"/>
                <w:w w:val="92"/>
              </w:rPr>
              <w:t>The Belmont Common</w:t>
            </w:r>
          </w:p>
        </w:tc>
      </w:tr>
      <w:tr>
        <w:trPr>
          <w:trHeight w:val="166"/>
        </w:trPr>
        <w:tc>
          <w:tcPr>
            <w:tcW w:w="2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tcPr>
          <w:p>
            <w:pPr>
              <w:ind w:left="60"/>
              <w:spacing w:after="0" w:line="166" w:lineRule="exact"/>
              <w:rPr>
                <w:sz w:val="20"/>
                <w:szCs w:val="20"/>
                <w:color w:val="auto"/>
              </w:rPr>
            </w:pPr>
            <w:r>
              <w:rPr>
                <w:rFonts w:ascii="Arial" w:cs="Arial" w:eastAsia="Arial" w:hAnsi="Arial"/>
                <w:sz w:val="16"/>
                <w:szCs w:val="16"/>
                <w:color w:val="auto"/>
              </w:rPr>
              <w:t xml:space="preserve">six F&amp;B or third-party tenants, </w:t>
            </w:r>
            <w:r>
              <w:rPr>
                <w:rFonts w:ascii="Arial" w:cs="Arial" w:eastAsia="Arial" w:hAnsi="Arial"/>
                <w:sz w:val="16"/>
                <w:szCs w:val="16"/>
                <w:b w:val="1"/>
                <w:bCs w:val="1"/>
                <w:color w:val="auto"/>
              </w:rPr>
              <w:t>The Belmont</w:t>
            </w:r>
          </w:p>
        </w:tc>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b w:val="1"/>
                <w:bCs w:val="1"/>
                <w:color w:val="auto"/>
                <w:w w:val="98"/>
              </w:rPr>
              <w:t xml:space="preserve">Common </w:t>
            </w:r>
            <w:r>
              <w:rPr>
                <w:rFonts w:ascii="Arial" w:cs="Arial" w:eastAsia="Arial" w:hAnsi="Arial"/>
                <w:sz w:val="16"/>
                <w:szCs w:val="16"/>
                <w:color w:val="auto"/>
                <w:w w:val="98"/>
              </w:rPr>
              <w:t>is in Perth, Australia, and is currently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3" w:lineRule="exact"/>
              <w:rPr>
                <w:sz w:val="20"/>
                <w:szCs w:val="20"/>
                <w:color w:val="auto"/>
              </w:rPr>
            </w:pPr>
            <w:r>
              <w:rPr>
                <w:rFonts w:ascii="Arial" w:cs="Arial" w:eastAsia="Arial" w:hAnsi="Arial"/>
                <w:sz w:val="16"/>
                <w:szCs w:val="16"/>
                <w:color w:val="auto"/>
              </w:rPr>
              <w:t>comprised of 103,204 square feet of land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rPr>
              <w:t>60,117 square feet of net rentable area.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2"/>
        </w:trPr>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w w:val="92"/>
              </w:rPr>
              <w:t>As of December 31, 2025, this property was 100%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ind w:left="60"/>
              <w:spacing w:after="0" w:line="177" w:lineRule="exact"/>
              <w:rPr>
                <w:sz w:val="20"/>
                <w:szCs w:val="20"/>
                <w:color w:val="auto"/>
              </w:rPr>
            </w:pPr>
            <w:r>
              <w:rPr>
                <w:rFonts w:ascii="Arial" w:cs="Arial" w:eastAsia="Arial" w:hAnsi="Arial"/>
                <w:sz w:val="16"/>
                <w:szCs w:val="16"/>
                <w:color w:val="auto"/>
              </w:rPr>
              <w:t>leased.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-3601085</wp:posOffset>
            </wp:positionV>
            <wp:extent cx="1036320" cy="9817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6320" cy="98171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-1898650</wp:posOffset>
            </wp:positionV>
            <wp:extent cx="1551305" cy="539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53911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-746760</wp:posOffset>
            </wp:positionV>
            <wp:extent cx="1225550" cy="594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555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60" w:type="dxa"/>
            <w:vAlign w:val="bottom"/>
          </w:tcPr>
          <w:p>
            <w:pPr>
              <w:jc w:val="center"/>
              <w:ind w:right="220"/>
              <w:spacing w:after="0"/>
              <w:rPr>
                <w:sz w:val="20"/>
                <w:szCs w:val="20"/>
                <w:color w:val="auto"/>
              </w:rPr>
            </w:pPr>
            <w:r>
              <w:rPr>
                <w:rFonts w:ascii="Arial" w:cs="Arial" w:eastAsia="Arial" w:hAnsi="Arial"/>
                <w:sz w:val="16"/>
                <w:szCs w:val="16"/>
                <w:b w:val="1"/>
                <w:bCs w:val="1"/>
                <w:color w:val="auto"/>
                <w:w w:val="84"/>
              </w:rPr>
              <w:t>Business</w:t>
            </w:r>
          </w:p>
        </w:tc>
        <w:tc>
          <w:tcPr>
            <w:tcW w:w="2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60" w:type="dxa"/>
            <w:vAlign w:val="bottom"/>
          </w:tcPr>
          <w:p>
            <w:pPr>
              <w:jc w:val="center"/>
              <w:ind w:right="220"/>
              <w:spacing w:after="0" w:line="173" w:lineRule="exact"/>
              <w:rPr>
                <w:sz w:val="20"/>
                <w:szCs w:val="20"/>
                <w:color w:val="auto"/>
              </w:rPr>
            </w:pPr>
            <w:r>
              <w:rPr>
                <w:rFonts w:ascii="Arial" w:cs="Arial" w:eastAsia="Arial" w:hAnsi="Arial"/>
                <w:sz w:val="16"/>
                <w:szCs w:val="16"/>
                <w:b w:val="1"/>
                <w:bCs w:val="1"/>
                <w:color w:val="auto"/>
                <w:w w:val="88"/>
              </w:rPr>
              <w:t>Segment /</w:t>
            </w:r>
          </w:p>
        </w:tc>
        <w:tc>
          <w:tcPr>
            <w:tcW w:w="2180" w:type="dxa"/>
            <w:vAlign w:val="bottom"/>
          </w:tcPr>
          <w:p>
            <w:pPr>
              <w:ind w:left="240"/>
              <w:spacing w:after="0" w:line="173" w:lineRule="exact"/>
              <w:rPr>
                <w:sz w:val="20"/>
                <w:szCs w:val="20"/>
                <w:color w:val="auto"/>
              </w:rPr>
            </w:pPr>
            <w:r>
              <w:rPr>
                <w:rFonts w:ascii="Arial" w:cs="Arial" w:eastAsia="Arial" w:hAnsi="Arial"/>
                <w:sz w:val="16"/>
                <w:szCs w:val="16"/>
                <w:b w:val="1"/>
                <w:bCs w:val="1"/>
                <w:color w:val="auto"/>
              </w:rPr>
              <w:t>Our Commercial Brands</w:t>
            </w:r>
          </w:p>
        </w:tc>
        <w:tc>
          <w:tcPr>
            <w:tcW w:w="1160" w:type="dxa"/>
            <w:vAlign w:val="bottom"/>
          </w:tcPr>
          <w:p>
            <w:pPr>
              <w:jc w:val="center"/>
              <w:ind w:left="100"/>
              <w:spacing w:after="0" w:line="173" w:lineRule="exact"/>
              <w:rPr>
                <w:sz w:val="20"/>
                <w:szCs w:val="20"/>
                <w:color w:val="auto"/>
              </w:rPr>
            </w:pPr>
            <w:r>
              <w:rPr>
                <w:rFonts w:ascii="Arial" w:cs="Arial" w:eastAsia="Arial" w:hAnsi="Arial"/>
                <w:sz w:val="16"/>
                <w:szCs w:val="16"/>
                <w:b w:val="1"/>
                <w:bCs w:val="1"/>
                <w:color w:val="auto"/>
                <w:w w:val="94"/>
              </w:rPr>
              <w:t>Country</w:t>
            </w:r>
          </w:p>
        </w:tc>
        <w:tc>
          <w:tcPr>
            <w:tcW w:w="3460" w:type="dxa"/>
            <w:vAlign w:val="bottom"/>
          </w:tcPr>
          <w:p>
            <w:pPr>
              <w:ind w:left="1320"/>
              <w:spacing w:after="0" w:line="173" w:lineRule="exact"/>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5"/>
                <w:szCs w:val="15"/>
                <w:color w:val="auto"/>
              </w:rPr>
            </w:pPr>
          </w:p>
        </w:tc>
        <w:tc>
          <w:tcPr>
            <w:tcW w:w="10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1"/>
              </w:rPr>
              <w:t>Website Link</w:t>
            </w:r>
          </w:p>
        </w:tc>
        <w:tc>
          <w:tcPr>
            <w:tcW w:w="0" w:type="dxa"/>
            <w:vAlign w:val="bottom"/>
          </w:tcPr>
          <w:p>
            <w:pPr>
              <w:spacing w:after="0"/>
              <w:rPr>
                <w:sz w:val="1"/>
                <w:szCs w:val="1"/>
                <w:color w:val="auto"/>
              </w:rPr>
            </w:pPr>
          </w:p>
        </w:tc>
      </w:tr>
      <w:tr>
        <w:trPr>
          <w:trHeight w:val="177"/>
        </w:trPr>
        <w:tc>
          <w:tcPr>
            <w:tcW w:w="1060" w:type="dxa"/>
            <w:vAlign w:val="bottom"/>
          </w:tcPr>
          <w:p>
            <w:pPr>
              <w:jc w:val="center"/>
              <w:ind w:right="160"/>
              <w:spacing w:after="0" w:line="177" w:lineRule="exact"/>
              <w:rPr>
                <w:sz w:val="20"/>
                <w:szCs w:val="20"/>
                <w:color w:val="auto"/>
              </w:rPr>
            </w:pPr>
            <w:r>
              <w:rPr>
                <w:rFonts w:ascii="Arial" w:cs="Arial" w:eastAsia="Arial" w:hAnsi="Arial"/>
                <w:sz w:val="16"/>
                <w:szCs w:val="16"/>
                <w:b w:val="1"/>
                <w:bCs w:val="1"/>
                <w:color w:val="auto"/>
                <w:w w:val="96"/>
              </w:rPr>
              <w:t>Unit</w:t>
            </w: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jc w:val="center"/>
              <w:ind w:left="100"/>
              <w:spacing w:after="0"/>
              <w:rPr>
                <w:sz w:val="20"/>
                <w:szCs w:val="20"/>
                <w:color w:val="auto"/>
              </w:rPr>
            </w:pPr>
            <w:r>
              <w:rPr>
                <w:rFonts w:ascii="Arial" w:cs="Arial" w:eastAsia="Arial" w:hAnsi="Arial"/>
                <w:sz w:val="16"/>
                <w:szCs w:val="16"/>
                <w:color w:val="auto"/>
                <w:w w:val="89"/>
              </w:rPr>
              <w:t>United States</w:t>
            </w:r>
          </w:p>
        </w:tc>
        <w:tc>
          <w:tcPr>
            <w:tcW w:w="3460" w:type="dxa"/>
            <w:vAlign w:val="bottom"/>
          </w:tcPr>
          <w:p>
            <w:pPr>
              <w:ind w:left="60"/>
              <w:spacing w:after="0"/>
              <w:rPr>
                <w:sz w:val="20"/>
                <w:szCs w:val="20"/>
                <w:color w:val="auto"/>
              </w:rPr>
            </w:pPr>
            <w:r>
              <w:rPr>
                <w:rFonts w:ascii="Arial" w:cs="Arial" w:eastAsia="Arial" w:hAnsi="Arial"/>
                <w:sz w:val="16"/>
                <w:szCs w:val="16"/>
                <w:color w:val="auto"/>
              </w:rPr>
              <w:t>We operate two off-Broadway live theatres in</w:t>
            </w:r>
          </w:p>
        </w:tc>
        <w:tc>
          <w:tcPr>
            <w:tcW w:w="1200" w:type="dxa"/>
            <w:vAlign w:val="bottom"/>
            <w:gridSpan w:val="2"/>
          </w:tcPr>
          <w:p>
            <w:pPr>
              <w:jc w:val="center"/>
              <w:ind w:left="60"/>
              <w:spacing w:after="0"/>
              <w:rPr>
                <w:sz w:val="20"/>
                <w:szCs w:val="20"/>
                <w:color w:val="auto"/>
              </w:rPr>
            </w:pPr>
            <w:r>
              <w:rPr>
                <w:rFonts w:ascii="Arial" w:cs="Arial" w:eastAsia="Arial" w:hAnsi="Arial"/>
                <w:sz w:val="16"/>
                <w:szCs w:val="16"/>
                <w:color w:val="0000FF"/>
                <w:w w:val="91"/>
              </w:rPr>
              <w:t>Liberty Theatres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60" w:type="dxa"/>
            <w:vAlign w:val="bottom"/>
          </w:tcPr>
          <w:p>
            <w:pPr>
              <w:ind w:left="60"/>
              <w:spacing w:after="0" w:line="169" w:lineRule="exact"/>
              <w:rPr>
                <w:sz w:val="20"/>
                <w:szCs w:val="20"/>
                <w:color w:val="auto"/>
              </w:rPr>
            </w:pPr>
            <w:r>
              <w:rPr>
                <w:rFonts w:ascii="Arial" w:cs="Arial" w:eastAsia="Arial" w:hAnsi="Arial"/>
                <w:sz w:val="16"/>
                <w:szCs w:val="16"/>
                <w:color w:val="auto"/>
                <w:w w:val="93"/>
              </w:rPr>
              <w:t xml:space="preserve">Manhattan under the </w:t>
            </w:r>
            <w:r>
              <w:rPr>
                <w:rFonts w:ascii="Arial" w:cs="Arial" w:eastAsia="Arial" w:hAnsi="Arial"/>
                <w:sz w:val="16"/>
                <w:szCs w:val="16"/>
                <w:b w:val="1"/>
                <w:bCs w:val="1"/>
                <w:color w:val="auto"/>
                <w:w w:val="93"/>
              </w:rPr>
              <w:t>Liberty Theatres</w:t>
            </w:r>
            <w:r>
              <w:rPr>
                <w:rFonts w:ascii="Arial" w:cs="Arial" w:eastAsia="Arial" w:hAnsi="Arial"/>
                <w:sz w:val="16"/>
                <w:szCs w:val="16"/>
                <w:color w:val="auto"/>
                <w:w w:val="93"/>
              </w:rPr>
              <w:t xml:space="preserve"> tradename.</w:t>
            </w:r>
          </w:p>
        </w:tc>
        <w:tc>
          <w:tcPr>
            <w:tcW w:w="140" w:type="dxa"/>
            <w:vAlign w:val="bottom"/>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ind w:left="60"/>
              <w:spacing w:after="0"/>
              <w:rPr>
                <w:sz w:val="20"/>
                <w:szCs w:val="20"/>
                <w:color w:val="auto"/>
              </w:rPr>
            </w:pPr>
            <w:r>
              <w:rPr>
                <w:rFonts w:ascii="Arial" w:cs="Arial" w:eastAsia="Arial" w:hAnsi="Arial"/>
                <w:sz w:val="16"/>
                <w:szCs w:val="16"/>
                <w:color w:val="auto"/>
                <w:w w:val="99"/>
              </w:rPr>
              <w:t>Since 2018, the Minetta Lane Theatre has been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operated pursuant to a license agreement with</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Audible,  a  subsidiary  of  Amazon.  Audible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extended its license agreement with us through</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March 15, 2027. During 2025, shows such as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vMerge w:val="restart"/>
          </w:tcPr>
          <w:p>
            <w:pPr>
              <w:spacing w:after="0"/>
              <w:rPr>
                <w:sz w:val="20"/>
                <w:szCs w:val="20"/>
                <w:color w:val="auto"/>
              </w:rPr>
            </w:pPr>
            <w:r>
              <w:rPr>
                <w:rFonts w:ascii="Arial" w:cs="Arial" w:eastAsia="Arial" w:hAnsi="Arial"/>
                <w:sz w:val="16"/>
                <w:szCs w:val="16"/>
                <w:color w:val="auto"/>
              </w:rPr>
              <w:t>Live Theatre</w:t>
            </w: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Creditors</w:t>
            </w:r>
            <w:r>
              <w:rPr>
                <w:rFonts w:ascii="Arial" w:cs="Arial" w:eastAsia="Arial" w:hAnsi="Arial"/>
                <w:sz w:val="16"/>
                <w:szCs w:val="16"/>
                <w:color w:val="auto"/>
              </w:rPr>
              <w:t>”, “</w:t>
            </w:r>
            <w:r>
              <w:rPr>
                <w:rFonts w:ascii="Arial" w:cs="Arial" w:eastAsia="Arial" w:hAnsi="Arial"/>
                <w:sz w:val="16"/>
                <w:szCs w:val="16"/>
                <w:i w:val="1"/>
                <w:iCs w:val="1"/>
                <w:color w:val="auto"/>
              </w:rPr>
              <w:t>Sexual Misconduct of the Middle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60" w:type="dxa"/>
            <w:vAlign w:val="bottom"/>
            <w:vMerge w:val="restart"/>
          </w:tcPr>
          <w:p>
            <w:pPr>
              <w:ind w:left="60"/>
              <w:spacing w:after="0" w:line="173" w:lineRule="exact"/>
              <w:rPr>
                <w:sz w:val="20"/>
                <w:szCs w:val="20"/>
                <w:color w:val="auto"/>
              </w:rPr>
            </w:pPr>
            <w:r>
              <w:rPr>
                <w:rFonts w:ascii="Arial" w:cs="Arial" w:eastAsia="Arial" w:hAnsi="Arial"/>
                <w:sz w:val="16"/>
                <w:szCs w:val="16"/>
                <w:i w:val="1"/>
                <w:iCs w:val="1"/>
                <w:color w:val="auto"/>
                <w:w w:val="97"/>
              </w:rPr>
              <w:t>Classes</w:t>
            </w:r>
            <w:r>
              <w:rPr>
                <w:rFonts w:ascii="Arial" w:cs="Arial" w:eastAsia="Arial" w:hAnsi="Arial"/>
                <w:sz w:val="16"/>
                <w:szCs w:val="16"/>
                <w:color w:val="auto"/>
                <w:w w:val="97"/>
              </w:rPr>
              <w:t>”, and “</w:t>
            </w:r>
            <w:r>
              <w:rPr>
                <w:rFonts w:ascii="Arial" w:cs="Arial" w:eastAsia="Arial" w:hAnsi="Arial"/>
                <w:sz w:val="16"/>
                <w:szCs w:val="16"/>
                <w:i w:val="1"/>
                <w:iCs w:val="1"/>
                <w:color w:val="auto"/>
                <w:w w:val="97"/>
              </w:rPr>
              <w:t>Mexodus</w:t>
            </w:r>
            <w:r>
              <w:rPr>
                <w:rFonts w:ascii="Arial" w:cs="Arial" w:eastAsia="Arial" w:hAnsi="Arial"/>
                <w:sz w:val="16"/>
                <w:szCs w:val="16"/>
                <w:color w:val="auto"/>
                <w:w w:val="97"/>
              </w:rPr>
              <w:t>” along with many others</w:t>
            </w: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7" w:lineRule="exact"/>
              <w:rPr>
                <w:sz w:val="20"/>
                <w:szCs w:val="20"/>
                <w:color w:val="auto"/>
              </w:rPr>
            </w:pPr>
            <w:r>
              <w:rPr>
                <w:rFonts w:ascii="Arial" w:cs="Arial" w:eastAsia="Arial" w:hAnsi="Arial"/>
                <w:sz w:val="16"/>
                <w:szCs w:val="16"/>
                <w:color w:val="auto"/>
              </w:rPr>
              <w:t>were presented at the Minetta Lane.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ind w:left="60"/>
              <w:spacing w:after="0"/>
              <w:rPr>
                <w:sz w:val="20"/>
                <w:szCs w:val="20"/>
                <w:color w:val="auto"/>
              </w:rPr>
            </w:pPr>
            <w:r>
              <w:rPr>
                <w:rFonts w:ascii="Arial" w:cs="Arial" w:eastAsia="Arial" w:hAnsi="Arial"/>
                <w:sz w:val="16"/>
                <w:szCs w:val="16"/>
                <w:color w:val="auto"/>
                <w:w w:val="97"/>
              </w:rPr>
              <w:t>Following STOMP’s almost 30-year historical run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w w:val="94"/>
              </w:rPr>
              <w:t>at the Orpheum, we have licensed a variety of new</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w w:val="92"/>
              </w:rPr>
              <w:t>shows. We believe that there is ongoing substantial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3" w:lineRule="exact"/>
              <w:rPr>
                <w:sz w:val="20"/>
                <w:szCs w:val="20"/>
                <w:color w:val="auto"/>
              </w:rPr>
            </w:pPr>
            <w:r>
              <w:rPr>
                <w:rFonts w:ascii="Arial" w:cs="Arial" w:eastAsia="Arial" w:hAnsi="Arial"/>
                <w:sz w:val="16"/>
                <w:szCs w:val="16"/>
                <w:color w:val="auto"/>
              </w:rPr>
              <w:t>demand  for  off-Broadway  venues  like  our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60" w:type="dxa"/>
            <w:vAlign w:val="bottom"/>
          </w:tcPr>
          <w:p>
            <w:pPr>
              <w:ind w:left="60"/>
              <w:spacing w:after="0" w:line="177" w:lineRule="exact"/>
              <w:rPr>
                <w:sz w:val="20"/>
                <w:szCs w:val="20"/>
                <w:color w:val="auto"/>
              </w:rPr>
            </w:pPr>
            <w:r>
              <w:rPr>
                <w:rFonts w:ascii="Arial" w:cs="Arial" w:eastAsia="Arial" w:hAnsi="Arial"/>
                <w:sz w:val="16"/>
                <w:szCs w:val="16"/>
                <w:color w:val="auto"/>
              </w:rPr>
              <w:t>Orpheum and Minetta Lane.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-1071880</wp:posOffset>
            </wp:positionV>
            <wp:extent cx="1409700" cy="361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9700" cy="361950"/>
                    </a:xfrm>
                    <a:prstGeom prst="rect">
                      <a:avLst/>
                    </a:prstGeom>
                    <a:noFill/>
                  </pic:spPr>
                </pic:pic>
              </a:graphicData>
            </a:graphic>
          </wp:anchor>
        </w:drawing>
      </w:r>
    </w:p>
    <w:p>
      <w:pPr>
        <w:spacing w:after="0" w:line="36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strategy has remained to integrate cinema entertainment with real estate in a way that creates long-term value for our stockholders. Historically, the reliable cash flows generated by our cinema operations, prior to the pandemic and the 2023 Hollywood strikes, support a proactive approach to acquiring and holding long-term real estate assets, including land held for future development. Although we believe cinema performance is improving, uncertainty surrounding short term U.S. cinema cash flows has led us to take a more measured approach to investment and activity within both our cinema and real estate operations.</w:t>
      </w:r>
    </w:p>
    <w:p>
      <w:pPr>
        <w:spacing w:after="0" w:line="21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Historically, our real estate portfolio has provided a strong foundation, helping us navigate periods of unexpected disruption while enhancing our financial flexibility by serving as a collateral base to support longer term and relatively stable real estate borrowing. Over the past four years, including the aftermath of the COVID 19 pandemic, the 2023 Hollywood strikes, and rising interest rates, our real estate assets have played a critical role in sustaining key operations and preserving long term value. In the post-pandemic period, we have monetized nine properties, generating $197.5 million net cash used to reduce debt, support operations, pay interest, and meet capital</w:t>
      </w:r>
    </w:p>
    <w:p>
      <w:pPr>
        <w:sectPr>
          <w:pgSz w:w="11900" w:h="16838" w:orient="portrait"/>
          <w:cols w:equalWidth="0" w:num="1">
            <w:col w:w="9380"/>
          </w:cols>
          <w:pgMar w:left="1260" w:top="110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51</w:t>
      </w:r>
    </w:p>
    <w:p>
      <w:pPr>
        <w:sectPr>
          <w:pgSz w:w="11900" w:h="16838" w:orient="portrait"/>
          <w:cols w:equalWidth="0" w:num="1">
            <w:col w:w="9380"/>
          </w:cols>
          <w:pgMar w:left="1260" w:top="1107" w:right="1266" w:bottom="0" w:gutter="0" w:footer="0" w:header="0"/>
          <w:type w:val="continuous"/>
        </w:sectPr>
      </w:pPr>
    </w:p>
    <w:bookmarkStart w:id="11" w:name="page12"/>
    <w:bookmarkEnd w:id="11"/>
    <w:p>
      <w:pPr>
        <w:jc w:val="both"/>
        <w:spacing w:after="0" w:line="225" w:lineRule="auto"/>
        <w:rPr>
          <w:sz w:val="20"/>
          <w:szCs w:val="20"/>
          <w:color w:val="auto"/>
        </w:rPr>
      </w:pPr>
      <w:r>
        <w:rPr>
          <w:rFonts w:ascii="Arial" w:cs="Arial" w:eastAsia="Arial" w:hAnsi="Arial"/>
          <w:sz w:val="20"/>
          <w:szCs w:val="20"/>
          <w:color w:val="auto"/>
        </w:rPr>
        <w:t>commitments. Looking ahead, we expect that the selective monetization of real estate assets will continue to provide liquidity, to the extent needed, as the cinema industry stabilizes and as we repay deferred rents and further reduce interest bearing debt.</w:t>
      </w:r>
    </w:p>
    <w:p>
      <w:pPr>
        <w:jc w:val="center"/>
        <w:ind w:right="-39"/>
        <w:spacing w:after="0" w:line="231" w:lineRule="auto"/>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51</w:t>
      </w:r>
    </w:p>
    <w:p>
      <w:pPr>
        <w:sectPr>
          <w:pgSz w:w="11900" w:h="16838" w:orient="portrait"/>
          <w:cols w:equalWidth="0" w:num="1">
            <w:col w:w="9340"/>
          </w:cols>
          <w:pgMar w:left="1260" w:top="1131" w:right="1306" w:bottom="0" w:gutter="0" w:footer="0" w:header="0"/>
          <w:type w:val="continuous"/>
        </w:sectPr>
      </w:pPr>
    </w:p>
    <w:bookmarkStart w:id="12" w:name="page13"/>
    <w:bookmarkEnd w:id="12"/>
    <w:p>
      <w:pPr>
        <w:spacing w:after="0" w:line="123"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Our hybrid, multi-country approach is focused on diversification and the development of long-term hard asset value. This approach has supported the business through the COVID-19 pandemic, the 2023 Hollywood strikes, and a period of elevated interest rates, as conditions continue to stabilize.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Our Principal 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our principal tangible assets included:</w:t>
      </w:r>
    </w:p>
    <w:p>
      <w:pPr>
        <w:ind w:left="720" w:hanging="366"/>
        <w:spacing w:after="0" w:line="231" w:lineRule="auto"/>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interests in 58 cinemas comprising of 469 screens;</w:t>
      </w:r>
    </w:p>
    <w:p>
      <w:pPr>
        <w:spacing w:after="0" w:line="17" w:lineRule="exact"/>
        <w:rPr>
          <w:rFonts w:ascii="Wingdings" w:cs="Wingdings" w:eastAsia="Wingdings" w:hAnsi="Wingdings"/>
          <w:sz w:val="20"/>
          <w:szCs w:val="20"/>
          <w:color w:val="auto"/>
        </w:rPr>
      </w:pPr>
    </w:p>
    <w:p>
      <w:pPr>
        <w:ind w:left="720" w:right="220" w:hanging="366"/>
        <w:spacing w:after="0" w:line="258" w:lineRule="auto"/>
        <w:tabs>
          <w:tab w:leader="none" w:pos="720" w:val="left"/>
        </w:tabs>
        <w:numPr>
          <w:ilvl w:val="0"/>
          <w:numId w:val="4"/>
        </w:numPr>
        <w:rPr>
          <w:rFonts w:ascii="Wingdings" w:cs="Wingdings" w:eastAsia="Wingdings" w:hAnsi="Wingdings"/>
          <w:sz w:val="19"/>
          <w:szCs w:val="19"/>
          <w:color w:val="auto"/>
        </w:rPr>
      </w:pPr>
      <w:r>
        <w:rPr>
          <w:rFonts w:ascii="Arial" w:cs="Arial" w:eastAsia="Arial" w:hAnsi="Arial"/>
          <w:sz w:val="19"/>
          <w:szCs w:val="19"/>
          <w:color w:val="auto"/>
        </w:rPr>
        <w:t>our 44 Union Square property in Manhattan. The cellar, ground floor, and second floor of the building are fully leased to Petco, which is in occupancy of its premises on a full rent paying basis;</w:t>
      </w:r>
    </w:p>
    <w:p>
      <w:pPr>
        <w:spacing w:after="0" w:line="3" w:lineRule="exact"/>
        <w:rPr>
          <w:rFonts w:ascii="Wingdings" w:cs="Wingdings" w:eastAsia="Wingdings" w:hAnsi="Wingdings"/>
          <w:sz w:val="19"/>
          <w:szCs w:val="19"/>
          <w:color w:val="auto"/>
        </w:rPr>
      </w:pPr>
    </w:p>
    <w:p>
      <w:pPr>
        <w:ind w:left="720" w:right="220" w:hanging="366"/>
        <w:spacing w:after="0" w:line="237" w:lineRule="auto"/>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two Entertainment Themed Centers (“ETCs”) known as Newmarket Village (in a suburb of Brisbane) and The Belmont Common (in a suburb of Perth);</w:t>
      </w:r>
    </w:p>
    <w:p>
      <w:pPr>
        <w:spacing w:after="0" w:line="8" w:lineRule="exact"/>
        <w:rPr>
          <w:rFonts w:ascii="Wingdings" w:cs="Wingdings" w:eastAsia="Wingdings" w:hAnsi="Wingdings"/>
          <w:sz w:val="20"/>
          <w:szCs w:val="20"/>
          <w:color w:val="auto"/>
        </w:rPr>
      </w:pPr>
    </w:p>
    <w:p>
      <w:pPr>
        <w:ind w:left="720" w:hanging="366"/>
        <w:spacing w:after="0"/>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our administrative office building in South Melbourne, Australia;</w:t>
      </w:r>
    </w:p>
    <w:p>
      <w:pPr>
        <w:spacing w:after="0" w:line="16" w:lineRule="exact"/>
        <w:rPr>
          <w:rFonts w:ascii="Wingdings" w:cs="Wingdings" w:eastAsia="Wingdings" w:hAnsi="Wingdings"/>
          <w:sz w:val="20"/>
          <w:szCs w:val="20"/>
          <w:color w:val="auto"/>
        </w:rPr>
      </w:pPr>
    </w:p>
    <w:p>
      <w:pPr>
        <w:ind w:left="720" w:right="80" w:hanging="366"/>
        <w:spacing w:after="0" w:line="237" w:lineRule="auto"/>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the fee interests in two commercial properties in Manhattan improved with live theatres comprised of a single stage in each location;</w:t>
      </w:r>
    </w:p>
    <w:p>
      <w:pPr>
        <w:spacing w:after="0" w:line="8" w:lineRule="exact"/>
        <w:rPr>
          <w:rFonts w:ascii="Wingdings" w:cs="Wingdings" w:eastAsia="Wingdings" w:hAnsi="Wingdings"/>
          <w:sz w:val="20"/>
          <w:szCs w:val="20"/>
          <w:color w:val="auto"/>
        </w:rPr>
      </w:pPr>
    </w:p>
    <w:p>
      <w:pPr>
        <w:ind w:left="720" w:hanging="366"/>
        <w:spacing w:after="0"/>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the fee interest in and improvements constituting our Cinemas 1,2,3 located in Manhattan;</w:t>
      </w:r>
    </w:p>
    <w:p>
      <w:pPr>
        <w:spacing w:after="0" w:line="16" w:lineRule="exact"/>
        <w:rPr>
          <w:rFonts w:ascii="Wingdings" w:cs="Wingdings" w:eastAsia="Wingdings" w:hAnsi="Wingdings"/>
          <w:sz w:val="20"/>
          <w:szCs w:val="20"/>
          <w:color w:val="auto"/>
        </w:rPr>
      </w:pPr>
    </w:p>
    <w:p>
      <w:pPr>
        <w:ind w:left="720" w:right="60" w:hanging="366"/>
        <w:spacing w:after="0" w:line="237" w:lineRule="auto"/>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an approximately 23.9-acre rail access industrial property in Williamsport, Pennsylvania, which is currently being held for sale;</w:t>
      </w:r>
    </w:p>
    <w:p>
      <w:pPr>
        <w:spacing w:after="0" w:line="18" w:lineRule="exact"/>
        <w:rPr>
          <w:rFonts w:ascii="Wingdings" w:cs="Wingdings" w:eastAsia="Wingdings" w:hAnsi="Wingdings"/>
          <w:sz w:val="20"/>
          <w:szCs w:val="20"/>
          <w:color w:val="auto"/>
        </w:rPr>
      </w:pPr>
    </w:p>
    <w:p>
      <w:pPr>
        <w:ind w:left="720" w:right="80" w:hanging="366"/>
        <w:spacing w:after="0" w:line="237" w:lineRule="auto"/>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approximately 201-acres located principally in Pennsylvania from our legacy railroad business, including the Reading Viaduct, comprising over 6.0 acres in downtown Philadelphia; and</w:t>
      </w:r>
    </w:p>
    <w:p>
      <w:pPr>
        <w:spacing w:after="0" w:line="8" w:lineRule="exact"/>
        <w:rPr>
          <w:rFonts w:ascii="Wingdings" w:cs="Wingdings" w:eastAsia="Wingdings" w:hAnsi="Wingdings"/>
          <w:sz w:val="20"/>
          <w:szCs w:val="20"/>
          <w:color w:val="auto"/>
        </w:rPr>
      </w:pPr>
    </w:p>
    <w:p>
      <w:pPr>
        <w:ind w:left="720" w:hanging="366"/>
        <w:spacing w:after="0"/>
        <w:tabs>
          <w:tab w:leader="none" w:pos="720" w:val="left"/>
        </w:tabs>
        <w:numPr>
          <w:ilvl w:val="0"/>
          <w:numId w:val="4"/>
        </w:numPr>
        <w:rPr>
          <w:rFonts w:ascii="Wingdings" w:cs="Wingdings" w:eastAsia="Wingdings" w:hAnsi="Wingdings"/>
          <w:sz w:val="20"/>
          <w:szCs w:val="20"/>
          <w:color w:val="auto"/>
        </w:rPr>
      </w:pPr>
      <w:r>
        <w:rPr>
          <w:rFonts w:ascii="Arial" w:cs="Arial" w:eastAsia="Arial" w:hAnsi="Arial"/>
          <w:sz w:val="20"/>
          <w:szCs w:val="20"/>
          <w:color w:val="auto"/>
        </w:rPr>
        <w:t>cash and cash equivalents, aggregating $10.5 million.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a breakdown of our real estate assets, please refer to Part I, Item 2 – Properties.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now present an overview of our business segments.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CINEMA EXHIBITION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Overall</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are committed to delivering exceptional cinematic experiences for our guests, combining hospitality-driven comfort and service with state-of-the-art cinematic presentations. Our offerings include uniquely designed venues, carefully curated film and event programming, and thoughtfully crafted food and beverage selections. As previously mentioned, we operate our global cinema exhibition business under three primary distinguished brands: Reading Cinemas, Consolidated Theatres and Angelika Film Centers.</w:t>
      </w:r>
    </w:p>
    <w:p>
      <w:pPr>
        <w:spacing w:after="0" w:line="213"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Shown in the following table are the number of locations and screens in our theater circuit in each country, by state/ territory/region, our cinema brands, and our interest in the underlying asset as of December 31,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Interest in Asset</w:t>
            </w:r>
          </w:p>
        </w:tc>
        <w:tc>
          <w:tcPr>
            <w:tcW w:w="1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State / Territory /</w:t>
            </w:r>
          </w:p>
        </w:tc>
        <w:tc>
          <w:tcPr>
            <w:tcW w:w="140" w:type="dxa"/>
            <w:vAlign w:val="bottom"/>
          </w:tcPr>
          <w:p>
            <w:pPr>
              <w:spacing w:after="0"/>
              <w:rPr>
                <w:sz w:val="16"/>
                <w:szCs w:val="16"/>
                <w:color w:val="auto"/>
              </w:rPr>
            </w:pPr>
          </w:p>
        </w:tc>
        <w:tc>
          <w:tcPr>
            <w:tcW w:w="7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Location</w:t>
            </w:r>
          </w:p>
        </w:tc>
        <w:tc>
          <w:tcPr>
            <w:tcW w:w="140" w:type="dxa"/>
            <w:vAlign w:val="bottom"/>
          </w:tcPr>
          <w:p>
            <w:pPr>
              <w:spacing w:after="0"/>
              <w:rPr>
                <w:sz w:val="16"/>
                <w:szCs w:val="16"/>
                <w:color w:val="auto"/>
              </w:rPr>
            </w:pPr>
          </w:p>
        </w:tc>
        <w:tc>
          <w:tcPr>
            <w:tcW w:w="84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Screen</w:t>
            </w:r>
          </w:p>
        </w:tc>
        <w:tc>
          <w:tcPr>
            <w:tcW w:w="1780" w:type="dxa"/>
            <w:vAlign w:val="bottom"/>
            <w:tcBorders>
              <w:bottom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1"/>
              </w:rPr>
              <w:t>Underlying the Cinema</w:t>
            </w: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3"/>
        </w:trPr>
        <w:tc>
          <w:tcPr>
            <w:tcW w:w="146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Country</w:t>
            </w:r>
          </w:p>
        </w:tc>
        <w:tc>
          <w:tcPr>
            <w:tcW w:w="140" w:type="dxa"/>
            <w:vAlign w:val="bottom"/>
          </w:tcPr>
          <w:p>
            <w:pPr>
              <w:spacing w:after="0"/>
              <w:rPr>
                <w:sz w:val="15"/>
                <w:szCs w:val="15"/>
                <w:color w:val="auto"/>
              </w:rPr>
            </w:pPr>
          </w:p>
        </w:tc>
        <w:tc>
          <w:tcPr>
            <w:tcW w:w="1480" w:type="dxa"/>
            <w:vAlign w:val="bottom"/>
          </w:tcPr>
          <w:p>
            <w:pPr>
              <w:ind w:left="500"/>
              <w:spacing w:after="0" w:line="173" w:lineRule="exact"/>
              <w:rPr>
                <w:sz w:val="20"/>
                <w:szCs w:val="20"/>
                <w:color w:val="auto"/>
              </w:rPr>
            </w:pPr>
            <w:r>
              <w:rPr>
                <w:rFonts w:ascii="Arial" w:cs="Arial" w:eastAsia="Arial" w:hAnsi="Arial"/>
                <w:sz w:val="16"/>
                <w:szCs w:val="16"/>
                <w:b w:val="1"/>
                <w:bCs w:val="1"/>
                <w:color w:val="auto"/>
              </w:rPr>
              <w:t>Region</w:t>
            </w:r>
          </w:p>
        </w:tc>
        <w:tc>
          <w:tcPr>
            <w:tcW w:w="14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5"/>
              </w:rPr>
              <w:t>Count</w:t>
            </w:r>
          </w:p>
        </w:tc>
        <w:tc>
          <w:tcPr>
            <w:tcW w:w="140" w:type="dxa"/>
            <w:vAlign w:val="bottom"/>
          </w:tcPr>
          <w:p>
            <w:pPr>
              <w:spacing w:after="0"/>
              <w:rPr>
                <w:sz w:val="15"/>
                <w:szCs w:val="15"/>
                <w:color w:val="auto"/>
              </w:rPr>
            </w:pPr>
          </w:p>
        </w:tc>
        <w:tc>
          <w:tcPr>
            <w:tcW w:w="840" w:type="dxa"/>
            <w:vAlign w:val="bottom"/>
            <w:gridSpan w:val="2"/>
          </w:tcPr>
          <w:p>
            <w:pPr>
              <w:ind w:left="120"/>
              <w:spacing w:after="0" w:line="173" w:lineRule="exact"/>
              <w:rPr>
                <w:sz w:val="20"/>
                <w:szCs w:val="20"/>
                <w:color w:val="auto"/>
              </w:rPr>
            </w:pPr>
            <w:r>
              <w:rPr>
                <w:rFonts w:ascii="Arial" w:cs="Arial" w:eastAsia="Arial" w:hAnsi="Arial"/>
                <w:sz w:val="16"/>
                <w:szCs w:val="16"/>
                <w:b w:val="1"/>
                <w:bCs w:val="1"/>
                <w:color w:val="auto"/>
              </w:rPr>
              <w:t>Count</w:t>
            </w:r>
          </w:p>
        </w:tc>
        <w:tc>
          <w:tcPr>
            <w:tcW w:w="820" w:type="dxa"/>
            <w:vAlign w:val="bottom"/>
          </w:tcPr>
          <w:p>
            <w:pPr>
              <w:ind w:left="160"/>
              <w:spacing w:after="0" w:line="173" w:lineRule="exact"/>
              <w:rPr>
                <w:sz w:val="20"/>
                <w:szCs w:val="20"/>
                <w:color w:val="auto"/>
              </w:rPr>
            </w:pPr>
            <w:r>
              <w:rPr>
                <w:rFonts w:ascii="Arial" w:cs="Arial" w:eastAsia="Arial" w:hAnsi="Arial"/>
                <w:sz w:val="16"/>
                <w:szCs w:val="16"/>
                <w:b w:val="1"/>
                <w:bCs w:val="1"/>
                <w:color w:val="auto"/>
              </w:rPr>
              <w:t>Leased</w:t>
            </w:r>
          </w:p>
        </w:tc>
        <w:tc>
          <w:tcPr>
            <w:tcW w:w="14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Owned</w:t>
            </w:r>
          </w:p>
        </w:tc>
        <w:tc>
          <w:tcPr>
            <w:tcW w:w="2720" w:type="dxa"/>
            <w:vAlign w:val="bottom"/>
            <w:gridSpan w:val="2"/>
          </w:tcPr>
          <w:p>
            <w:pPr>
              <w:ind w:left="140"/>
              <w:spacing w:after="0" w:line="173" w:lineRule="exact"/>
              <w:rPr>
                <w:sz w:val="20"/>
                <w:szCs w:val="20"/>
                <w:color w:val="auto"/>
              </w:rPr>
            </w:pPr>
            <w:r>
              <w:rPr>
                <w:rFonts w:ascii="Arial" w:cs="Arial" w:eastAsia="Arial" w:hAnsi="Arial"/>
                <w:sz w:val="16"/>
                <w:szCs w:val="16"/>
                <w:b w:val="1"/>
                <w:bCs w:val="1"/>
                <w:color w:val="auto"/>
              </w:rPr>
              <w:t>Operating Brands</w:t>
            </w:r>
          </w:p>
        </w:tc>
      </w:tr>
      <w:tr>
        <w:trPr>
          <w:trHeight w:val="173"/>
        </w:trPr>
        <w:tc>
          <w:tcPr>
            <w:tcW w:w="20" w:type="dxa"/>
            <w:vAlign w:val="bottom"/>
          </w:tcPr>
          <w:p>
            <w:pPr>
              <w:spacing w:after="0"/>
              <w:rPr>
                <w:sz w:val="15"/>
                <w:szCs w:val="15"/>
                <w:color w:val="auto"/>
              </w:rPr>
            </w:pPr>
          </w:p>
        </w:tc>
        <w:tc>
          <w:tcPr>
            <w:tcW w:w="144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United States</w:t>
            </w:r>
          </w:p>
        </w:tc>
        <w:tc>
          <w:tcPr>
            <w:tcW w:w="1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Hawaii</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6</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74</w:t>
            </w: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6</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Consolidated Theatres</w:t>
            </w: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line="171" w:lineRule="exact"/>
              <w:rPr>
                <w:sz w:val="20"/>
                <w:szCs w:val="20"/>
                <w:color w:val="auto"/>
              </w:rPr>
            </w:pPr>
            <w:r>
              <w:rPr>
                <w:rFonts w:ascii="Arial" w:cs="Arial" w:eastAsia="Arial" w:hAnsi="Arial"/>
                <w:sz w:val="16"/>
                <w:szCs w:val="16"/>
                <w:color w:val="auto"/>
              </w:rPr>
              <w:t>Reading Cinemas, Angelika Film</w:t>
            </w:r>
          </w:p>
        </w:tc>
      </w:tr>
      <w:tr>
        <w:trPr>
          <w:trHeight w:val="175"/>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5" w:lineRule="exact"/>
              <w:rPr>
                <w:sz w:val="20"/>
                <w:szCs w:val="20"/>
                <w:color w:val="auto"/>
              </w:rPr>
            </w:pPr>
            <w:r>
              <w:rPr>
                <w:rFonts w:ascii="Arial" w:cs="Arial" w:eastAsia="Arial" w:hAnsi="Arial"/>
                <w:sz w:val="16"/>
                <w:szCs w:val="16"/>
                <w:color w:val="auto"/>
              </w:rPr>
              <w:t>California</w:t>
            </w:r>
          </w:p>
        </w:tc>
        <w:tc>
          <w:tcPr>
            <w:tcW w:w="840" w:type="dxa"/>
            <w:vAlign w:val="bottom"/>
            <w:gridSpan w:val="2"/>
          </w:tcPr>
          <w:p>
            <w:pPr>
              <w:jc w:val="center"/>
              <w:ind w:left="40"/>
              <w:spacing w:after="0" w:line="175" w:lineRule="exact"/>
              <w:rPr>
                <w:sz w:val="20"/>
                <w:szCs w:val="20"/>
                <w:color w:val="auto"/>
              </w:rPr>
            </w:pPr>
            <w:r>
              <w:rPr>
                <w:rFonts w:ascii="Arial" w:cs="Arial" w:eastAsia="Arial" w:hAnsi="Arial"/>
                <w:sz w:val="16"/>
                <w:szCs w:val="16"/>
                <w:color w:val="auto"/>
                <w:w w:val="89"/>
              </w:rPr>
              <w:t>5</w:t>
            </w:r>
          </w:p>
        </w:tc>
        <w:tc>
          <w:tcPr>
            <w:tcW w:w="820" w:type="dxa"/>
            <w:vAlign w:val="bottom"/>
            <w:gridSpan w:val="2"/>
          </w:tcPr>
          <w:p>
            <w:pPr>
              <w:jc w:val="center"/>
              <w:ind w:left="60"/>
              <w:spacing w:after="0" w:line="175" w:lineRule="exact"/>
              <w:rPr>
                <w:sz w:val="20"/>
                <w:szCs w:val="20"/>
                <w:color w:val="auto"/>
              </w:rPr>
            </w:pPr>
            <w:r>
              <w:rPr>
                <w:rFonts w:ascii="Arial" w:cs="Arial" w:eastAsia="Arial" w:hAnsi="Arial"/>
                <w:sz w:val="16"/>
                <w:szCs w:val="16"/>
                <w:color w:val="auto"/>
                <w:w w:val="89"/>
              </w:rPr>
              <w:t>58</w:t>
            </w:r>
          </w:p>
        </w:tc>
        <w:tc>
          <w:tcPr>
            <w:tcW w:w="160" w:type="dxa"/>
            <w:vAlign w:val="bottom"/>
          </w:tcPr>
          <w:p>
            <w:pPr>
              <w:spacing w:after="0"/>
              <w:rPr>
                <w:sz w:val="15"/>
                <w:szCs w:val="15"/>
                <w:color w:val="auto"/>
              </w:rPr>
            </w:pPr>
          </w:p>
        </w:tc>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5</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Center</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New York</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3</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16</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2</w:t>
            </w:r>
          </w:p>
        </w:tc>
        <w:tc>
          <w:tcPr>
            <w:tcW w:w="96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Angelika Film Center</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Texas</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8</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line="173" w:lineRule="exact"/>
              <w:rPr>
                <w:sz w:val="20"/>
                <w:szCs w:val="20"/>
                <w:color w:val="auto"/>
              </w:rPr>
            </w:pPr>
            <w:r>
              <w:rPr>
                <w:rFonts w:ascii="Arial" w:cs="Arial" w:eastAsia="Arial" w:hAnsi="Arial"/>
                <w:sz w:val="16"/>
                <w:szCs w:val="16"/>
                <w:color w:val="auto"/>
              </w:rPr>
              <w:t>Angelika Film Center</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New Jersey</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12</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Virginia</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8</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line="173" w:lineRule="exact"/>
              <w:rPr>
                <w:sz w:val="20"/>
                <w:szCs w:val="20"/>
                <w:color w:val="auto"/>
              </w:rPr>
            </w:pPr>
            <w:r>
              <w:rPr>
                <w:rFonts w:ascii="Arial" w:cs="Arial" w:eastAsia="Arial" w:hAnsi="Arial"/>
                <w:sz w:val="16"/>
                <w:szCs w:val="16"/>
                <w:color w:val="auto"/>
              </w:rPr>
              <w:t>Angelika Film Center</w:t>
            </w:r>
          </w:p>
        </w:tc>
      </w:tr>
      <w:tr>
        <w:trPr>
          <w:trHeight w:val="173"/>
        </w:trPr>
        <w:tc>
          <w:tcPr>
            <w:tcW w:w="20" w:type="dxa"/>
            <w:vAlign w:val="bottom"/>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Washington DC</w:t>
            </w:r>
          </w:p>
        </w:tc>
        <w:tc>
          <w:tcPr>
            <w:tcW w:w="840" w:type="dxa"/>
            <w:vAlign w:val="bottom"/>
            <w:tcBorders>
              <w:bottom w:val="single" w:sz="8" w:color="auto"/>
            </w:tcBorders>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tcBorders>
              <w:bottom w:val="single" w:sz="8" w:color="auto"/>
            </w:tcBorders>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3</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58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Angelika Film Center</w:t>
            </w:r>
          </w:p>
        </w:tc>
      </w:tr>
      <w:tr>
        <w:trPr>
          <w:trHeight w:val="173"/>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120"/>
              <w:spacing w:after="0" w:line="173" w:lineRule="exact"/>
              <w:rPr>
                <w:sz w:val="20"/>
                <w:szCs w:val="20"/>
                <w:color w:val="auto"/>
              </w:rPr>
            </w:pPr>
            <w:r>
              <w:rPr>
                <w:rFonts w:ascii="Arial" w:cs="Arial" w:eastAsia="Arial" w:hAnsi="Arial"/>
                <w:sz w:val="16"/>
                <w:szCs w:val="16"/>
                <w:b w:val="1"/>
                <w:bCs w:val="1"/>
                <w:i w:val="1"/>
                <w:iCs w:val="1"/>
                <w:color w:val="auto"/>
              </w:rPr>
              <w:t>U.S. Total</w:t>
            </w:r>
          </w:p>
        </w:tc>
        <w:tc>
          <w:tcPr>
            <w:tcW w:w="840" w:type="dxa"/>
            <w:vAlign w:val="bottom"/>
            <w:tcBorders>
              <w:bottom w:val="single" w:sz="8" w:color="auto"/>
            </w:tcBorders>
            <w:gridSpan w:val="2"/>
          </w:tcPr>
          <w:p>
            <w:pPr>
              <w:jc w:val="center"/>
              <w:ind w:left="40"/>
              <w:spacing w:after="0" w:line="173" w:lineRule="exact"/>
              <w:rPr>
                <w:sz w:val="20"/>
                <w:szCs w:val="20"/>
                <w:color w:val="auto"/>
              </w:rPr>
            </w:pPr>
            <w:r>
              <w:rPr>
                <w:rFonts w:ascii="Arial" w:cs="Arial" w:eastAsia="Arial" w:hAnsi="Arial"/>
                <w:sz w:val="16"/>
                <w:szCs w:val="16"/>
                <w:b w:val="1"/>
                <w:bCs w:val="1"/>
                <w:color w:val="auto"/>
                <w:w w:val="89"/>
              </w:rPr>
              <w:t>18</w:t>
            </w:r>
          </w:p>
        </w:tc>
        <w:tc>
          <w:tcPr>
            <w:tcW w:w="820" w:type="dxa"/>
            <w:vAlign w:val="bottom"/>
            <w:tcBorders>
              <w:bottom w:val="single" w:sz="8" w:color="auto"/>
            </w:tcBorders>
            <w:gridSpan w:val="2"/>
          </w:tcPr>
          <w:p>
            <w:pPr>
              <w:jc w:val="center"/>
              <w:ind w:left="60"/>
              <w:spacing w:after="0" w:line="173" w:lineRule="exact"/>
              <w:rPr>
                <w:sz w:val="20"/>
                <w:szCs w:val="20"/>
                <w:color w:val="auto"/>
              </w:rPr>
            </w:pPr>
            <w:r>
              <w:rPr>
                <w:rFonts w:ascii="Arial" w:cs="Arial" w:eastAsia="Arial" w:hAnsi="Arial"/>
                <w:sz w:val="16"/>
                <w:szCs w:val="16"/>
                <w:b w:val="1"/>
                <w:bCs w:val="1"/>
                <w:color w:val="auto"/>
                <w:w w:val="89"/>
              </w:rPr>
              <w:t>179</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89"/>
              </w:rPr>
              <w:t>17</w:t>
            </w:r>
          </w:p>
        </w:tc>
        <w:tc>
          <w:tcPr>
            <w:tcW w:w="960" w:type="dxa"/>
            <w:vAlign w:val="bottom"/>
            <w:tcBorders>
              <w:bottom w:val="single" w:sz="8" w:color="auto"/>
            </w:tcBorders>
            <w:gridSpan w:val="2"/>
          </w:tcPr>
          <w:p>
            <w:pPr>
              <w:jc w:val="center"/>
              <w:ind w:left="40"/>
              <w:spacing w:after="0" w:line="173" w:lineRule="exact"/>
              <w:rPr>
                <w:sz w:val="20"/>
                <w:szCs w:val="20"/>
                <w:color w:val="auto"/>
              </w:rPr>
            </w:pPr>
            <w:r>
              <w:rPr>
                <w:rFonts w:ascii="Arial" w:cs="Arial" w:eastAsia="Arial" w:hAnsi="Arial"/>
                <w:sz w:val="16"/>
                <w:szCs w:val="16"/>
                <w:b w:val="1"/>
                <w:bCs w:val="1"/>
                <w:color w:val="auto"/>
                <w:w w:val="89"/>
              </w:rPr>
              <w:t>1</w:t>
            </w: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Australia</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Victoria</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9</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62</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9</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New South Wales</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6</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44</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w w:val="95"/>
              </w:rPr>
              <w:t>Reading Cinemas, Angelika Cinemas,</w:t>
            </w:r>
          </w:p>
        </w:tc>
      </w:tr>
      <w:tr>
        <w:trPr>
          <w:trHeight w:val="233"/>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Queensland</w:t>
            </w:r>
          </w:p>
        </w:tc>
        <w:tc>
          <w:tcPr>
            <w:tcW w:w="8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7</w:t>
            </w:r>
          </w:p>
        </w:tc>
        <w:tc>
          <w:tcPr>
            <w:tcW w:w="8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64</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96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2</w:t>
            </w:r>
          </w:p>
        </w:tc>
        <w:tc>
          <w:tcPr>
            <w:tcW w:w="1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line="232" w:lineRule="exact"/>
              <w:rPr>
                <w:sz w:val="20"/>
                <w:szCs w:val="20"/>
                <w:color w:val="auto"/>
              </w:rPr>
            </w:pPr>
            <w:r>
              <w:rPr>
                <w:rFonts w:ascii="Arial" w:cs="Arial" w:eastAsia="Arial" w:hAnsi="Arial"/>
                <w:sz w:val="15"/>
                <w:szCs w:val="15"/>
                <w:color w:val="auto"/>
              </w:rPr>
              <w:t>Event Cinemas</w:t>
            </w:r>
            <w:r>
              <w:rPr>
                <w:rFonts w:ascii="Arial" w:cs="Arial" w:eastAsia="Arial" w:hAnsi="Arial"/>
                <w:sz w:val="26"/>
                <w:szCs w:val="26"/>
                <w:color w:val="auto"/>
                <w:vertAlign w:val="superscript"/>
              </w:rPr>
              <w:t>(1)</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Western Australia</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4</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27</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3</w:t>
            </w:r>
          </w:p>
        </w:tc>
        <w:tc>
          <w:tcPr>
            <w:tcW w:w="96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5"/>
                <w:szCs w:val="15"/>
                <w:color w:val="auto"/>
              </w:rPr>
            </w:pPr>
          </w:p>
        </w:tc>
        <w:tc>
          <w:tcPr>
            <w:tcW w:w="2580" w:type="dxa"/>
            <w:vAlign w:val="bottom"/>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South Australia</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2</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2</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line="171" w:lineRule="exact"/>
              <w:rPr>
                <w:sz w:val="20"/>
                <w:szCs w:val="20"/>
                <w:color w:val="auto"/>
              </w:rPr>
            </w:pPr>
            <w:r>
              <w:rPr>
                <w:rFonts w:ascii="Arial" w:cs="Arial" w:eastAsia="Arial" w:hAnsi="Arial"/>
                <w:sz w:val="16"/>
                <w:szCs w:val="16"/>
                <w:color w:val="auto"/>
              </w:rPr>
              <w:t>Reading Cinemas, State Cinema by</w:t>
            </w:r>
          </w:p>
        </w:tc>
      </w:tr>
      <w:tr>
        <w:trPr>
          <w:trHeight w:val="175"/>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Tasmania</w:t>
            </w:r>
          </w:p>
        </w:tc>
        <w:tc>
          <w:tcPr>
            <w:tcW w:w="840" w:type="dxa"/>
            <w:vAlign w:val="bottom"/>
            <w:tcBorders>
              <w:bottom w:val="single" w:sz="8" w:color="auto"/>
            </w:tcBorders>
            <w:gridSpan w:val="2"/>
          </w:tcPr>
          <w:p>
            <w:pPr>
              <w:jc w:val="center"/>
              <w:ind w:left="40"/>
              <w:spacing w:after="0" w:line="175" w:lineRule="exact"/>
              <w:rPr>
                <w:sz w:val="20"/>
                <w:szCs w:val="20"/>
                <w:color w:val="auto"/>
              </w:rPr>
            </w:pPr>
            <w:r>
              <w:rPr>
                <w:rFonts w:ascii="Arial" w:cs="Arial" w:eastAsia="Arial" w:hAnsi="Arial"/>
                <w:sz w:val="16"/>
                <w:szCs w:val="16"/>
                <w:color w:val="auto"/>
                <w:w w:val="89"/>
              </w:rPr>
              <w:t>2</w:t>
            </w:r>
          </w:p>
        </w:tc>
        <w:tc>
          <w:tcPr>
            <w:tcW w:w="820" w:type="dxa"/>
            <w:vAlign w:val="bottom"/>
            <w:tcBorders>
              <w:bottom w:val="single" w:sz="8" w:color="auto"/>
            </w:tcBorders>
            <w:gridSpan w:val="2"/>
          </w:tcPr>
          <w:p>
            <w:pPr>
              <w:jc w:val="center"/>
              <w:ind w:left="60"/>
              <w:spacing w:after="0" w:line="175" w:lineRule="exact"/>
              <w:rPr>
                <w:sz w:val="20"/>
                <w:szCs w:val="20"/>
                <w:color w:val="auto"/>
              </w:rPr>
            </w:pPr>
            <w:r>
              <w:rPr>
                <w:rFonts w:ascii="Arial" w:cs="Arial" w:eastAsia="Arial" w:hAnsi="Arial"/>
                <w:sz w:val="16"/>
                <w:szCs w:val="16"/>
                <w:color w:val="auto"/>
                <w:w w:val="89"/>
              </w:rPr>
              <w:t>14</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w w:val="89"/>
              </w:rPr>
              <w:t>2</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tcPr>
          <w:p>
            <w:pPr>
              <w:ind w:left="140"/>
              <w:spacing w:after="0" w:line="175" w:lineRule="exact"/>
              <w:rPr>
                <w:sz w:val="20"/>
                <w:szCs w:val="20"/>
                <w:color w:val="auto"/>
              </w:rPr>
            </w:pPr>
            <w:r>
              <w:rPr>
                <w:rFonts w:ascii="Arial" w:cs="Arial" w:eastAsia="Arial" w:hAnsi="Arial"/>
                <w:sz w:val="16"/>
                <w:szCs w:val="16"/>
                <w:color w:val="auto"/>
              </w:rPr>
              <w:t>Angelika</w:t>
            </w:r>
          </w:p>
        </w:tc>
      </w:tr>
      <w:tr>
        <w:trPr>
          <w:trHeight w:val="173"/>
        </w:trPr>
        <w:tc>
          <w:tcPr>
            <w:tcW w:w="20" w:type="dxa"/>
            <w:vAlign w:val="bottom"/>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120"/>
              <w:spacing w:after="0" w:line="173" w:lineRule="exact"/>
              <w:rPr>
                <w:sz w:val="20"/>
                <w:szCs w:val="20"/>
                <w:color w:val="auto"/>
              </w:rPr>
            </w:pPr>
            <w:r>
              <w:rPr>
                <w:rFonts w:ascii="Arial" w:cs="Arial" w:eastAsia="Arial" w:hAnsi="Arial"/>
                <w:sz w:val="16"/>
                <w:szCs w:val="16"/>
                <w:b w:val="1"/>
                <w:bCs w:val="1"/>
                <w:i w:val="1"/>
                <w:iCs w:val="1"/>
                <w:color w:val="auto"/>
              </w:rPr>
              <w:t>Australia Total</w:t>
            </w:r>
          </w:p>
        </w:tc>
        <w:tc>
          <w:tcPr>
            <w:tcW w:w="840" w:type="dxa"/>
            <w:vAlign w:val="bottom"/>
            <w:tcBorders>
              <w:bottom w:val="single" w:sz="8" w:color="auto"/>
            </w:tcBorders>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b w:val="1"/>
                <w:bCs w:val="1"/>
                <w:color w:val="auto"/>
                <w:w w:val="89"/>
              </w:rPr>
              <w:t>30</w:t>
            </w:r>
          </w:p>
        </w:tc>
        <w:tc>
          <w:tcPr>
            <w:tcW w:w="820" w:type="dxa"/>
            <w:vAlign w:val="bottom"/>
            <w:tcBorders>
              <w:bottom w:val="single" w:sz="8" w:color="auto"/>
            </w:tcBorders>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b w:val="1"/>
                <w:bCs w:val="1"/>
                <w:color w:val="auto"/>
                <w:w w:val="89"/>
              </w:rPr>
              <w:t>226</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b w:val="1"/>
                <w:bCs w:val="1"/>
                <w:color w:val="auto"/>
                <w:w w:val="89"/>
              </w:rPr>
              <w:t>27</w:t>
            </w:r>
          </w:p>
        </w:tc>
        <w:tc>
          <w:tcPr>
            <w:tcW w:w="960" w:type="dxa"/>
            <w:vAlign w:val="bottom"/>
            <w:tcBorders>
              <w:bottom w:val="single" w:sz="8" w:color="auto"/>
            </w:tcBorders>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b w:val="1"/>
                <w:bCs w:val="1"/>
                <w:color w:val="auto"/>
                <w:w w:val="89"/>
              </w:rPr>
              <w:t>3</w:t>
            </w:r>
          </w:p>
        </w:tc>
        <w:tc>
          <w:tcPr>
            <w:tcW w:w="140" w:type="dxa"/>
            <w:vAlign w:val="bottom"/>
            <w:tcBorders>
              <w:bottom w:val="single" w:sz="8" w:color="auto"/>
            </w:tcBorders>
            <w:shd w:val="clear" w:color="auto" w:fill="CCEEFF"/>
          </w:tcPr>
          <w:p>
            <w:pPr>
              <w:spacing w:after="0"/>
              <w:rPr>
                <w:sz w:val="15"/>
                <w:szCs w:val="15"/>
                <w:color w:val="auto"/>
              </w:rPr>
            </w:pPr>
          </w:p>
        </w:tc>
        <w:tc>
          <w:tcPr>
            <w:tcW w:w="2580" w:type="dxa"/>
            <w:vAlign w:val="bottom"/>
            <w:tcBorders>
              <w:bottom w:val="single" w:sz="8" w:color="auto"/>
            </w:tcBorders>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line="173" w:lineRule="exact"/>
              <w:rPr>
                <w:sz w:val="20"/>
                <w:szCs w:val="20"/>
                <w:color w:val="auto"/>
              </w:rPr>
            </w:pPr>
            <w:r>
              <w:rPr>
                <w:rFonts w:ascii="Arial" w:cs="Arial" w:eastAsia="Arial" w:hAnsi="Arial"/>
                <w:sz w:val="16"/>
                <w:szCs w:val="16"/>
                <w:b w:val="1"/>
                <w:bCs w:val="1"/>
                <w:color w:val="auto"/>
              </w:rPr>
              <w:t>New Zealand</w:t>
            </w: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Wellington</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2</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15</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2</w:t>
            </w:r>
          </w:p>
        </w:tc>
        <w:tc>
          <w:tcPr>
            <w:tcW w:w="96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0</w:t>
            </w:r>
          </w:p>
        </w:tc>
        <w:tc>
          <w:tcPr>
            <w:tcW w:w="2720" w:type="dxa"/>
            <w:vAlign w:val="bottom"/>
            <w:gridSpan w:val="2"/>
          </w:tcPr>
          <w:p>
            <w:pPr>
              <w:ind w:left="140"/>
              <w:spacing w:after="0" w:line="173" w:lineRule="exact"/>
              <w:rPr>
                <w:sz w:val="20"/>
                <w:szCs w:val="20"/>
                <w:color w:val="auto"/>
              </w:rPr>
            </w:pPr>
            <w:r>
              <w:rPr>
                <w:rFonts w:ascii="Arial" w:cs="Arial" w:eastAsia="Arial" w:hAnsi="Arial"/>
                <w:sz w:val="16"/>
                <w:szCs w:val="16"/>
                <w:color w:val="auto"/>
              </w:rPr>
              <w:t>Reading Cinemas</w:t>
            </w:r>
          </w:p>
        </w:tc>
      </w:tr>
      <w:tr>
        <w:trPr>
          <w:trHeight w:val="233"/>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Otago</w:t>
            </w:r>
          </w:p>
        </w:tc>
        <w:tc>
          <w:tcPr>
            <w:tcW w:w="8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2</w:t>
            </w:r>
          </w:p>
        </w:tc>
        <w:tc>
          <w:tcPr>
            <w:tcW w:w="8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96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line="232" w:lineRule="exact"/>
              <w:rPr>
                <w:sz w:val="20"/>
                <w:szCs w:val="20"/>
                <w:color w:val="auto"/>
              </w:rPr>
            </w:pPr>
            <w:r>
              <w:rPr>
                <w:rFonts w:ascii="Arial" w:cs="Arial" w:eastAsia="Arial" w:hAnsi="Arial"/>
                <w:sz w:val="15"/>
                <w:szCs w:val="15"/>
                <w:color w:val="auto"/>
              </w:rPr>
              <w:t>Reading Cinemas, Rialto Cinemas</w:t>
            </w:r>
            <w:r>
              <w:rPr>
                <w:rFonts w:ascii="Arial" w:cs="Arial" w:eastAsia="Arial" w:hAnsi="Arial"/>
                <w:sz w:val="26"/>
                <w:szCs w:val="26"/>
                <w:color w:val="auto"/>
                <w:vertAlign w:val="superscript"/>
              </w:rPr>
              <w:t>(2)</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Auckland</w:t>
            </w:r>
          </w:p>
        </w:tc>
        <w:tc>
          <w:tcPr>
            <w:tcW w:w="8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w:t>
            </w:r>
          </w:p>
        </w:tc>
        <w:tc>
          <w:tcPr>
            <w:tcW w:w="8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20" w:type="dxa"/>
            <w:vAlign w:val="bottom"/>
            <w:gridSpan w:val="2"/>
          </w:tcPr>
          <w:p>
            <w:pPr>
              <w:ind w:left="140"/>
              <w:spacing w:after="0" w:line="232" w:lineRule="exact"/>
              <w:rPr>
                <w:sz w:val="20"/>
                <w:szCs w:val="20"/>
                <w:color w:val="auto"/>
              </w:rPr>
            </w:pPr>
            <w:r>
              <w:rPr>
                <w:rFonts w:ascii="Arial" w:cs="Arial" w:eastAsia="Arial" w:hAnsi="Arial"/>
                <w:sz w:val="15"/>
                <w:szCs w:val="15"/>
                <w:color w:val="auto"/>
              </w:rPr>
              <w:t>Reading Cinemas, Rialto Cinemas</w:t>
            </w:r>
            <w:r>
              <w:rPr>
                <w:rFonts w:ascii="Arial" w:cs="Arial" w:eastAsia="Arial" w:hAnsi="Arial"/>
                <w:sz w:val="26"/>
                <w:szCs w:val="26"/>
                <w:color w:val="auto"/>
                <w:vertAlign w:val="superscript"/>
              </w:rPr>
              <w:t>(2)</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Canterbury</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8</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line="173" w:lineRule="exact"/>
              <w:rPr>
                <w:sz w:val="20"/>
                <w:szCs w:val="20"/>
                <w:color w:val="auto"/>
              </w:rPr>
            </w:pPr>
            <w:r>
              <w:rPr>
                <w:rFonts w:ascii="Arial" w:cs="Arial" w:eastAsia="Arial" w:hAnsi="Arial"/>
                <w:sz w:val="16"/>
                <w:szCs w:val="16"/>
                <w:color w:val="auto"/>
              </w:rPr>
              <w:t>Southland</w:t>
            </w:r>
          </w:p>
        </w:tc>
        <w:tc>
          <w:tcPr>
            <w:tcW w:w="840" w:type="dxa"/>
            <w:vAlign w:val="bottom"/>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tcPr>
          <w:p>
            <w:pPr>
              <w:jc w:val="center"/>
              <w:ind w:left="60"/>
              <w:spacing w:after="0" w:line="173" w:lineRule="exact"/>
              <w:rPr>
                <w:sz w:val="20"/>
                <w:szCs w:val="20"/>
                <w:color w:val="auto"/>
              </w:rPr>
            </w:pPr>
            <w:r>
              <w:rPr>
                <w:rFonts w:ascii="Arial" w:cs="Arial" w:eastAsia="Arial" w:hAnsi="Arial"/>
                <w:sz w:val="16"/>
                <w:szCs w:val="16"/>
                <w:color w:val="auto"/>
                <w:w w:val="89"/>
              </w:rPr>
              <w:t>5</w:t>
            </w:r>
          </w:p>
        </w:tc>
        <w:tc>
          <w:tcPr>
            <w:tcW w:w="160" w:type="dxa"/>
            <w:vAlign w:val="bottom"/>
          </w:tcPr>
          <w:p>
            <w:pPr>
              <w:spacing w:after="0"/>
              <w:rPr>
                <w:sz w:val="15"/>
                <w:szCs w:val="15"/>
                <w:color w:val="auto"/>
              </w:rPr>
            </w:pPr>
          </w:p>
        </w:tc>
        <w:tc>
          <w:tcPr>
            <w:tcW w:w="820" w:type="dxa"/>
            <w:vAlign w:val="bottom"/>
          </w:tcPr>
          <w:p>
            <w:pPr>
              <w:jc w:val="center"/>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Bay of Plenty</w:t>
            </w:r>
          </w:p>
        </w:tc>
        <w:tc>
          <w:tcPr>
            <w:tcW w:w="84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center"/>
              <w:ind w:left="60"/>
              <w:spacing w:after="0" w:line="173" w:lineRule="exact"/>
              <w:rPr>
                <w:sz w:val="20"/>
                <w:szCs w:val="20"/>
                <w:color w:val="auto"/>
              </w:rPr>
            </w:pPr>
            <w:r>
              <w:rPr>
                <w:rFonts w:ascii="Arial" w:cs="Arial" w:eastAsia="Arial" w:hAnsi="Arial"/>
                <w:sz w:val="16"/>
                <w:szCs w:val="16"/>
                <w:color w:val="auto"/>
                <w:w w:val="89"/>
              </w:rPr>
              <w:t>5</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Reading Cinemas</w:t>
            </w:r>
          </w:p>
        </w:tc>
      </w:tr>
      <w:tr>
        <w:trPr>
          <w:trHeight w:val="173"/>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rPr>
              <w:t>Hawke's Bay</w:t>
            </w:r>
          </w:p>
        </w:tc>
        <w:tc>
          <w:tcPr>
            <w:tcW w:w="840" w:type="dxa"/>
            <w:vAlign w:val="bottom"/>
            <w:tcBorders>
              <w:bottom w:val="single" w:sz="8" w:color="auto"/>
            </w:tcBorders>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820" w:type="dxa"/>
            <w:vAlign w:val="bottom"/>
            <w:tcBorders>
              <w:bottom w:val="single" w:sz="8" w:color="auto"/>
            </w:tcBorders>
            <w:gridSpan w:val="2"/>
          </w:tcPr>
          <w:p>
            <w:pPr>
              <w:jc w:val="center"/>
              <w:ind w:left="60"/>
              <w:spacing w:after="0" w:line="173" w:lineRule="exact"/>
              <w:rPr>
                <w:sz w:val="20"/>
                <w:szCs w:val="20"/>
                <w:color w:val="auto"/>
              </w:rPr>
            </w:pPr>
            <w:r>
              <w:rPr>
                <w:rFonts w:ascii="Arial" w:cs="Arial" w:eastAsia="Arial" w:hAnsi="Arial"/>
                <w:sz w:val="16"/>
                <w:szCs w:val="16"/>
                <w:color w:val="auto"/>
                <w:w w:val="89"/>
              </w:rPr>
              <w:t>4</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0"/>
              <w:spacing w:after="0" w:line="173" w:lineRule="exact"/>
              <w:rPr>
                <w:sz w:val="20"/>
                <w:szCs w:val="20"/>
                <w:color w:val="auto"/>
              </w:rPr>
            </w:pPr>
            <w:r>
              <w:rPr>
                <w:rFonts w:ascii="Arial" w:cs="Arial" w:eastAsia="Arial" w:hAnsi="Arial"/>
                <w:sz w:val="16"/>
                <w:szCs w:val="16"/>
                <w:color w:val="auto"/>
                <w:w w:val="89"/>
              </w:rPr>
              <w:t>1</w:t>
            </w: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rPr>
              <w:t>Reading Cinemas</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51</w:t>
      </w:r>
    </w:p>
    <w:p>
      <w:pPr>
        <w:sectPr>
          <w:pgSz w:w="11900" w:h="16838" w:orient="portrait"/>
          <w:cols w:equalWidth="0" w:num="1">
            <w:col w:w="9400"/>
          </w:cols>
          <w:pgMar w:left="1260" w:top="1440" w:right="1246"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00" w:type="dxa"/>
            <w:vAlign w:val="bottom"/>
            <w:tcBorders>
              <w:top w:val="single" w:sz="8" w:color="auto"/>
              <w:bottom w:val="single" w:sz="8" w:color="auto"/>
            </w:tcBorders>
            <w:shd w:val="clear" w:color="auto" w:fill="CCEEFF"/>
          </w:tcPr>
          <w:p>
            <w:pPr>
              <w:ind w:left="1700"/>
              <w:spacing w:after="0"/>
              <w:rPr>
                <w:sz w:val="20"/>
                <w:szCs w:val="20"/>
                <w:color w:val="auto"/>
              </w:rPr>
            </w:pPr>
            <w:r>
              <w:rPr>
                <w:rFonts w:ascii="Arial" w:cs="Arial" w:eastAsia="Arial" w:hAnsi="Arial"/>
                <w:sz w:val="16"/>
                <w:szCs w:val="16"/>
                <w:b w:val="1"/>
                <w:bCs w:val="1"/>
                <w:i w:val="1"/>
                <w:iCs w:val="1"/>
                <w:color w:val="auto"/>
              </w:rPr>
              <w:t>New Zealand Total</w:t>
            </w:r>
          </w:p>
        </w:tc>
        <w:tc>
          <w:tcPr>
            <w:tcW w:w="74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92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64</w:t>
            </w:r>
          </w:p>
        </w:tc>
        <w:tc>
          <w:tcPr>
            <w:tcW w:w="9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7</w:t>
            </w:r>
          </w:p>
        </w:tc>
        <w:tc>
          <w:tcPr>
            <w:tcW w:w="3600" w:type="dxa"/>
            <w:vAlign w:val="bottom"/>
            <w:tcBorders>
              <w:top w:val="single" w:sz="8" w:color="auto"/>
              <w:bottom w:val="single" w:sz="8" w:color="auto"/>
            </w:tcBorders>
            <w:shd w:val="clear" w:color="auto" w:fill="CCEEFF"/>
          </w:tcPr>
          <w:p>
            <w:pPr>
              <w:jc w:val="right"/>
              <w:ind w:right="3020"/>
              <w:spacing w:after="0"/>
              <w:rPr>
                <w:sz w:val="20"/>
                <w:szCs w:val="20"/>
                <w:color w:val="auto"/>
              </w:rPr>
            </w:pPr>
            <w:r>
              <w:rPr>
                <w:rFonts w:ascii="Arial" w:cs="Arial" w:eastAsia="Arial" w:hAnsi="Arial"/>
                <w:sz w:val="16"/>
                <w:szCs w:val="16"/>
                <w:b w:val="1"/>
                <w:bCs w:val="1"/>
                <w:color w:val="auto"/>
              </w:rPr>
              <w:t>3</w:t>
            </w:r>
          </w:p>
        </w:tc>
      </w:tr>
      <w:tr>
        <w:trPr>
          <w:trHeight w:val="177"/>
        </w:trPr>
        <w:tc>
          <w:tcPr>
            <w:tcW w:w="20" w:type="dxa"/>
            <w:vAlign w:val="bottom"/>
          </w:tcPr>
          <w:p>
            <w:pPr>
              <w:spacing w:after="0"/>
              <w:rPr>
                <w:sz w:val="15"/>
                <w:szCs w:val="15"/>
                <w:color w:val="auto"/>
              </w:rPr>
            </w:pPr>
          </w:p>
        </w:tc>
        <w:tc>
          <w:tcPr>
            <w:tcW w:w="3200" w:type="dxa"/>
            <w:vAlign w:val="bottom"/>
          </w:tcPr>
          <w:p>
            <w:pPr>
              <w:spacing w:after="0" w:line="177" w:lineRule="exact"/>
              <w:rPr>
                <w:sz w:val="20"/>
                <w:szCs w:val="20"/>
                <w:color w:val="auto"/>
              </w:rPr>
            </w:pPr>
            <w:r>
              <w:rPr>
                <w:rFonts w:ascii="Arial" w:cs="Arial" w:eastAsia="Arial" w:hAnsi="Arial"/>
                <w:sz w:val="16"/>
                <w:szCs w:val="16"/>
                <w:b w:val="1"/>
                <w:bCs w:val="1"/>
                <w:color w:val="auto"/>
              </w:rPr>
              <w:t>GRAND TOTAL</w:t>
            </w:r>
          </w:p>
        </w:tc>
        <w:tc>
          <w:tcPr>
            <w:tcW w:w="740" w:type="dxa"/>
            <w:vAlign w:val="bottom"/>
          </w:tcPr>
          <w:p>
            <w:pPr>
              <w:jc w:val="right"/>
              <w:ind w:right="240"/>
              <w:spacing w:after="0" w:line="177" w:lineRule="exact"/>
              <w:rPr>
                <w:sz w:val="20"/>
                <w:szCs w:val="20"/>
                <w:color w:val="auto"/>
              </w:rPr>
            </w:pPr>
            <w:r>
              <w:rPr>
                <w:rFonts w:ascii="Arial" w:cs="Arial" w:eastAsia="Arial" w:hAnsi="Arial"/>
                <w:sz w:val="16"/>
                <w:szCs w:val="16"/>
                <w:b w:val="1"/>
                <w:bCs w:val="1"/>
                <w:color w:val="auto"/>
              </w:rPr>
              <w:t>58</w:t>
            </w:r>
          </w:p>
        </w:tc>
        <w:tc>
          <w:tcPr>
            <w:tcW w:w="920" w:type="dxa"/>
            <w:vAlign w:val="bottom"/>
          </w:tcPr>
          <w:p>
            <w:pPr>
              <w:jc w:val="right"/>
              <w:ind w:right="280"/>
              <w:spacing w:after="0" w:line="177" w:lineRule="exact"/>
              <w:rPr>
                <w:sz w:val="20"/>
                <w:szCs w:val="20"/>
                <w:color w:val="auto"/>
              </w:rPr>
            </w:pPr>
            <w:r>
              <w:rPr>
                <w:rFonts w:ascii="Arial" w:cs="Arial" w:eastAsia="Arial" w:hAnsi="Arial"/>
                <w:sz w:val="16"/>
                <w:szCs w:val="16"/>
                <w:b w:val="1"/>
                <w:bCs w:val="1"/>
                <w:color w:val="auto"/>
              </w:rPr>
              <w:t>469</w:t>
            </w:r>
          </w:p>
        </w:tc>
        <w:tc>
          <w:tcPr>
            <w:tcW w:w="920" w:type="dxa"/>
            <w:vAlign w:val="bottom"/>
          </w:tcPr>
          <w:p>
            <w:pPr>
              <w:jc w:val="right"/>
              <w:ind w:right="340"/>
              <w:spacing w:after="0" w:line="177" w:lineRule="exact"/>
              <w:rPr>
                <w:sz w:val="20"/>
                <w:szCs w:val="20"/>
                <w:color w:val="auto"/>
              </w:rPr>
            </w:pPr>
            <w:r>
              <w:rPr>
                <w:rFonts w:ascii="Arial" w:cs="Arial" w:eastAsia="Arial" w:hAnsi="Arial"/>
                <w:sz w:val="16"/>
                <w:szCs w:val="16"/>
                <w:b w:val="1"/>
                <w:bCs w:val="1"/>
                <w:color w:val="auto"/>
              </w:rPr>
              <w:t>51</w:t>
            </w:r>
          </w:p>
        </w:tc>
        <w:tc>
          <w:tcPr>
            <w:tcW w:w="3600" w:type="dxa"/>
            <w:vAlign w:val="bottom"/>
          </w:tcPr>
          <w:p>
            <w:pPr>
              <w:jc w:val="right"/>
              <w:ind w:right="3020"/>
              <w:spacing w:after="0" w:line="177" w:lineRule="exact"/>
              <w:rPr>
                <w:sz w:val="20"/>
                <w:szCs w:val="20"/>
                <w:color w:val="auto"/>
              </w:rPr>
            </w:pPr>
            <w:r>
              <w:rPr>
                <w:rFonts w:ascii="Arial" w:cs="Arial" w:eastAsia="Arial" w:hAnsi="Arial"/>
                <w:sz w:val="16"/>
                <w:szCs w:val="16"/>
                <w:b w:val="1"/>
                <w:bCs w:val="1"/>
                <w:color w:val="auto"/>
              </w:rPr>
              <w:t>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6985</wp:posOffset>
                </wp:positionV>
                <wp:extent cx="596709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55pt" to="469.55pt,0.55pt" o:allowincell="f" strokecolor="#000000" strokeweight="1.5pt"/>
            </w:pict>
          </mc:Fallback>
        </mc:AlternateContent>
      </w:r>
    </w:p>
    <w:p>
      <w:pPr>
        <w:jc w:val="center"/>
        <w:ind w:right="20"/>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1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51</w:t>
      </w:r>
    </w:p>
    <w:p>
      <w:pPr>
        <w:sectPr>
          <w:pgSz w:w="11900" w:h="16838" w:orient="portrait"/>
          <w:cols w:equalWidth="0" w:num="1">
            <w:col w:w="9400"/>
          </w:cols>
          <w:pgMar w:left="1260" w:top="1113" w:right="1246" w:bottom="0" w:gutter="0" w:footer="0" w:header="0"/>
          <w:type w:val="continuous"/>
        </w:sectPr>
      </w:pPr>
    </w:p>
    <w:bookmarkStart w:id="14" w:name="page15"/>
    <w:bookmarkEnd w:id="14"/>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w:t>
      </w:r>
    </w:p>
    <w:p>
      <w:pPr>
        <w:ind w:left="720" w:right="20"/>
        <w:spacing w:after="0" w:line="225" w:lineRule="auto"/>
        <w:rPr>
          <w:sz w:val="20"/>
          <w:szCs w:val="20"/>
          <w:color w:val="auto"/>
        </w:rPr>
      </w:pPr>
      <w:r>
        <w:rPr>
          <w:rFonts w:ascii="Arial" w:cs="Arial" w:eastAsia="Arial" w:hAnsi="Arial"/>
          <w:sz w:val="16"/>
          <w:szCs w:val="16"/>
          <w:color w:val="auto"/>
        </w:rPr>
        <w:t>Our Company has a 33.3% unincorporated joint venture interest in a 16-screen cinema located in Mt. Gravatt, Queensland managed by Event Cinemas.</w:t>
      </w:r>
    </w:p>
    <w:p>
      <w:pPr>
        <w:spacing w:after="0" w:line="1" w:lineRule="exact"/>
        <w:rPr>
          <w:sz w:val="20"/>
          <w:szCs w:val="20"/>
          <w:color w:val="auto"/>
        </w:rPr>
      </w:pPr>
    </w:p>
    <w:p>
      <w:pPr>
        <w:ind w:left="720" w:right="40" w:hanging="366"/>
        <w:spacing w:after="0" w:line="227"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Company is a 50% joint venture partner in two New Zealand Rialto cinemas totaling 13 screens. We are responsible for the booking of these cinemas and our joint venture partner, Event Cinemas, manages their day-to-day operations.</w:t>
      </w:r>
    </w:p>
    <w:p>
      <w:pPr>
        <w:spacing w:after="0" w:line="170"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Taking into account current cash flow constraints, we remain focused, to the extent practicable, on enhancing our existing cinema facilities, and securing liquor licenses in Australia and New Zealand to offer our customers premium experiences. These include luxury recliner seating, advanced presentation technologies such as superior sound systems, lounges, cafés, bar services, and additional amenities. At December 31, 2025, 202 of our auditoriums are equipped with recliner seating (excluding screens held in joint ventures), while 34 auditoriums feature large-format screens, including TITAN XC, TITAN LUXE, or IMAX. While our circuit did transition to digital projection and sound systems; we retained the capability to showcase films in both 35MM and 70MM formats in select cinemas, catering to the preferences of certain directors and cinephiles.</w:t>
      </w:r>
    </w:p>
    <w:p>
      <w:pPr>
        <w:spacing w:after="0" w:line="218"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Although we operate cinemas in three countries, the general nature of our operations and operating strategies do not vary materially from jurisdiction to 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Approximately 58% of our 2025 cinema revenue is from total box office receipts. Ticket prices vary by location, with reduced rates available for senior citizens, children and, in certain markets, military personnel and students. In addition, across our U.S. based cinemas, we offer value ticket days, including Half Priced Tuesday and Mahalo Tuesdays (in our Hawaii locations) and, now, in Australia and New Zealand, we offer our rewards members access to Terrific Tuesdays, which is a discounted ticket day.</w:t>
      </w:r>
    </w:p>
    <w:p>
      <w:pPr>
        <w:spacing w:after="0" w:line="21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Showtimes and features are advertised across our websites, various internet platforms, and, in some markets, in select local newspapers. We are continuously expanding our presence through social media, websites, email campaigns, and other online platforms. Additionally, film distributors may promote certain feature films through various print, radio, television, and internet channels, with distributors typically covering these advertising costs.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Food and beverage (F&amp;B) sales accounted for approximately 34% of our total 2025 cinema revenue. While nearly all of our global cinemas are licensed for the sale and on-site consumption of alcoholic beverages, our traditional F&amp;B offerings have predominantly consisted of popcorn, candy, and soda. This is evolving, as more of our theaters are expanding their F&amp;B selections. One of our key strategic priorities is to enhance our existing cinemas with a broader range of F&amp;B options that align with emerging trends and customer preferences. We measure our performance in this area using spend per patron (SPP), comparing it both to our competitors and as an indicator of the effectiveness of our F&amp;B operations. While the profitability of our F&amp;B operations is influenced by various factors, including labor costs and the cost of goods sold, we believe this metric provides valuable insight into our top-line performance.</w:t>
      </w:r>
    </w:p>
    <w:p>
      <w:pPr>
        <w:spacing w:after="0" w:line="205"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Screen advertising and other revenue contributed approximately 9% to our total 2025 cinema revenue. Except for certain rights that we have retained to sell screen advertising to local advertisers, we are not in the screen advertising business and nationally recognized screen-advertising companies’ contract with us for the right to show such advertising on our screens.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Management of Cinemas</w:t>
      </w:r>
    </w:p>
    <w:p>
      <w:pPr>
        <w:spacing w:after="0" w:line="21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Apart from three unconsolidated cinemas, our operations are overseen by management teams based in Los Angeles and Manhattan in the United States, Melbourne, Australia, and Wellington, New Zealand. Two of our New Zealand Rialto cinemas are held through a joint venture in which Reading New Zealand owns a 50% interest, with our joint venture partner responsible for day-to-day operations while we provide film booking support. In addition, we hold a passive one third interest in a 16-screen cinema in Brisbane, which is also operated by the same third-party partner.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Licensing and Pricing</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Our cinemas license films from a diverse mix of content suppliers that include both large international studios and independent distributors. While the global market for wide release, mainstream films is largely controlled by major studios, distribution structures vary by region. Regarding Australia and New Zealand, certain studio titles may be handled through independent local distributors rather than directly by the studios themselves. In the United States, specialty and alternative content is typically released through studio affiliated specialty labels as well as through established independent distributors focused on curated theatrical releases. Film licensing arrangements are generally structured around revenue sharing, with rental terms tied to a negotiated percentage of box office performance that can differ by title, venue, and market conditions.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Competition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51</w:t>
      </w:r>
    </w:p>
    <w:p>
      <w:pPr>
        <w:sectPr>
          <w:pgSz w:w="11900" w:h="16838" w:orient="portrait"/>
          <w:cols w:equalWidth="0" w:num="1">
            <w:col w:w="9380"/>
          </w:cols>
          <w:pgMar w:left="1260" w:top="1440" w:right="1266" w:bottom="0" w:gutter="0" w:footer="0" w:header="0"/>
          <w:type w:val="continuous"/>
        </w:sectPr>
      </w:pPr>
    </w:p>
    <w:bookmarkStart w:id="15" w:name="page16"/>
    <w:bookmarkEnd w:id="15"/>
    <w:p>
      <w:pPr>
        <w:jc w:val="both"/>
        <w:spacing w:after="0" w:line="225" w:lineRule="auto"/>
        <w:rPr>
          <w:sz w:val="20"/>
          <w:szCs w:val="20"/>
          <w:color w:val="auto"/>
        </w:rPr>
      </w:pPr>
      <w:r>
        <w:rPr>
          <w:rFonts w:ascii="Arial" w:cs="Arial" w:eastAsia="Arial" w:hAnsi="Arial"/>
          <w:sz w:val="20"/>
          <w:szCs w:val="20"/>
          <w:color w:val="auto"/>
        </w:rPr>
        <w:t>Film availability is determined by distributor allocation decisions that increasingly involve competition between theatrical exhibitors and streaming platforms, which can limit access to certain titles. While our cinemas in Australia and New Zealand generally maintain broad access to available releases, industry dynamics have shifted in recent years, particularly following the COVID-19 pandemic.</w:t>
      </w:r>
    </w:p>
    <w:p>
      <w:pPr>
        <w:jc w:val="center"/>
        <w:ind w:right="-39"/>
        <w:spacing w:after="0" w:line="231" w:lineRule="auto"/>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34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 / 51</w:t>
      </w:r>
    </w:p>
    <w:p>
      <w:pPr>
        <w:sectPr>
          <w:pgSz w:w="11900" w:h="16838" w:orient="portrait"/>
          <w:cols w:equalWidth="0" w:num="1">
            <w:col w:w="9360"/>
          </w:cols>
          <w:pgMar w:left="1260" w:top="1347" w:right="1286" w:bottom="0" w:gutter="0" w:footer="0" w:header="0"/>
          <w:type w:val="continuous"/>
        </w:sectPr>
      </w:pPr>
    </w:p>
    <w:bookmarkStart w:id="16" w:name="page17"/>
    <w:bookmarkEnd w:id="16"/>
    <w:p>
      <w:pPr>
        <w:jc w:val="both"/>
        <w:ind w:right="60"/>
        <w:spacing w:after="0" w:line="238" w:lineRule="auto"/>
        <w:rPr>
          <w:sz w:val="20"/>
          <w:szCs w:val="20"/>
          <w:color w:val="auto"/>
        </w:rPr>
      </w:pPr>
      <w:r>
        <w:rPr>
          <w:rFonts w:ascii="Arial" w:cs="Arial" w:eastAsia="Arial" w:hAnsi="Arial"/>
          <w:sz w:val="19"/>
          <w:szCs w:val="19"/>
          <w:color w:val="auto"/>
        </w:rPr>
        <w:t>Streaming services have expanded the scale and quality of their content, while some distributors now prioritize streaming and on-demand releases over traditional theatrical windows for some films. At the same time, video content has become a dominant medium across digital channels, serving as a primary method for audience engagement through social media, websites, email campaigns, and other online platforms.</w:t>
      </w:r>
    </w:p>
    <w:p>
      <w:pPr>
        <w:spacing w:after="0" w:line="213"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 xml:space="preserve">The continued dominance of streaming subscription services such as Netflix, Amazon Prime Video, Disney/Hulu, and Apple continues to create competition for the traditional theatrical experience offered by cinemas. Netflix has increasingly engaged with theatrical exhibition through select cinema releases, including </w:t>
      </w:r>
      <w:r>
        <w:rPr>
          <w:rFonts w:ascii="Arial" w:cs="Arial" w:eastAsia="Arial" w:hAnsi="Arial"/>
          <w:sz w:val="18"/>
          <w:szCs w:val="18"/>
          <w:i w:val="1"/>
          <w:iCs w:val="1"/>
          <w:color w:val="auto"/>
        </w:rPr>
        <w:t>KPop Demon Hunters</w:t>
      </w:r>
      <w:r>
        <w:rPr>
          <w:rFonts w:ascii="Arial" w:cs="Arial" w:eastAsia="Arial" w:hAnsi="Arial"/>
          <w:sz w:val="18"/>
          <w:szCs w:val="18"/>
          <w:color w:val="auto"/>
        </w:rPr>
        <w:t xml:space="preserve">, </w:t>
      </w:r>
      <w:r>
        <w:rPr>
          <w:rFonts w:ascii="Arial" w:cs="Arial" w:eastAsia="Arial" w:hAnsi="Arial"/>
          <w:sz w:val="18"/>
          <w:szCs w:val="18"/>
          <w:i w:val="1"/>
          <w:iCs w:val="1"/>
          <w:color w:val="auto"/>
        </w:rPr>
        <w:t>Frankenstein</w:t>
      </w:r>
      <w:r>
        <w:rPr>
          <w:rFonts w:ascii="Arial" w:cs="Arial" w:eastAsia="Arial" w:hAnsi="Arial"/>
          <w:sz w:val="18"/>
          <w:szCs w:val="18"/>
          <w:color w:val="auto"/>
        </w:rPr>
        <w:t>,</w:t>
      </w:r>
      <w:r>
        <w:rPr>
          <w:rFonts w:ascii="Arial" w:cs="Arial" w:eastAsia="Arial" w:hAnsi="Arial"/>
          <w:sz w:val="18"/>
          <w:szCs w:val="18"/>
          <w:i w:val="1"/>
          <w:iCs w:val="1"/>
          <w:color w:val="auto"/>
        </w:rPr>
        <w:t xml:space="preserve"> A House of Dynamite</w:t>
      </w:r>
      <w:r>
        <w:rPr>
          <w:rFonts w:ascii="Arial" w:cs="Arial" w:eastAsia="Arial" w:hAnsi="Arial"/>
          <w:sz w:val="18"/>
          <w:szCs w:val="18"/>
          <w:color w:val="auto"/>
        </w:rPr>
        <w:t>, and</w:t>
      </w:r>
      <w:r>
        <w:rPr>
          <w:rFonts w:ascii="Arial" w:cs="Arial" w:eastAsia="Arial" w:hAnsi="Arial"/>
          <w:sz w:val="18"/>
          <w:szCs w:val="18"/>
          <w:i w:val="1"/>
          <w:iCs w:val="1"/>
          <w:color w:val="auto"/>
        </w:rPr>
        <w:t xml:space="preserve"> Stranger Things: The Finale</w:t>
      </w:r>
      <w:r>
        <w:rPr>
          <w:rFonts w:ascii="Arial" w:cs="Arial" w:eastAsia="Arial" w:hAnsi="Arial"/>
          <w:sz w:val="18"/>
          <w:szCs w:val="18"/>
          <w:color w:val="auto"/>
        </w:rPr>
        <w:t>, reflecting a broader effort to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traditional cinema ecosystem. Amazon Prime has contributed to this competitive landscape through streaming exclusive releases such as </w:t>
      </w:r>
      <w:r>
        <w:rPr>
          <w:rFonts w:ascii="Arial" w:cs="Arial" w:eastAsia="Arial" w:hAnsi="Arial"/>
          <w:sz w:val="18"/>
          <w:szCs w:val="18"/>
          <w:i w:val="1"/>
          <w:iCs w:val="1"/>
          <w:color w:val="auto"/>
        </w:rPr>
        <w:t>The Naked Gun</w:t>
      </w:r>
      <w:r>
        <w:rPr>
          <w:rFonts w:ascii="Arial" w:cs="Arial" w:eastAsia="Arial" w:hAnsi="Arial"/>
          <w:sz w:val="18"/>
          <w:szCs w:val="18"/>
          <w:color w:val="auto"/>
        </w:rPr>
        <w:t xml:space="preserve"> and </w:t>
      </w:r>
      <w:r>
        <w:rPr>
          <w:rFonts w:ascii="Arial" w:cs="Arial" w:eastAsia="Arial" w:hAnsi="Arial"/>
          <w:sz w:val="18"/>
          <w:szCs w:val="18"/>
          <w:i w:val="1"/>
          <w:iCs w:val="1"/>
          <w:color w:val="auto"/>
        </w:rPr>
        <w:t>Playdate</w:t>
      </w:r>
      <w:r>
        <w:rPr>
          <w:rFonts w:ascii="Arial" w:cs="Arial" w:eastAsia="Arial" w:hAnsi="Arial"/>
          <w:sz w:val="18"/>
          <w:szCs w:val="18"/>
          <w:color w:val="auto"/>
        </w:rPr>
        <w:t xml:space="preserve">, while also hosting major Warner Bros. titles including </w:t>
      </w:r>
      <w:r>
        <w:rPr>
          <w:rFonts w:ascii="Arial" w:cs="Arial" w:eastAsia="Arial" w:hAnsi="Arial"/>
          <w:sz w:val="18"/>
          <w:szCs w:val="18"/>
          <w:i w:val="1"/>
          <w:iCs w:val="1"/>
          <w:color w:val="auto"/>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Minecraft 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Sinners </w:t>
      </w:r>
      <w:r>
        <w:rPr>
          <w:rFonts w:ascii="Arial" w:cs="Arial" w:eastAsia="Arial" w:hAnsi="Arial"/>
          <w:sz w:val="18"/>
          <w:szCs w:val="18"/>
          <w:color w:val="auto"/>
        </w:rPr>
        <w:t>following their theatrical runs. Disney/Hulu has also demonstrated the ability to drive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viewership through streaming-first releases, including </w:t>
      </w:r>
      <w:r>
        <w:rPr>
          <w:rFonts w:ascii="Arial" w:cs="Arial" w:eastAsia="Arial" w:hAnsi="Arial"/>
          <w:sz w:val="18"/>
          <w:szCs w:val="18"/>
          <w:i w:val="1"/>
          <w:iCs w:val="1"/>
          <w:color w:val="auto"/>
        </w:rPr>
        <w:t>The Toxic Avenger</w:t>
      </w:r>
      <w:r>
        <w:rPr>
          <w:rFonts w:ascii="Arial" w:cs="Arial" w:eastAsia="Arial" w:hAnsi="Arial"/>
          <w:sz w:val="18"/>
          <w:szCs w:val="18"/>
          <w:color w:val="auto"/>
        </w:rPr>
        <w:t xml:space="preserve">, </w:t>
      </w:r>
      <w:r>
        <w:rPr>
          <w:rFonts w:ascii="Arial" w:cs="Arial" w:eastAsia="Arial" w:hAnsi="Arial"/>
          <w:sz w:val="18"/>
          <w:szCs w:val="18"/>
          <w:i w:val="1"/>
          <w:iCs w:val="1"/>
          <w:color w:val="auto"/>
        </w:rPr>
        <w:t>A Complete Unknown</w:t>
      </w:r>
      <w:r>
        <w:rPr>
          <w:rFonts w:ascii="Arial" w:cs="Arial" w:eastAsia="Arial" w:hAnsi="Arial"/>
          <w:sz w:val="18"/>
          <w:szCs w:val="18"/>
          <w:color w:val="auto"/>
        </w:rPr>
        <w:t xml:space="preserve">, </w:t>
      </w:r>
      <w:r>
        <w:rPr>
          <w:rFonts w:ascii="Arial" w:cs="Arial" w:eastAsia="Arial" w:hAnsi="Arial"/>
          <w:sz w:val="18"/>
          <w:szCs w:val="18"/>
          <w:i w:val="1"/>
          <w:iCs w:val="1"/>
          <w:color w:val="auto"/>
        </w:rPr>
        <w:t>Twinless</w:t>
      </w:r>
      <w:r>
        <w:rPr>
          <w:rFonts w:ascii="Arial" w:cs="Arial" w:eastAsia="Arial" w:hAnsi="Arial"/>
          <w:sz w:val="18"/>
          <w:szCs w:val="18"/>
          <w:color w:val="auto"/>
        </w:rPr>
        <w:t xml:space="preserve">, and </w:t>
      </w:r>
      <w:r>
        <w:rPr>
          <w:rFonts w:ascii="Arial" w:cs="Arial" w:eastAsia="Arial" w:hAnsi="Arial"/>
          <w:sz w:val="18"/>
          <w:szCs w:val="18"/>
          <w:i w:val="1"/>
          <w:iCs w:val="1"/>
          <w:color w:val="auto"/>
        </w:rPr>
        <w:t>Predator: Killer of Killers</w:t>
      </w:r>
      <w:r>
        <w:rPr>
          <w:rFonts w:ascii="Arial" w:cs="Arial" w:eastAsia="Arial" w:hAnsi="Arial"/>
          <w:sz w:val="18"/>
          <w:szCs w:val="18"/>
          <w:color w:val="auto"/>
        </w:rPr>
        <w:t>. Apple made the star-studded</w:t>
      </w:r>
      <w:r>
        <w:rPr>
          <w:rFonts w:ascii="Arial" w:cs="Arial" w:eastAsia="Arial" w:hAnsi="Arial"/>
          <w:sz w:val="18"/>
          <w:szCs w:val="18"/>
          <w:i w:val="1"/>
          <w:iCs w:val="1"/>
          <w:color w:val="auto"/>
        </w:rPr>
        <w:t xml:space="preserve"> F1 The Movie </w:t>
      </w:r>
      <w:r>
        <w:rPr>
          <w:rFonts w:ascii="Arial" w:cs="Arial" w:eastAsia="Arial" w:hAnsi="Arial"/>
          <w:sz w:val="18"/>
          <w:szCs w:val="18"/>
          <w:color w:val="auto"/>
        </w:rPr>
        <w:t>available on its platform following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theatrical release and premiered streaming-exclusive films such as </w:t>
      </w:r>
      <w:r>
        <w:rPr>
          <w:rFonts w:ascii="Arial" w:cs="Arial" w:eastAsia="Arial" w:hAnsi="Arial"/>
          <w:sz w:val="18"/>
          <w:szCs w:val="18"/>
          <w:i w:val="1"/>
          <w:iCs w:val="1"/>
          <w:color w:val="auto"/>
        </w:rPr>
        <w:t>Highest 2 Lowest</w:t>
      </w:r>
      <w:r>
        <w:rPr>
          <w:rFonts w:ascii="Arial" w:cs="Arial" w:eastAsia="Arial" w:hAnsi="Arial"/>
          <w:sz w:val="18"/>
          <w:szCs w:val="18"/>
          <w:color w:val="auto"/>
        </w:rPr>
        <w:t xml:space="preserve"> and </w:t>
      </w:r>
      <w:r>
        <w:rPr>
          <w:rFonts w:ascii="Arial" w:cs="Arial" w:eastAsia="Arial" w:hAnsi="Arial"/>
          <w:sz w:val="18"/>
          <w:szCs w:val="18"/>
          <w:i w:val="1"/>
          <w:iCs w:val="1"/>
          <w:color w:val="auto"/>
        </w:rPr>
        <w:t>Fountain of Youth</w:t>
      </w:r>
      <w:r>
        <w:rPr>
          <w:rFonts w:ascii="Arial" w:cs="Arial" w:eastAsia="Arial" w:hAnsi="Arial"/>
          <w:sz w:val="18"/>
          <w:szCs w:val="18"/>
          <w:color w:val="auto"/>
        </w:rPr>
        <w:t xml:space="preserve">. Meanwhile, </w:t>
      </w:r>
      <w:r>
        <w:rPr>
          <w:rFonts w:ascii="Arial" w:cs="Arial" w:eastAsia="Arial" w:hAnsi="Arial"/>
          <w:sz w:val="18"/>
          <w:szCs w:val="18"/>
          <w:i w:val="1"/>
          <w:iCs w:val="1"/>
          <w:color w:val="auto"/>
        </w:rPr>
        <w:t>Universal Pictures</w:t>
      </w:r>
      <w:r>
        <w:rPr>
          <w:rFonts w:ascii="Arial" w:cs="Arial" w:eastAsia="Arial" w:hAnsi="Arial"/>
          <w:sz w:val="18"/>
          <w:szCs w:val="18"/>
          <w:color w:val="auto"/>
        </w:rPr>
        <w:t xml:space="preserve"> maintained a traditional release strategy in 2025, with all of its films debuting in</w:t>
      </w:r>
    </w:p>
    <w:p>
      <w:pPr>
        <w:spacing w:after="0" w:line="4"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 xml:space="preserve">movie theaters before becoming available on its </w:t>
      </w:r>
      <w:r>
        <w:rPr>
          <w:rFonts w:ascii="Arial" w:cs="Arial" w:eastAsia="Arial" w:hAnsi="Arial"/>
          <w:sz w:val="20"/>
          <w:szCs w:val="20"/>
          <w:i w:val="1"/>
          <w:iCs w:val="1"/>
          <w:color w:val="auto"/>
        </w:rPr>
        <w:t xml:space="preserve">Peacock </w:t>
      </w:r>
      <w:r>
        <w:rPr>
          <w:rFonts w:ascii="Arial" w:cs="Arial" w:eastAsia="Arial" w:hAnsi="Arial"/>
          <w:sz w:val="20"/>
          <w:szCs w:val="20"/>
          <w:color w:val="auto"/>
        </w:rPr>
        <w:t>platform. YouTube’s Paid Video on Demand program’s vast offerings, including free content, could</w:t>
      </w:r>
      <w:r>
        <w:rPr>
          <w:rFonts w:ascii="Arial" w:cs="Arial" w:eastAsia="Arial" w:hAnsi="Arial"/>
          <w:sz w:val="20"/>
          <w:szCs w:val="20"/>
          <w:i w:val="1"/>
          <w:iCs w:val="1"/>
          <w:color w:val="auto"/>
        </w:rPr>
        <w:t xml:space="preserve"> </w:t>
      </w:r>
      <w:r>
        <w:rPr>
          <w:rFonts w:ascii="Arial" w:cs="Arial" w:eastAsia="Arial" w:hAnsi="Arial"/>
          <w:sz w:val="20"/>
          <w:szCs w:val="20"/>
          <w:color w:val="auto"/>
        </w:rPr>
        <w:t>potentially shift audiences away from mainstream media of the type historically presented by cinemas.</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ability to obtain high performing films may be affected by the level of competition within certain markets and by our relative size and screen count. In North America, a significant portion of theatrical exhibitions are controlled by large exhibitors such as AMC, Regal, and Cinemark, which together account for approximately 50% of available screens and can offer distributors broader access to major markets than we are able to provide. In addition, these exhibitors operate in a number of markets with limited direct competition, which may influence distributor allocation decisions. As a result, distributors may prioritize these larger operators when licensing high demand films. Conditions differ in Australia and New Zealand, where multiplex exhibitors generally have access to films in distribution, although competition remains strong from boutique operators that are able to secure limited engagements for popular commercial titles.</w:t>
      </w:r>
    </w:p>
    <w:p>
      <w:pPr>
        <w:spacing w:after="0" w:line="218"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Audience preferences are increasingly shaped by the quality of the cinema experience, including the availability of advanced projection and sound technology, luxury recliner seating, and expanded food and beverage offerings. In recent years, a number of competing cinemas have opened or completed renovations that incorporate these premium features, including alcohol service and seat food delivery, which compete directly with our offerings. Certain competitors also benefit from greater financial capacity, in some cases due to prior restructurings or capital raising activities, enabling them to invest more aggressively in upgrades and enhancements that may place competitive pressure on our cinemas.</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Following substantial investments in our cinema portfolio since 2015, we believe our circuit is well-positioned for a strong recovery in the post-COVID-19 and post-Hollywood strike environment. Key metrics, as of the date of this Report, include:</w:t>
      </w:r>
    </w:p>
    <w:p>
      <w:pPr>
        <w:spacing w:after="0" w:line="206" w:lineRule="exact"/>
        <w:rPr>
          <w:sz w:val="20"/>
          <w:szCs w:val="20"/>
          <w:color w:val="auto"/>
        </w:rPr>
      </w:pPr>
    </w:p>
    <w:p>
      <w:pPr>
        <w:ind w:left="720" w:hanging="366"/>
        <w:spacing w:after="0"/>
        <w:tabs>
          <w:tab w:leader="none" w:pos="720" w:val="left"/>
        </w:tabs>
        <w:numPr>
          <w:ilvl w:val="0"/>
          <w:numId w:val="6"/>
        </w:numPr>
        <w:rPr>
          <w:rFonts w:ascii="Wingdings" w:cs="Wingdings" w:eastAsia="Wingdings" w:hAnsi="Wingdings"/>
          <w:sz w:val="20"/>
          <w:szCs w:val="20"/>
          <w:color w:val="auto"/>
        </w:rPr>
      </w:pPr>
      <w:r>
        <w:rPr>
          <w:rFonts w:ascii="Arial" w:cs="Arial" w:eastAsia="Arial" w:hAnsi="Arial"/>
          <w:sz w:val="20"/>
          <w:szCs w:val="20"/>
          <w:b w:val="1"/>
          <w:bCs w:val="1"/>
          <w:color w:val="auto"/>
        </w:rPr>
        <w:t>Luxury Recliner Seating:</w:t>
      </w:r>
    </w:p>
    <w:p>
      <w:pPr>
        <w:ind w:left="1440" w:hanging="366"/>
        <w:spacing w:after="0" w:line="228"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67% of our U.S. screens are equipped with luxury recliner seating.</w:t>
      </w:r>
    </w:p>
    <w:p>
      <w:pPr>
        <w:spacing w:after="0" w:line="10" w:lineRule="exact"/>
        <w:rPr>
          <w:rFonts w:ascii="Courier New" w:cs="Courier New" w:eastAsia="Courier New" w:hAnsi="Courier New"/>
          <w:sz w:val="20"/>
          <w:szCs w:val="20"/>
          <w:color w:val="auto"/>
        </w:rPr>
      </w:pPr>
    </w:p>
    <w:p>
      <w:pPr>
        <w:ind w:left="1440" w:hanging="366"/>
        <w:spacing w:after="0" w:line="213"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33% of our Australian and New Zealand (AU/NZ) screens feature luxury recliner seating.</w:t>
      </w:r>
    </w:p>
    <w:p>
      <w:pPr>
        <w:spacing w:after="0" w:line="11" w:lineRule="exact"/>
        <w:rPr>
          <w:rFonts w:ascii="Courier New" w:cs="Courier New" w:eastAsia="Courier New" w:hAnsi="Courier New"/>
          <w:sz w:val="20"/>
          <w:szCs w:val="20"/>
          <w:color w:val="auto"/>
        </w:rPr>
      </w:pPr>
    </w:p>
    <w:p>
      <w:pPr>
        <w:ind w:left="720" w:hanging="366"/>
        <w:spacing w:after="0" w:line="229" w:lineRule="auto"/>
        <w:tabs>
          <w:tab w:leader="none" w:pos="720" w:val="left"/>
        </w:tabs>
        <w:numPr>
          <w:ilvl w:val="0"/>
          <w:numId w:val="7"/>
        </w:numPr>
        <w:rPr>
          <w:rFonts w:ascii="Wingdings" w:cs="Wingdings" w:eastAsia="Wingdings" w:hAnsi="Wingdings"/>
          <w:sz w:val="20"/>
          <w:szCs w:val="20"/>
          <w:color w:val="auto"/>
        </w:rPr>
      </w:pPr>
      <w:r>
        <w:rPr>
          <w:rFonts w:ascii="Arial" w:cs="Arial" w:eastAsia="Arial" w:hAnsi="Arial"/>
          <w:sz w:val="20"/>
          <w:szCs w:val="20"/>
          <w:b w:val="1"/>
          <w:bCs w:val="1"/>
          <w:color w:val="auto"/>
        </w:rPr>
        <w:t>Premium Large Format (PLF) Auditoriums:</w:t>
      </w:r>
    </w:p>
    <w:p>
      <w:pPr>
        <w:spacing w:after="0" w:line="16" w:lineRule="exact"/>
        <w:rPr>
          <w:rFonts w:ascii="Wingdings" w:cs="Wingdings" w:eastAsia="Wingdings" w:hAnsi="Wingdings"/>
          <w:sz w:val="20"/>
          <w:szCs w:val="20"/>
          <w:color w:val="auto"/>
        </w:rPr>
      </w:pPr>
    </w:p>
    <w:p>
      <w:pPr>
        <w:ind w:left="1440" w:right="40" w:hanging="366"/>
        <w:spacing w:after="0" w:line="226"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44% of our U.S. theaters feature at least one PLF auditorium (IMAX, TITAN LUXE, or TITAN XC).</w:t>
      </w:r>
    </w:p>
    <w:p>
      <w:pPr>
        <w:ind w:left="1440" w:hanging="366"/>
        <w:spacing w:after="0" w:line="223"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54% of our AU/NZ theaters feature a PLF auditorium (TITAN XC or TITAN LUXE).</w:t>
      </w:r>
    </w:p>
    <w:p>
      <w:pPr>
        <w:spacing w:after="0" w:line="11" w:lineRule="exact"/>
        <w:rPr>
          <w:rFonts w:ascii="Courier New" w:cs="Courier New" w:eastAsia="Courier New" w:hAnsi="Courier New"/>
          <w:sz w:val="20"/>
          <w:szCs w:val="20"/>
          <w:color w:val="auto"/>
        </w:rPr>
      </w:pPr>
    </w:p>
    <w:p>
      <w:pPr>
        <w:ind w:left="720" w:hanging="366"/>
        <w:spacing w:after="0" w:line="229" w:lineRule="auto"/>
        <w:tabs>
          <w:tab w:leader="none" w:pos="720" w:val="left"/>
        </w:tabs>
        <w:numPr>
          <w:ilvl w:val="0"/>
          <w:numId w:val="7"/>
        </w:numPr>
        <w:rPr>
          <w:rFonts w:ascii="Wingdings" w:cs="Wingdings" w:eastAsia="Wingdings" w:hAnsi="Wingdings"/>
          <w:sz w:val="20"/>
          <w:szCs w:val="20"/>
          <w:color w:val="auto"/>
        </w:rPr>
      </w:pPr>
      <w:r>
        <w:rPr>
          <w:rFonts w:ascii="Arial" w:cs="Arial" w:eastAsia="Arial" w:hAnsi="Arial"/>
          <w:sz w:val="20"/>
          <w:szCs w:val="20"/>
          <w:b w:val="1"/>
          <w:bCs w:val="1"/>
          <w:color w:val="auto"/>
        </w:rPr>
        <w:t>Enhanced Food and Beverage (F&amp;B) Offerings:</w:t>
      </w:r>
    </w:p>
    <w:p>
      <w:pPr>
        <w:ind w:left="1440" w:hanging="366"/>
        <w:spacing w:after="0" w:line="228"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83% of our U.S. cinemas offer enhanced F&amp;B menus, including alcoholic beverages.</w:t>
      </w:r>
    </w:p>
    <w:p>
      <w:pPr>
        <w:spacing w:after="0" w:line="10" w:lineRule="exact"/>
        <w:rPr>
          <w:rFonts w:ascii="Courier New" w:cs="Courier New" w:eastAsia="Courier New" w:hAnsi="Courier New"/>
          <w:sz w:val="20"/>
          <w:szCs w:val="20"/>
          <w:color w:val="auto"/>
        </w:rPr>
      </w:pPr>
    </w:p>
    <w:p>
      <w:pPr>
        <w:ind w:left="1440" w:hanging="366"/>
        <w:spacing w:after="0" w:line="213"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59% of our AU/NZ cinemas provide enhanced F&amp;B menus.</w:t>
      </w:r>
    </w:p>
    <w:p>
      <w:pPr>
        <w:spacing w:after="0" w:line="10" w:lineRule="exact"/>
        <w:rPr>
          <w:rFonts w:ascii="Courier New" w:cs="Courier New" w:eastAsia="Courier New" w:hAnsi="Courier New"/>
          <w:sz w:val="20"/>
          <w:szCs w:val="20"/>
          <w:color w:val="auto"/>
        </w:rPr>
      </w:pPr>
    </w:p>
    <w:p>
      <w:pPr>
        <w:ind w:left="1440" w:hanging="366"/>
        <w:spacing w:after="0" w:line="213" w:lineRule="auto"/>
        <w:tabs>
          <w:tab w:leader="none" w:pos="144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color w:val="auto"/>
        </w:rPr>
        <w:t>84% of our global cinemas serve alcoholic beverages.</w:t>
      </w:r>
    </w:p>
    <w:p>
      <w:pPr>
        <w:spacing w:after="0" w:line="22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film exhibition markets in the United States, Australia, and New Zealand are influenced by a small number of major exhibition companies with significant financial resources, enabling them to compete more aggressively than we can. Based on information in filings with the SEC, as of December 31, 2025, the principal exhibitors in the United States are: AMC (with 7,072 screens in 544 cinemas); Regal (with 5,734 screens in 425 cinemas), owned by Cineworld Group, the U.K.’s largest cinema operator; and Cinemark (with 4,241 screens in 303 cinemas). As of December 31, 2025, we were the 14th largest exhibitor in the United States with 179 screens in 18 cinemas.</w:t>
      </w:r>
    </w:p>
    <w:p>
      <w:pPr>
        <w:spacing w:after="0" w:line="203"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The principal exhibitors in Australia are Event Cinemas (a subsidiary of Event Hospitality and Entertainment, Limited) (“Event”), Hoyts Cinemas (“Hoyts”), and Village Cinemas (“Village”). The major exhibitors control approximately 67% of the total cinema box office: Event 28%, Hoyts 28%, and Village 11%. By comparison, our 210 screens (excluding our joint venture theaters) represent approximately 8% of the total box office making Reading the fourth largest exhibitor in Australia as of December 31, 2025.</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51</w:t>
      </w:r>
    </w:p>
    <w:p>
      <w:pPr>
        <w:sectPr>
          <w:pgSz w:w="11900" w:h="16838" w:orient="portrait"/>
          <w:cols w:equalWidth="0" w:num="1">
            <w:col w:w="9380"/>
          </w:cols>
          <w:pgMar w:left="1260" w:top="1131" w:right="1266"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The principal exhibitors in New Zealand are Event Cinemas with 127 screens and Hoyts with 76 screens, nationally.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major exhibitors in New Zealand control approximately 51% of the total box office: Event 31% and Hoyts 20%.</w:t>
      </w:r>
    </w:p>
    <w:p>
      <w:pPr>
        <w:spacing w:after="0" w:line="234" w:lineRule="auto"/>
        <w:rPr>
          <w:sz w:val="20"/>
          <w:szCs w:val="20"/>
          <w:color w:val="auto"/>
        </w:rPr>
      </w:pPr>
      <w:r>
        <w:rPr>
          <w:rFonts w:ascii="Arial" w:cs="Arial" w:eastAsia="Arial" w:hAnsi="Arial"/>
          <w:sz w:val="20"/>
          <w:szCs w:val="20"/>
          <w:color w:val="auto"/>
        </w:rPr>
        <w:t>We have 9% of the market</w:t>
      </w:r>
    </w:p>
    <w:p>
      <w:pPr>
        <w:jc w:val="center"/>
        <w:ind w:right="-39"/>
        <w:spacing w:after="0" w:line="230" w:lineRule="auto"/>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4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 51</w:t>
      </w:r>
    </w:p>
    <w:p>
      <w:pPr>
        <w:sectPr>
          <w:pgSz w:w="11900" w:h="16838" w:orient="portrait"/>
          <w:cols w:equalWidth="0" w:num="1">
            <w:col w:w="9340"/>
          </w:cols>
          <w:pgMar w:left="1260" w:top="1347" w:right="1306" w:bottom="0" w:gutter="0" w:footer="0" w:header="0"/>
          <w:type w:val="continuous"/>
        </w:sectPr>
      </w:pPr>
    </w:p>
    <w:bookmarkStart w:id="18" w:name="page19"/>
    <w:bookmarkEnd w:id="18"/>
    <w:p>
      <w:pPr>
        <w:ind w:right="60"/>
        <w:spacing w:after="0" w:line="227" w:lineRule="auto"/>
        <w:rPr>
          <w:sz w:val="20"/>
          <w:szCs w:val="20"/>
          <w:color w:val="auto"/>
        </w:rPr>
      </w:pPr>
      <w:r>
        <w:rPr>
          <w:rFonts w:ascii="Arial" w:cs="Arial" w:eastAsia="Arial" w:hAnsi="Arial"/>
          <w:sz w:val="20"/>
          <w:szCs w:val="20"/>
          <w:color w:val="auto"/>
        </w:rPr>
        <w:t>(Event and Reading market share figures exclude any joint venture theaters) and are the third largest exhibitor in New Zealand, operating 41 screens in 7 cinemas as of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In-Home, Streaming and Mobile Device Competition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Rapid advances in home based and mobile entertainment have reshaped how audiences’ access and consume content, with higher quality systems, lower costs, and broad distribution through internet, cable, and satellite platforms. The widespread adoption of streaming services and the growing volume of content developed specifically for at home viewing have increased competition for consumer attention and altered traditional release patterns, placing pressure on studios to compress or bypass conventional theatrical windows.</w:t>
      </w:r>
    </w:p>
    <w:p>
      <w:pPr>
        <w:spacing w:after="0" w:line="213"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In response, we continue to differentiate the theatrical experience by investing in areas that cannot be easily replicated at home. These efforts include upgraded seating and amenities, enhanced service standards, reserved online ticketing, improved screen and sound technology, and a broader mix of alternative and event driven programming. Our objective is to reinforce the cinema as a premium, shared experience that delivers compelling value to guests, while remaining disciplined in our capital investments. These market dynamics impact all of our operating regions, and we are actively refining our programming, marketing, and operating models to reflect evolving consumer behavior. Over time, we expect to expand our cinema platform through targeted renovations and selective growth opportunities internationally.</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To further strengthen guest engagement, we are also expanding our loyalty and membership ecosystem. In the fourth quarter of 2024, we officially transitioned from the Reel Club to Reading Rewards and Angelika Rewards, our new and improved loyalty program in Australia and New Zealand. This upgrade underscores our dedication to delivering a more flexible and rewarding experience for our valued customers. Customers earn points on every dollar spent on tickets, snacks, and drinks at Reading and Angelika Cinemas. These points can now be redeemed for a wide range of rewards, including free or discounted tickets, concessions items, and more, giving customers greater flexibility and choice. Additionally, members can upgrade to Reading and Angelika Rewards Boost with a fee, unlocking even more perks like discounted movie tickets, bonus points, and food &amp; beverage savings. In December 2025, we transitioned from Cinema Extras in our U.S. Consolidated Theatres to a new free to join Consolidated rewards program and paid subscription premium membership to support our broader strategy to deepen customer relationships and drive repeat visitation. We also have been continuing to phase in free to join Reading reward membership and paid subscription premium membership in our U.S. Reading Cinemas. Our existing Angelika free membership program in the U.S. is continuing to grow and currently has over 182,000 memberships as of the date of this report, up over 22% from December 2024.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Further competitive issues are discussed under Item 1A – </w:t>
      </w:r>
      <w:r>
        <w:rPr>
          <w:rFonts w:ascii="Arial" w:cs="Arial" w:eastAsia="Arial" w:hAnsi="Arial"/>
          <w:sz w:val="20"/>
          <w:szCs w:val="20"/>
          <w:i w:val="1"/>
          <w:iCs w:val="1"/>
          <w:color w:val="auto"/>
        </w:rPr>
        <w:t>Risk Factors</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Seasonality</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Film release schedules are commonly aligned with major holiday periods. In prior years, this pattern has contributed to a natural smoothing of revenue, as holiday calendars in the United States generally do not coincide with those in Australia and New Zealand, other than during the Christmas and New Year season. From time to time, distributors have elected to postpone releases in Australia and New Zealand in order to capitalize on local holiday periods that do not exist in the U.S. market. Increasingly, however, this practice has declined as global digital distribution and online access have reduced the relevance of region-specific holiday timing and encouraged more synchronized worldwide release strategies.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REAL ESTATE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Overall</w:t>
      </w:r>
    </w:p>
    <w:p>
      <w:pPr>
        <w:spacing w:after="0" w:line="21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 xml:space="preserve">We engage in the real estate business through the ownership and rental or licensing to third parties of retail, commercial and live theatre assets. Up until the COVID-19 pandemic, we were actively acquiring land and developing our properties. However, in recent periods we have monetized most of our undeveloped land, and certain assets which, in our view, had reached a stage where any material increase in value would have required substantial capital investment and risk. As of December 31, 2025, we own the fee interests in both of our live theatres, and in 9 of our cinemas (as presented in the preceding table within the “Cinema Exhibition” section). A full list of our principal tangible assets is set forth above under the caption </w:t>
      </w:r>
      <w:r>
        <w:rPr>
          <w:rFonts w:ascii="Arial" w:cs="Arial" w:eastAsia="Arial" w:hAnsi="Arial"/>
          <w:sz w:val="19"/>
          <w:szCs w:val="19"/>
          <w:b w:val="1"/>
          <w:bCs w:val="1"/>
          <w:color w:val="auto"/>
        </w:rPr>
        <w:t>Principal Tangible Assets.</w:t>
      </w:r>
      <w:r>
        <w:rPr>
          <w:rFonts w:ascii="Arial" w:cs="Arial" w:eastAsia="Arial" w:hAnsi="Arial"/>
          <w:sz w:val="19"/>
          <w:szCs w:val="19"/>
          <w:color w:val="auto"/>
        </w:rPr>
        <w:t xml:space="preserve"> We believe that our real estate business creates long-term value for our stockholders through the continuous improvement and development of our investment and operating properties, including our two ETCs.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Our real estate activities have historically consisted principally of:</w:t>
      </w:r>
    </w:p>
    <w:p>
      <w:pPr>
        <w:ind w:left="720" w:right="40" w:hanging="366"/>
        <w:spacing w:after="0" w:line="278" w:lineRule="auto"/>
        <w:tabs>
          <w:tab w:leader="none" w:pos="720" w:val="left"/>
        </w:tabs>
        <w:numPr>
          <w:ilvl w:val="0"/>
          <w:numId w:val="8"/>
        </w:numPr>
        <w:rPr>
          <w:rFonts w:ascii="Wingdings" w:cs="Wingdings" w:eastAsia="Wingdings" w:hAnsi="Wingdings"/>
          <w:sz w:val="14"/>
          <w:szCs w:val="14"/>
          <w:color w:val="auto"/>
        </w:rPr>
      </w:pPr>
      <w:r>
        <w:rPr>
          <w:rFonts w:ascii="Arial" w:cs="Arial" w:eastAsia="Arial" w:hAnsi="Arial"/>
          <w:sz w:val="18"/>
          <w:szCs w:val="18"/>
          <w:color w:val="auto"/>
        </w:rPr>
        <w:t>the ownership of fee or long-term leasehold interests in properties used in our cinema exhibition activities or which were acquired for the development of cinemas or cinema-based real estate development projects;</w:t>
      </w:r>
    </w:p>
    <w:p>
      <w:pPr>
        <w:ind w:left="720" w:hanging="366"/>
        <w:spacing w:after="0"/>
        <w:tabs>
          <w:tab w:leader="none" w:pos="72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the acquisition and holding of fee interests in land for general real estate development;</w:t>
      </w:r>
    </w:p>
    <w:p>
      <w:pPr>
        <w:spacing w:after="0" w:line="15" w:lineRule="exact"/>
        <w:rPr>
          <w:rFonts w:ascii="Wingdings" w:cs="Wingdings" w:eastAsia="Wingdings" w:hAnsi="Wingdings"/>
          <w:sz w:val="16"/>
          <w:szCs w:val="16"/>
          <w:color w:val="auto"/>
        </w:rPr>
      </w:pPr>
    </w:p>
    <w:p>
      <w:pPr>
        <w:ind w:left="720" w:hanging="366"/>
        <w:spacing w:after="0"/>
        <w:tabs>
          <w:tab w:leader="none" w:pos="720" w:val="left"/>
        </w:tabs>
        <w:numPr>
          <w:ilvl w:val="0"/>
          <w:numId w:val="8"/>
        </w:numPr>
        <w:rPr>
          <w:rFonts w:ascii="Wingdings" w:cs="Wingdings" w:eastAsia="Wingdings" w:hAnsi="Wingdings"/>
          <w:sz w:val="16"/>
          <w:szCs w:val="16"/>
          <w:color w:val="auto"/>
        </w:rPr>
      </w:pPr>
      <w:r>
        <w:rPr>
          <w:rFonts w:ascii="Arial" w:cs="Arial" w:eastAsia="Arial" w:hAnsi="Arial"/>
          <w:sz w:val="20"/>
          <w:szCs w:val="20"/>
          <w:color w:val="auto"/>
        </w:rPr>
        <w:t>the licensing to production companies of our live theatres; and</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51</w:t>
      </w:r>
    </w:p>
    <w:p>
      <w:pPr>
        <w:sectPr>
          <w:pgSz w:w="11900" w:h="16838" w:orient="portrait"/>
          <w:cols w:equalWidth="0" w:num="1">
            <w:col w:w="9380"/>
          </w:cols>
          <w:pgMar w:left="1260" w:top="1131" w:right="1266" w:bottom="0" w:gutter="0" w:footer="0" w:header="0"/>
          <w:type w:val="continuous"/>
        </w:sectPr>
      </w:pPr>
    </w:p>
    <w:bookmarkStart w:id="19" w:name="page20"/>
    <w:bookmarkEnd w:id="19"/>
    <w:p>
      <w:pPr>
        <w:ind w:left="540" w:hanging="366"/>
        <w:spacing w:after="0"/>
        <w:tabs>
          <w:tab w:leader="none" w:pos="540" w:val="left"/>
        </w:tabs>
        <w:numPr>
          <w:ilvl w:val="0"/>
          <w:numId w:val="9"/>
        </w:numPr>
        <w:rPr>
          <w:rFonts w:ascii="Wingdings" w:cs="Wingdings" w:eastAsia="Wingdings" w:hAnsi="Wingdings"/>
          <w:sz w:val="13"/>
          <w:szCs w:val="13"/>
          <w:color w:val="auto"/>
        </w:rPr>
      </w:pPr>
      <w:r>
        <w:rPr>
          <w:rFonts w:ascii="Arial" w:cs="Arial" w:eastAsia="Arial" w:hAnsi="Arial"/>
          <w:sz w:val="17"/>
          <w:szCs w:val="17"/>
          <w:color w:val="auto"/>
        </w:rPr>
        <w:t>the redevelopment of our existing fee-owned cinema or live theatre sites to their highest and best use.</w:t>
      </w:r>
    </w:p>
    <w:p>
      <w:pPr>
        <w:spacing w:after="0" w:line="256" w:lineRule="exact"/>
        <w:rPr>
          <w:rFonts w:ascii="Wingdings" w:cs="Wingdings" w:eastAsia="Wingdings" w:hAnsi="Wingdings"/>
          <w:sz w:val="13"/>
          <w:szCs w:val="13"/>
          <w:color w:val="auto"/>
        </w:rPr>
      </w:pPr>
    </w:p>
    <w:p>
      <w:pPr>
        <w:ind w:left="4420" w:hanging="124"/>
        <w:spacing w:after="0"/>
        <w:tabs>
          <w:tab w:leader="none" w:pos="4420" w:val="left"/>
        </w:tabs>
        <w:numPr>
          <w:ilvl w:val="1"/>
          <w:numId w:val="9"/>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51</w:t>
      </w:r>
    </w:p>
    <w:p>
      <w:pPr>
        <w:sectPr>
          <w:pgSz w:w="11900" w:h="16838" w:orient="portrait"/>
          <w:cols w:equalWidth="0" w:num="1">
            <w:col w:w="9026"/>
          </w:cols>
          <w:pgMar w:left="1440" w:top="1131" w:right="1440" w:bottom="0" w:gutter="0" w:footer="0" w:header="0"/>
          <w:type w:val="continuous"/>
        </w:sectPr>
      </w:pPr>
    </w:p>
    <w:bookmarkStart w:id="20" w:name="page21"/>
    <w:bookmarkEnd w:id="20"/>
    <w:p>
      <w:pPr>
        <w:jc w:val="both"/>
        <w:ind w:right="40"/>
        <w:spacing w:after="0" w:line="226" w:lineRule="auto"/>
        <w:rPr>
          <w:sz w:val="20"/>
          <w:szCs w:val="20"/>
          <w:color w:val="auto"/>
        </w:rPr>
      </w:pPr>
      <w:r>
        <w:rPr>
          <w:rFonts w:ascii="Arial" w:cs="Arial" w:eastAsia="Arial" w:hAnsi="Arial"/>
          <w:sz w:val="20"/>
          <w:szCs w:val="20"/>
          <w:color w:val="auto"/>
        </w:rPr>
        <w:t>All our leasehold interests are cinema operating properties. We use office space at the Village East cinema building for our corporate headquarters and have an office building in Melbourne which is used for office purposes (the ground floor of which is leased to a third-party tenant).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Our properties are described in greater detail below.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Live Theatres – Minetta Lane and Orpheum</w:t>
      </w:r>
    </w:p>
    <w:p>
      <w:pPr>
        <w:spacing w:after="0" w:line="31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Included amongst our real estate holdings are two Off-Broadway style live theatres, operated through our Liberty Theatres subsidiary. We license theatre auditoriums to the producers of Off-Broadway theatrical productions and provide various box office and concessions services. Except in the case of our license at the Minetta Lane, the terms of our licenses are, naturally, principally dependent upon the commercial success of our licensees. While we attempt to choose productions that we anticipate will be successful, we have no control over the productions themselves. At this time, we own the following two single-stage theatres in Manhattan:</w:t>
      </w:r>
    </w:p>
    <w:p>
      <w:pPr>
        <w:spacing w:after="0" w:line="86" w:lineRule="exact"/>
        <w:rPr>
          <w:sz w:val="20"/>
          <w:szCs w:val="20"/>
          <w:color w:val="auto"/>
        </w:rPr>
      </w:pPr>
    </w:p>
    <w:p>
      <w:pPr>
        <w:ind w:left="720" w:hanging="366"/>
        <w:spacing w:after="0"/>
        <w:tabs>
          <w:tab w:leader="none" w:pos="720" w:val="left"/>
        </w:tabs>
        <w:numPr>
          <w:ilvl w:val="0"/>
          <w:numId w:val="10"/>
        </w:numPr>
        <w:rPr>
          <w:rFonts w:ascii="Wingdings" w:cs="Wingdings" w:eastAsia="Wingdings" w:hAnsi="Wingdings"/>
          <w:sz w:val="16"/>
          <w:szCs w:val="16"/>
          <w:color w:val="auto"/>
        </w:rPr>
      </w:pPr>
      <w:r>
        <w:rPr>
          <w:rFonts w:ascii="Arial" w:cs="Arial" w:eastAsia="Arial" w:hAnsi="Arial"/>
          <w:sz w:val="20"/>
          <w:szCs w:val="20"/>
          <w:color w:val="auto"/>
        </w:rPr>
        <w:t>the Minetta Lane (399 seats); and</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10"/>
        </w:numPr>
        <w:rPr>
          <w:rFonts w:ascii="Wingdings" w:cs="Wingdings" w:eastAsia="Wingdings" w:hAnsi="Wingdings"/>
          <w:sz w:val="16"/>
          <w:szCs w:val="16"/>
          <w:color w:val="auto"/>
        </w:rPr>
      </w:pPr>
      <w:r>
        <w:rPr>
          <w:rFonts w:ascii="Arial" w:cs="Arial" w:eastAsia="Arial" w:hAnsi="Arial"/>
          <w:sz w:val="20"/>
          <w:szCs w:val="20"/>
          <w:color w:val="auto"/>
        </w:rPr>
        <w:t>the Orpheum (347 seats).</w:t>
      </w:r>
    </w:p>
    <w:p>
      <w:pPr>
        <w:spacing w:after="0" w:line="241"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Rental revenues, expenses, and profits are reported as part of the real estate segment of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44 Union Square</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At the end of 2019, just before the pandemic, we substantially completed the construction phase of our 44 Union Square redevelopment project, achieving approximately 73,000 square feet of net rentable area (calculated inclusive of anticipated BOMA adjustments) comprised of retail and office space. Leasing in the Pandemic and post-pandemic market has proven challenging, particularly given the abrupt increase in interest rates (over 500 basis points). We have, however, leased the first two floors and most of the cellar to Petco for a flagship, state-of-the-art pet-care facility.</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44 Union Square/Tammany Hall, hailed as a dramatic pièce de résistance with its first in the city, over 800-piece, glass dome, brings the future to New York’s fabled past and in the last few years has been awarded the (i) The American Architecture Award for Restoration and Renovation, (ii) the ACEC NY Engineering Excellence Award, and (iii) the Building/Technology Systems Diamond Award. Please refer to Item 7 – Recent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Cinemas 1,2,3</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We own 100% of the Cinemas 123, this property has historically been treated as an asset held for long-term development. However, considering a variety of factors, including recent market conditions in Manhattan for real estate assets (which we believe to have improved materially over the past couple of years), cost of capital and demands on our liquidity. Subsequent to balance sheet date, we have retained Nemark to market the property for sale.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Philadelphia Properties</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continue work to develop and realize the value of our real estate holdings in the City of Philadelphia. Our properties include the 0.7-mile-long Reading Viaduct – a raised railbed with bridges spanning the Callowhill and Poplar neighborhoods of Philadelphia and reaching Vine Street in the City’s Central Business District. The Reading Viaduct comprises over 6.0 acres of land, calculated inclusive of our contiguous properties and bridges arching over various public streets and sidewalks that connect our multiple parcels into one continuous land-holding, unimpaired by public thoroughfares.</w:t>
      </w: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Representatives of the City of Philadelphia and the City Center District have expressed interest in acquiring the Reading Viaduct for park purposes as an extension to the existing Rail Park. According to its website, the City Center District is “a private-sector organization dedicated to making Center City Philadelphia clean, safe, and attractive, is committed to maintaining Center City’s competitive edge as a regional employment center, a quality place to live, and a premier regional destination for dining, shopping, and cultural attractions.” For more information, go to www.CenterCityPhila.org.</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51</w:t>
      </w:r>
    </w:p>
    <w:p>
      <w:pPr>
        <w:sectPr>
          <w:pgSz w:w="11900" w:h="16838" w:orient="portrait"/>
          <w:cols w:equalWidth="0" w:num="1">
            <w:col w:w="9380"/>
          </w:cols>
          <w:pgMar w:left="1260" w:top="1347" w:right="1266" w:bottom="0" w:gutter="0" w:footer="0" w:header="0"/>
          <w:type w:val="continuous"/>
        </w:sectPr>
      </w:pPr>
    </w:p>
    <w:bookmarkStart w:id="21" w:name="page22"/>
    <w:bookmarkEnd w:id="21"/>
    <w:p>
      <w:pPr>
        <w:jc w:val="both"/>
        <w:spacing w:after="0" w:line="237" w:lineRule="auto"/>
        <w:rPr>
          <w:sz w:val="20"/>
          <w:szCs w:val="20"/>
          <w:color w:val="auto"/>
        </w:rPr>
      </w:pPr>
      <w:r>
        <w:rPr>
          <w:rFonts w:ascii="Arial" w:cs="Arial" w:eastAsia="Arial" w:hAnsi="Arial"/>
          <w:sz w:val="19"/>
          <w:szCs w:val="19"/>
          <w:color w:val="auto"/>
        </w:rPr>
        <w:t>In December 2023, the City adopted an ordinance enabling the condemnation of the Reading Viaduct, and the transfer of the property to the City Center District for use as a public park. Furthering these initiatives, since railroad property (such as the Reading Viaduct) is exempt from condemnation by state governments so long as such property is subject to the jurisdiction and oversight of the Federal Surface Transportation Board (the “STB”), the City has petitioned the STB for a determination that the Reading Viaduct is no longer</w:t>
      </w:r>
    </w:p>
    <w:p>
      <w:pPr>
        <w:jc w:val="center"/>
        <w:ind w:right="-19"/>
        <w:spacing w:after="0" w:line="231" w:lineRule="auto"/>
        <w:rPr>
          <w:sz w:val="20"/>
          <w:szCs w:val="20"/>
          <w:color w:val="auto"/>
        </w:rPr>
      </w:pPr>
      <w:r>
        <w:rPr>
          <w:rFonts w:ascii="Arial" w:cs="Arial" w:eastAsia="Arial" w:hAnsi="Arial"/>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51</w:t>
      </w:r>
    </w:p>
    <w:p>
      <w:pPr>
        <w:sectPr>
          <w:pgSz w:w="11900" w:h="16838" w:orient="portrait"/>
          <w:cols w:equalWidth="0" w:num="1">
            <w:col w:w="9360"/>
          </w:cols>
          <w:pgMar w:left="1260" w:top="1131" w:right="1286" w:bottom="0" w:gutter="0" w:footer="0" w:header="0"/>
          <w:type w:val="continuous"/>
        </w:sectPr>
      </w:pPr>
    </w:p>
    <w:bookmarkStart w:id="22" w:name="page23"/>
    <w:bookmarkEnd w:id="22"/>
    <w:p>
      <w:pPr>
        <w:ind w:right="60"/>
        <w:spacing w:after="0" w:line="227" w:lineRule="auto"/>
        <w:rPr>
          <w:sz w:val="20"/>
          <w:szCs w:val="20"/>
          <w:color w:val="auto"/>
        </w:rPr>
      </w:pPr>
      <w:r>
        <w:rPr>
          <w:rFonts w:ascii="Arial" w:cs="Arial" w:eastAsia="Arial" w:hAnsi="Arial"/>
          <w:sz w:val="20"/>
          <w:szCs w:val="20"/>
          <w:color w:val="auto"/>
        </w:rPr>
        <w:t>railroad property subject to STB jurisdiction and oversight (the “STB Proceeding”). On September 24, 2025 the STB ruled in the City’s favor, which determination we have appealed.</w:t>
      </w: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We continue to believe that the Reading Viaduct offers a substantial long-term opportunity for our Company through a potential sale, lease or joint venture of part or all of the property. Our properties adjoining our Reading Viaduct include various free-standing legal parcels that could be monetized separately and/or apart from the main body of our Reading Viaduct.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Australia</w:t>
      </w:r>
    </w:p>
    <w:p>
      <w:pPr>
        <w:spacing w:after="0" w:line="21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We own and operate two ETCs in Australia. Our revenues from these sites consist of rental income and other ancillary charges from our various tenants.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Newmarket Village and Newmarket Office</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Located on 219,228 square feet of land in suburban Brisbane, Newmarket Village is currently comprised of approximately 144,430 square feet of net rentable area, including a Coles Supermarket and 46 other third-party tenants. We added a state-of-the-art eight-screen Reading Cinemas with TITAN LUXE in December 2017. In 2025, we also executed 18 new and renewed leases.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Belmont Common</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Anchored by our 10-screen Reading Cinemas with TITAN XC and six F&amp;B or third-party tenants, The Belmont Common is located in Perth, Australia, and is currently comprised of 103,204 square feet of land and 60,117 square feet of net rentable area.</w:t>
      </w:r>
    </w:p>
    <w:p>
      <w:pPr>
        <w:spacing w:after="0" w:line="200" w:lineRule="exact"/>
        <w:rPr>
          <w:sz w:val="20"/>
          <w:szCs w:val="20"/>
          <w:color w:val="auto"/>
        </w:rPr>
      </w:pP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January 31, 2025, we sold all of our properties in Wellington, New Zealand (including the Courtenay Central building) to Prime Property Group (“Prime”) for a purchase price of $21.5 million (NZ$38.0 million). We understand that Prime intends to redevelop the property. Prime is currently in the space completing the seismic upgrade works of the existing Courtenay Central building. As a part of that transaction we have entered into an ATL for the cinema component of that upgraded Courtenay Central building.</w:t>
      </w:r>
    </w:p>
    <w:p>
      <w:pPr>
        <w:spacing w:after="0" w:line="213"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On May 21, 2025, we sold our Cannon Park ETC in Townsville, Queensland, Australia, which consisted of our Cannon Park City Center and Cannon Park Discount Center properties, comprising approximately 9.4-acres, for a purchase price of $20.7 million (AU$32.0 million). We have retained a long-term lease of the cinema component of that property.</w:t>
      </w:r>
    </w:p>
    <w:p>
      <w:pPr>
        <w:spacing w:after="0" w:line="200" w:lineRule="exact"/>
        <w:rPr>
          <w:sz w:val="20"/>
          <w:szCs w:val="20"/>
          <w:color w:val="auto"/>
        </w:rPr>
      </w:pPr>
    </w:p>
    <w:p>
      <w:pPr>
        <w:spacing w:after="0" w:line="230"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 xml:space="preserve">Our real estate holdings are described in further detail in </w:t>
      </w:r>
      <w:r>
        <w:rPr>
          <w:rFonts w:ascii="Arial" w:cs="Arial" w:eastAsia="Arial" w:hAnsi="Arial"/>
          <w:sz w:val="20"/>
          <w:szCs w:val="20"/>
          <w:i w:val="1"/>
          <w:iCs w:val="1"/>
          <w:color w:val="auto"/>
        </w:rPr>
        <w:t>Item 2 – Properties</w:t>
      </w:r>
      <w:r>
        <w:rPr>
          <w:rFonts w:ascii="Arial" w:cs="Arial" w:eastAsia="Arial" w:hAnsi="Arial"/>
          <w:sz w:val="20"/>
          <w:szCs w:val="20"/>
          <w:color w:val="auto"/>
        </w:rPr>
        <w:t xml:space="preserve">. Recent activities with respect to our real estate developments are described in </w:t>
      </w:r>
      <w:r>
        <w:rPr>
          <w:rFonts w:ascii="Arial" w:cs="Arial" w:eastAsia="Arial" w:hAnsi="Arial"/>
          <w:sz w:val="20"/>
          <w:szCs w:val="20"/>
          <w:i w:val="1"/>
          <w:iCs w:val="1"/>
          <w:color w:val="auto"/>
        </w:rPr>
        <w:t>Item 7 – Recent Developments.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Competition</w:t>
      </w:r>
    </w:p>
    <w:p>
      <w:pPr>
        <w:spacing w:after="0" w:line="212"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A summary discussion of our view as to the competitive aspects of the markets where we own real estate properties is as follows: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States</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have been informed that there has been an increase in demand for office space in the Union Square submarket of Manhattan through the last year. We believe that our remaining space should be attractive to those interested in the Union Square submarket in that our building is not generic in nature, thanks to its architectural and historical significance, boutique size and overall “brandability.” The first two floors and most of the cellar of our 44 Union Square property are fully leased to Petco. We continue to explore a variety of possible office and non-office types of uses for the remainder of the building.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Australia and New Zealand</w:t>
      </w:r>
    </w:p>
    <w:p>
      <w:pPr>
        <w:spacing w:after="0" w:line="212"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Historically, both countries have relatively stable economies with varying degrees of economic growth that are mostly influenced by global trends. While we have substantially reduced our real estate holdings in Australia and New Zealand (having monetized our Wellington Property assets (New Zealand), Auburn (Australia) and Townsville (Australia)), our principal remaining property (Newmarket Village in Brisbane) has enjoyed consistent growth in rentals and values. This is in part a product of the fact that our tenancies have focused on entertainment services (cinemas, food and beverage) and essentials (such as groceries and pharmacies), which has to some extent insulated us from internet competition. We have lesser exposure to the office market in Australia, as we have only two office</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51</w:t>
      </w:r>
    </w:p>
    <w:p>
      <w:pPr>
        <w:sectPr>
          <w:pgSz w:w="11900" w:h="16838" w:orient="portrait"/>
          <w:cols w:equalWidth="0" w:num="1">
            <w:col w:w="9380"/>
          </w:cols>
          <w:pgMar w:left="1260" w:top="1131" w:right="1266" w:bottom="0" w:gutter="0" w:footer="0" w:header="0"/>
          <w:type w:val="continuous"/>
        </w:sectPr>
      </w:pPr>
    </w:p>
    <w:bookmarkStart w:id="23" w:name="page24"/>
    <w:bookmarkEnd w:id="23"/>
    <w:p>
      <w:pPr>
        <w:jc w:val="both"/>
        <w:spacing w:after="0" w:line="226" w:lineRule="auto"/>
        <w:rPr>
          <w:sz w:val="20"/>
          <w:szCs w:val="20"/>
          <w:color w:val="auto"/>
        </w:rPr>
      </w:pPr>
      <w:r>
        <w:rPr>
          <w:rFonts w:ascii="Arial" w:cs="Arial" w:eastAsia="Arial" w:hAnsi="Arial"/>
          <w:sz w:val="20"/>
          <w:szCs w:val="20"/>
          <w:color w:val="auto"/>
        </w:rPr>
        <w:t>properties, an office building (21,582 square feet) at Newmarket Village (which is 98% leased) and an office building (8,428 square feet) in South Melbourne (which is 100% leased) the upper floor of which serves as our corporate headquarters in Australia.</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3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 / 51</w:t>
      </w:r>
    </w:p>
    <w:p>
      <w:pPr>
        <w:sectPr>
          <w:pgSz w:w="11900" w:h="16838" w:orient="portrait"/>
          <w:cols w:equalWidth="0" w:num="1">
            <w:col w:w="9320"/>
          </w:cols>
          <w:pgMar w:left="1260" w:top="1131" w:right="1326"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BUSINESS MIX AND FOREIGN CURRENCY IMPACT</w:t>
      </w:r>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On December 31, 2025, the book value of our assets was $434.9 million, and our consolidated stockholders’ book equity was ($18.1) million. Calculated based on book value, $184.2 million, or 41% of our assets, relate to our cinema exhibition activities and $176.4 million, or 41%,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137795</wp:posOffset>
            </wp:positionV>
            <wp:extent cx="4956810" cy="2133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4956810"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 xml:space="preserve">For additional segment financial information, please see </w:t>
      </w:r>
      <w:r>
        <w:rPr>
          <w:rFonts w:ascii="Arial" w:cs="Arial" w:eastAsia="Arial" w:hAnsi="Arial"/>
          <w:sz w:val="20"/>
          <w:szCs w:val="20"/>
          <w:i w:val="1"/>
          <w:iCs w:val="1"/>
          <w:color w:val="auto"/>
        </w:rPr>
        <w:t>Part II, Item 8 – Financial Statements and Supplementary</w:t>
      </w:r>
      <w:r>
        <w:rPr>
          <w:rFonts w:ascii="Arial" w:cs="Arial" w:eastAsia="Arial" w:hAnsi="Arial"/>
          <w:sz w:val="20"/>
          <w:szCs w:val="20"/>
          <w:color w:val="auto"/>
        </w:rPr>
        <w:t xml:space="preserve"> </w:t>
      </w:r>
      <w:r>
        <w:rPr>
          <w:rFonts w:ascii="Arial" w:cs="Arial" w:eastAsia="Arial" w:hAnsi="Arial"/>
          <w:sz w:val="20"/>
          <w:szCs w:val="20"/>
          <w:i w:val="1"/>
          <w:iCs w:val="1"/>
          <w:color w:val="auto"/>
        </w:rPr>
        <w:t>Data—Notes to Consolidated Financial Statements-- Note 4 –Segment Reporting.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have diversified our assets among three countries: the United States, Australia, and New Zealand. Based on book</w:t>
      </w:r>
    </w:p>
    <w:p>
      <w:pPr>
        <w:spacing w:after="0" w:line="7" w:lineRule="exact"/>
        <w:rPr>
          <w:sz w:val="20"/>
          <w:szCs w:val="20"/>
          <w:color w:val="auto"/>
        </w:rPr>
      </w:pPr>
    </w:p>
    <w:p>
      <w:pPr>
        <w:spacing w:after="0"/>
        <w:tabs>
          <w:tab w:leader="none" w:pos="1900" w:val="left"/>
          <w:tab w:leader="none" w:pos="3500" w:val="left"/>
          <w:tab w:leader="none" w:pos="5780" w:val="left"/>
          <w:tab w:leader="none" w:pos="7480" w:val="left"/>
        </w:tabs>
        <w:rPr>
          <w:sz w:val="20"/>
          <w:szCs w:val="20"/>
          <w:color w:val="auto"/>
        </w:rPr>
      </w:pPr>
      <w:r>
        <w:rPr>
          <w:rFonts w:ascii="Arial" w:cs="Arial" w:eastAsia="Arial" w:hAnsi="Arial"/>
          <w:sz w:val="20"/>
          <w:szCs w:val="20"/>
          <w:color w:val="auto"/>
        </w:rPr>
        <w:t>value,</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December</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17"/>
          <w:szCs w:val="17"/>
          <w:color w:val="auto"/>
        </w:rPr>
        <w:t>2025,</w:t>
      </w:r>
    </w:p>
    <w:p>
      <w:pPr>
        <w:spacing w:after="0" w:line="229" w:lineRule="auto"/>
        <w:rPr>
          <w:sz w:val="20"/>
          <w:szCs w:val="20"/>
          <w:color w:val="auto"/>
        </w:rPr>
      </w:pPr>
      <w:r>
        <w:rPr>
          <w:rFonts w:ascii="Arial" w:cs="Arial" w:eastAsia="Arial" w:hAnsi="Arial"/>
          <w:sz w:val="20"/>
          <w:szCs w:val="20"/>
          <w:color w:val="auto"/>
        </w:rPr>
        <w:t>we had approximately 56% of our assets in the United States, 38% in Australia and 6% in New Zealand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have worked to maintain a balance between our cinema and real estate assets and our U.S. and our Australian and New Zealand assets. In order to support our liquidity while the global cinema industry stabilizes, in 2025, we have strategically monetized our real estate assets in Wellington, New Zealand for NZ$38.0 million, and our Cannon Park properties in Townsville, Queensland, Australia for AU$32.0 million.</w:t>
      </w:r>
    </w:p>
    <w:p>
      <w:pPr>
        <w:spacing w:after="0" w:line="21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At December 31, 2025, we had cash and cash equivalents of $10.5 million, which are treated as corporate assets. We had total worldwide non-current assets of $413.2 million, distributed as follows: $234.3 million in the United States, $155.9 million (AU$233.7 million) in Australia and $23.0 million (NZ$39.9 million) in New Zealand. We had no unrestricted unused capacity of available corporate credit facilities on December 31, 2025.</w:t>
      </w:r>
    </w:p>
    <w:p>
      <w:pPr>
        <w:spacing w:after="0" w:line="21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For 2025, our gross revenues in the United States, Australia, and New Zealand were $106.4 million (52%), $85.1 million (42%), and $11.6 million (6%), respectively, compared to $106.2 million (50%), $90.5 million (43%), and $13.9 million (7%) for 2024. Our total gross revenues decreased slightly in 2025 primarily because of an overall weaker film slate in 2025 compared to 2024 and the closing of loss-making theaters.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137160</wp:posOffset>
            </wp:positionV>
            <wp:extent cx="4518660" cy="2114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451866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51</w:t>
      </w:r>
    </w:p>
    <w:p>
      <w:pPr>
        <w:sectPr>
          <w:pgSz w:w="11900" w:h="16838" w:orient="portrait"/>
          <w:cols w:equalWidth="0" w:num="1">
            <w:col w:w="9380"/>
          </w:cols>
          <w:pgMar w:left="1260" w:top="1337" w:right="1266" w:bottom="0" w:gutter="0" w:footer="0" w:header="0"/>
          <w:type w:val="continuous"/>
        </w:sectPr>
      </w:pPr>
    </w:p>
    <w:bookmarkStart w:id="25" w:name="page26"/>
    <w:bookmarkEnd w:id="25"/>
    <w:p>
      <w:pPr>
        <w:jc w:val="both"/>
        <w:ind w:right="40"/>
        <w:spacing w:after="0" w:line="237" w:lineRule="auto"/>
        <w:rPr>
          <w:sz w:val="20"/>
          <w:szCs w:val="20"/>
          <w:color w:val="auto"/>
        </w:rPr>
      </w:pPr>
      <w:r>
        <w:rPr>
          <w:rFonts w:ascii="Arial" w:cs="Arial" w:eastAsia="Arial" w:hAnsi="Arial"/>
          <w:sz w:val="19"/>
          <w:szCs w:val="19"/>
          <w:color w:val="auto"/>
        </w:rPr>
        <w:t>As shown in the chart set forth in the International Business Risks section, exchange rates for the currencies of these jurisdictions have varied, sometimes materially. These ratios, naturally, have an impact on our revenues and asset values, which are reported in USD. The U.S. dollar has been appreciating compared to the Australian and New Zealand dollar, which has the effect of reducing the value of our Australia and New Zealand earnings and cash flow from a U.S. point of view. Notwithstanding these fluctuations, we continue to believe that, over the long term, operating in Australia and New Zealand is a prudent diversification of risk. Over the years, U.S. News and World Report has consistently ranked Australia and New Zealand among the top countries in the world for quality of life. In our view, the economies of Australia and New Zealand are stable economies, and their lifestyles support our entertainment/lifestyle focus. In the first two months of 2026, the Australia and New Zealand dollars increased in value against the US Dollar by approximately 7% and 4%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1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Our Company is committed to diversity and does not discriminate on the basis of sex, race, gender, ethnicity, religious beliefs or practices or any other protected characteristics. We strive to recruit and retain a diverse group of employees.</w:t>
      </w:r>
    </w:p>
    <w:p>
      <w:pPr>
        <w:spacing w:after="0" w:line="214" w:lineRule="exact"/>
        <w:rPr>
          <w:sz w:val="20"/>
          <w:szCs w:val="20"/>
          <w:color w:val="auto"/>
        </w:rPr>
      </w:pPr>
    </w:p>
    <w:p>
      <w:pPr>
        <w:jc w:val="both"/>
        <w:ind w:right="80"/>
        <w:spacing w:after="0" w:line="238" w:lineRule="auto"/>
        <w:rPr>
          <w:sz w:val="20"/>
          <w:szCs w:val="20"/>
          <w:color w:val="auto"/>
        </w:rPr>
      </w:pPr>
      <w:r>
        <w:rPr>
          <w:rFonts w:ascii="Arial" w:cs="Arial" w:eastAsia="Arial" w:hAnsi="Arial"/>
          <w:sz w:val="19"/>
          <w:szCs w:val="19"/>
          <w:color w:val="auto"/>
        </w:rPr>
        <w:t>Our cinemas typically employ persons from the communities that they serve and accordingly, we believe that they reasonably reflect the diversification of such communities. Many of our jobs are entry level positions and offer comparatively flexible hours attractive to students and others seeking part-time employment. We believe that we provide a starting point for younger people entering the job market for the first time, as well as an opportunity for individuals with other life commitments and interests and who are not seeking full-time employment. Finding and retaining cinema staff has been a challenge in the post-COVID period.</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As of December 31, 2025, we had approximately (i) 89 executive/administrative and 8 real estate employees who were primarily full-time and (ii) 20 live theatre and 1,908 cinema employees worldwide who were predominantly part-time/casual employees. A small number of our cinema employees in New Zealand are union members. None of our Australian-based employees or other employees are subject to union contracts. We have a collective bargaining agreement in AU (referred to as an Enterprise Agreement) that covers all cinema wage earners. Overall, we are of the view that the existence of these collective bargaining agreements does not materially increase our costs of labor or our ability to compete.</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offer our employees what we believe to be a competitive benefits package. In the U.S., we offer a 401(k)-retirement savings plan (our “401(k) Plan”) that allows eligible U.S. employees to defer a portion of their compensation, within limits prescribed by the Internal Revenue 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401(k)-plan due to COVID-19. For our employees in Australia and New Zealand, we offer superannuation plans in line with the requirements as they pertain to each country.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adopted a Code of Business Conduct and Ethics (the “Code of Conduct”) designed to help our Directors and employees resolve ethical issues. We have also adopted an Anti-Discrimination, Anti-Harassment and Anti-Bullying Policy (our “Anti-Discrimination Policy”). Our Code of Conduct and Anti-Discrimination Policy apply to all Directors and employees and are posted on our website. Our Board has established a means for employees to report a violation or suspected violation of the Code of Conduct and/or our anti-discrimination policy anonymously.</w:t>
      </w:r>
    </w:p>
    <w:p>
      <w:pPr>
        <w:spacing w:after="0" w:line="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 Each of these policies have also been adopted by each of our subsidiaries that has employees in the United States. Similar policies have been adopted by our overseas employer subsidiaries. We are firm supporters of equal rights and diversity.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Green Initiatives.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strive to do our part in the fight against climate change.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United States</w:t>
      </w:r>
    </w:p>
    <w:p>
      <w:pPr>
        <w:spacing w:after="0" w:line="212"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We provide recycling bins and eco-friendly popcorn bags and to go containers at all our theaters. And, while our capex and maintenance budgets have been limited during the post-pandemic periods, we have continued our energy enhancements programs, including the installation of (i) LED fixtures/bulbs to lower KWH usage and reduce our</w:t>
      </w:r>
    </w:p>
    <w:p>
      <w:pPr>
        <w:sectPr>
          <w:pgSz w:w="11900" w:h="16838" w:orient="portrait"/>
          <w:cols w:equalWidth="0" w:num="1">
            <w:col w:w="9420"/>
          </w:cols>
          <w:pgMar w:left="1260"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26 / 51</w:t>
      </w:r>
    </w:p>
    <w:p>
      <w:pPr>
        <w:sectPr>
          <w:pgSz w:w="11900" w:h="16838" w:orient="portrait"/>
          <w:cols w:equalWidth="0" w:num="1">
            <w:col w:w="9420"/>
          </w:cols>
          <w:pgMar w:left="1260" w:top="1347" w:right="1226" w:bottom="0" w:gutter="0" w:footer="0" w:header="0"/>
          <w:type w:val="continuous"/>
        </w:sectPr>
      </w:pPr>
    </w:p>
    <w:bookmarkStart w:id="26" w:name="page27"/>
    <w:bookmarkEnd w:id="26"/>
    <w:p>
      <w:pPr>
        <w:jc w:val="both"/>
        <w:spacing w:after="0" w:line="226" w:lineRule="auto"/>
        <w:rPr>
          <w:sz w:val="20"/>
          <w:szCs w:val="20"/>
          <w:color w:val="auto"/>
        </w:rPr>
      </w:pPr>
      <w:r>
        <w:rPr>
          <w:rFonts w:ascii="Arial" w:cs="Arial" w:eastAsia="Arial" w:hAnsi="Arial"/>
          <w:sz w:val="20"/>
          <w:szCs w:val="20"/>
          <w:color w:val="auto"/>
        </w:rPr>
        <w:t>energy consumption across all the existing theatres (ii) budgeting and planning to continue modernizing our energy management systems, to efficiently control the current HVAC systems, and (iii) selective replacement HVAC package units, as warranted to improve our carbon footprint.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 / 51</w:t>
      </w:r>
    </w:p>
    <w:p>
      <w:pPr>
        <w:sectPr>
          <w:pgSz w:w="11900" w:h="16838" w:orient="portrait"/>
          <w:cols w:equalWidth="0" w:num="1">
            <w:col w:w="9340"/>
          </w:cols>
          <w:pgMar w:left="1260" w:top="1131" w:right="1306"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i w:val="1"/>
          <w:iCs w:val="1"/>
          <w:u w:val="single" w:color="auto"/>
          <w:color w:val="auto"/>
        </w:rPr>
        <w:t>Australia and New Zealand</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In our theaters in Australia and New Zealand, we have fully transitioned to (i) using commercially compostable bamboo takeaway cutlery nationally, (ii) using commercially compostable paper straws, and (iii) using commercially compostable soft drink cold cups, coffee cups, popcorn boxes, takeaway pizza boxes and takeaway clamshell hot food boxes. Our initiative to have our compostable range meet the Australia household compostable standard (AS 5810) has been granted by the Australasian Bioplastics Association. Additional environmental initiatives include (i) the ongoing transition of all lighting from halogen to LED, (ii) a paperless objective, creating editable forms stored securely in the cloud, and (iii) the purchase of laser projectors with significant operational energy savings and the removal of xenon bulb purchasing and disposal needs.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statements in this annual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certain external factors on the cinema business; our expected operating results, ;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expectations regarding our ability to enter into an extension agreement with Audible on terms acceptable to us; our expectations regarding the impact of streaming and mobile video services on the cinema exhibition industry; our expectations regarding the timing of the completions our renovation projects; our expectations regarding our ability to monetize our assets on terms acceptable to us; our expectations regarding credit facility covenant compliance and our ability to continue to obtain necessary covenant waivers; and our expectations of our liquidity and capital requirements and the allocation of funds.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296" w:lineRule="exact"/>
        <w:rPr>
          <w:sz w:val="20"/>
          <w:szCs w:val="20"/>
          <w:color w:val="auto"/>
        </w:rPr>
      </w:pPr>
    </w:p>
    <w:p>
      <w:pPr>
        <w:ind w:left="720" w:hanging="366"/>
        <w:spacing w:after="0"/>
        <w:tabs>
          <w:tab w:leader="none" w:pos="720" w:val="left"/>
        </w:tabs>
        <w:numPr>
          <w:ilvl w:val="0"/>
          <w:numId w:val="11"/>
        </w:numPr>
        <w:rPr>
          <w:rFonts w:ascii="Wingdings" w:cs="Wingdings" w:eastAsia="Wingdings" w:hAnsi="Wingdings"/>
          <w:sz w:val="16"/>
          <w:szCs w:val="16"/>
          <w:color w:val="auto"/>
        </w:rPr>
      </w:pPr>
      <w:r>
        <w:rPr>
          <w:rFonts w:ascii="Arial" w:cs="Arial" w:eastAsia="Arial" w:hAnsi="Arial"/>
          <w:sz w:val="20"/>
          <w:szCs w:val="20"/>
          <w:color w:val="auto"/>
        </w:rPr>
        <w:t>with respect to our cinema and live theatre operations:</w:t>
      </w:r>
    </w:p>
    <w:p>
      <w:pPr>
        <w:spacing w:after="0" w:line="15" w:lineRule="exact"/>
        <w:rPr>
          <w:rFonts w:ascii="Wingdings" w:cs="Wingdings" w:eastAsia="Wingdings" w:hAnsi="Wingdings"/>
          <w:sz w:val="16"/>
          <w:szCs w:val="16"/>
          <w:color w:val="auto"/>
        </w:rPr>
      </w:pPr>
    </w:p>
    <w:p>
      <w:pPr>
        <w:ind w:left="1080" w:hanging="366"/>
        <w:spacing w:after="0"/>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reduced consumer demand due to inflationary and other negative economic pressures;</w:t>
      </w:r>
    </w:p>
    <w:p>
      <w:pPr>
        <w:spacing w:after="0" w:line="25" w:lineRule="exact"/>
        <w:rPr>
          <w:rFonts w:ascii="Wingdings" w:cs="Wingdings" w:eastAsia="Wingdings" w:hAnsi="Wingdings"/>
          <w:sz w:val="16"/>
          <w:szCs w:val="16"/>
          <w:color w:val="auto"/>
        </w:rPr>
      </w:pPr>
    </w:p>
    <w:p>
      <w:pPr>
        <w:ind w:left="1080" w:right="60" w:hanging="366"/>
        <w:spacing w:after="0" w:line="278" w:lineRule="auto"/>
        <w:tabs>
          <w:tab w:leader="none" w:pos="1080" w:val="left"/>
        </w:tabs>
        <w:numPr>
          <w:ilvl w:val="1"/>
          <w:numId w:val="11"/>
        </w:numPr>
        <w:rPr>
          <w:rFonts w:ascii="Wingdings" w:cs="Wingdings" w:eastAsia="Wingdings" w:hAnsi="Wingdings"/>
          <w:sz w:val="14"/>
          <w:szCs w:val="14"/>
          <w:color w:val="auto"/>
        </w:rPr>
      </w:pPr>
      <w:r>
        <w:rPr>
          <w:rFonts w:ascii="Arial" w:cs="Arial" w:eastAsia="Arial" w:hAnsi="Arial"/>
          <w:sz w:val="18"/>
          <w:szCs w:val="18"/>
          <w:color w:val="auto"/>
        </w:rPr>
        <w:t>the adverse continuing impact of external past events such as the pandemic and Hollywood strikes, on our cinema operations, liquidity, cash flows, financial condition, and access to credit markets;</w:t>
      </w:r>
    </w:p>
    <w:p>
      <w:pPr>
        <w:spacing w:after="0" w:line="1" w:lineRule="exact"/>
        <w:rPr>
          <w:rFonts w:ascii="Wingdings" w:cs="Wingdings" w:eastAsia="Wingdings" w:hAnsi="Wingdings"/>
          <w:sz w:val="14"/>
          <w:szCs w:val="14"/>
          <w:color w:val="auto"/>
        </w:rPr>
      </w:pPr>
    </w:p>
    <w:p>
      <w:pPr>
        <w:ind w:left="1080" w:hanging="366"/>
        <w:spacing w:after="0"/>
        <w:tabs>
          <w:tab w:leader="none" w:pos="1080" w:val="left"/>
        </w:tabs>
        <w:numPr>
          <w:ilvl w:val="1"/>
          <w:numId w:val="11"/>
        </w:numPr>
        <w:rPr>
          <w:rFonts w:ascii="Wingdings" w:cs="Wingdings" w:eastAsia="Wingdings" w:hAnsi="Wingdings"/>
          <w:sz w:val="14"/>
          <w:szCs w:val="14"/>
          <w:color w:val="auto"/>
        </w:rPr>
      </w:pPr>
      <w:r>
        <w:rPr>
          <w:rFonts w:ascii="Arial" w:cs="Arial" w:eastAsia="Arial" w:hAnsi="Arial"/>
          <w:sz w:val="18"/>
          <w:szCs w:val="18"/>
          <w:color w:val="auto"/>
        </w:rPr>
        <w:t>the decrease in attendance at our cinemas and theatres due to (i) increased ticket prices (ii) a change in</w:t>
      </w:r>
    </w:p>
    <w:p>
      <w:pPr>
        <w:spacing w:after="0" w:line="38" w:lineRule="exact"/>
        <w:rPr>
          <w:rFonts w:ascii="Wingdings" w:cs="Wingdings" w:eastAsia="Wingdings" w:hAnsi="Wingdings"/>
          <w:sz w:val="14"/>
          <w:szCs w:val="14"/>
          <w:color w:val="auto"/>
        </w:rPr>
      </w:pPr>
    </w:p>
    <w:p>
      <w:pPr>
        <w:ind w:left="1080" w:right="10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consumer behavior in favor of alternative forms or mediums of entertainment, and (iii) limited availability of wide release content;</w:t>
      </w:r>
    </w:p>
    <w:p>
      <w:pPr>
        <w:spacing w:after="0" w:line="17" w:lineRule="exact"/>
        <w:rPr>
          <w:rFonts w:ascii="Wingdings" w:cs="Wingdings" w:eastAsia="Wingdings" w:hAnsi="Wingdings"/>
          <w:sz w:val="14"/>
          <w:szCs w:val="14"/>
          <w:color w:val="auto"/>
        </w:rPr>
      </w:pPr>
    </w:p>
    <w:p>
      <w:pPr>
        <w:ind w:left="1080" w:right="80" w:hanging="366"/>
        <w:spacing w:after="0" w:line="264" w:lineRule="auto"/>
        <w:tabs>
          <w:tab w:leader="none" w:pos="1080" w:val="left"/>
        </w:tabs>
        <w:numPr>
          <w:ilvl w:val="1"/>
          <w:numId w:val="11"/>
        </w:numPr>
        <w:rPr>
          <w:rFonts w:ascii="Wingdings" w:cs="Wingdings" w:eastAsia="Wingdings" w:hAnsi="Wingdings"/>
          <w:sz w:val="15"/>
          <w:szCs w:val="15"/>
          <w:color w:val="auto"/>
        </w:rPr>
      </w:pPr>
      <w:r>
        <w:rPr>
          <w:rFonts w:ascii="Arial" w:cs="Arial" w:eastAsia="Arial" w:hAnsi="Arial"/>
          <w:sz w:val="19"/>
          <w:szCs w:val="19"/>
          <w:color w:val="auto"/>
        </w:rPr>
        <w:t>reduction in operating margins (or negative operating margins) due to (i) decreased attendance, (ii) limited availability of wide release content, and (iii) increased operating expenses;</w:t>
      </w:r>
    </w:p>
    <w:p>
      <w:pPr>
        <w:ind w:left="1080" w:right="80" w:hanging="366"/>
        <w:spacing w:after="0" w:line="245" w:lineRule="auto"/>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increased absenteeism and use by employees of liberalized and expanded personal leave laws, and concomitant overtime costs.</w:t>
      </w:r>
    </w:p>
    <w:p>
      <w:pPr>
        <w:spacing w:after="0" w:line="11" w:lineRule="exact"/>
        <w:rPr>
          <w:rFonts w:ascii="Wingdings" w:cs="Wingdings" w:eastAsia="Wingdings" w:hAnsi="Wingdings"/>
          <w:sz w:val="16"/>
          <w:szCs w:val="16"/>
          <w:color w:val="auto"/>
        </w:rPr>
      </w:pPr>
    </w:p>
    <w:p>
      <w:pPr>
        <w:ind w:left="1080" w:right="60" w:hanging="366"/>
        <w:spacing w:after="0" w:line="245" w:lineRule="auto"/>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competition from cinema operators who have successfully used debtor laws to reduce their debt and/or rent exposure;</w:t>
      </w:r>
    </w:p>
    <w:p>
      <w:pPr>
        <w:spacing w:after="0" w:line="11" w:lineRule="exact"/>
        <w:rPr>
          <w:rFonts w:ascii="Wingdings" w:cs="Wingdings" w:eastAsia="Wingdings" w:hAnsi="Wingdings"/>
          <w:sz w:val="16"/>
          <w:szCs w:val="16"/>
          <w:color w:val="auto"/>
        </w:rPr>
      </w:pPr>
    </w:p>
    <w:p>
      <w:pPr>
        <w:ind w:left="1080" w:right="80" w:hanging="366"/>
        <w:spacing w:after="0" w:line="245" w:lineRule="auto"/>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the uncertainty as to the scope and extent of government responses to future outbreak of infectious diseases;</w:t>
      </w:r>
    </w:p>
    <w:p>
      <w:pPr>
        <w:spacing w:after="0" w:line="11" w:lineRule="exact"/>
        <w:rPr>
          <w:rFonts w:ascii="Wingdings" w:cs="Wingdings" w:eastAsia="Wingdings" w:hAnsi="Wingdings"/>
          <w:sz w:val="16"/>
          <w:szCs w:val="16"/>
          <w:color w:val="auto"/>
        </w:rPr>
      </w:pPr>
    </w:p>
    <w:p>
      <w:pPr>
        <w:ind w:left="1080" w:hanging="366"/>
        <w:spacing w:after="0"/>
        <w:tabs>
          <w:tab w:leader="none" w:pos="1080" w:val="left"/>
        </w:tabs>
        <w:numPr>
          <w:ilvl w:val="1"/>
          <w:numId w:val="11"/>
        </w:numPr>
        <w:rPr>
          <w:rFonts w:ascii="Wingdings" w:cs="Wingdings" w:eastAsia="Wingdings" w:hAnsi="Wingdings"/>
          <w:sz w:val="14"/>
          <w:szCs w:val="14"/>
          <w:color w:val="auto"/>
        </w:rPr>
      </w:pPr>
      <w:r>
        <w:rPr>
          <w:rFonts w:ascii="Arial" w:cs="Arial" w:eastAsia="Arial" w:hAnsi="Arial"/>
          <w:sz w:val="18"/>
          <w:szCs w:val="18"/>
          <w:color w:val="auto"/>
        </w:rPr>
        <w:t>the disruptions or reductions in the utilization of entertainment, shopping, and hospitality venues, as</w:t>
      </w:r>
    </w:p>
    <w:p>
      <w:pPr>
        <w:spacing w:after="0" w:line="38" w:lineRule="exact"/>
        <w:rPr>
          <w:rFonts w:ascii="Wingdings" w:cs="Wingdings" w:eastAsia="Wingdings" w:hAnsi="Wingdings"/>
          <w:sz w:val="14"/>
          <w:szCs w:val="14"/>
          <w:color w:val="auto"/>
        </w:rPr>
      </w:pPr>
    </w:p>
    <w:p>
      <w:pPr>
        <w:ind w:left="1080" w:right="4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well as in our operations, due to pandemics, epidemics, widespread health emergencies, or outbreaks of infectious diseases or to changing consumer tastes and habits;</w:t>
      </w:r>
    </w:p>
    <w:p>
      <w:pPr>
        <w:spacing w:after="0" w:line="17" w:lineRule="exact"/>
        <w:rPr>
          <w:rFonts w:ascii="Wingdings" w:cs="Wingdings" w:eastAsia="Wingdings" w:hAnsi="Wingdings"/>
          <w:sz w:val="14"/>
          <w:szCs w:val="14"/>
          <w:color w:val="auto"/>
        </w:rPr>
      </w:pPr>
    </w:p>
    <w:p>
      <w:pPr>
        <w:ind w:left="1080" w:right="100" w:hanging="366"/>
        <w:spacing w:after="0" w:line="245" w:lineRule="auto"/>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the number and attractiveness to moviegoers of the films released in future periods, and potential changes in release dates for motion pictures;</w:t>
      </w:r>
    </w:p>
    <w:p>
      <w:pPr>
        <w:spacing w:after="0" w:line="1" w:lineRule="exact"/>
        <w:rPr>
          <w:rFonts w:ascii="Wingdings" w:cs="Wingdings" w:eastAsia="Wingdings" w:hAnsi="Wingdings"/>
          <w:sz w:val="16"/>
          <w:szCs w:val="16"/>
          <w:color w:val="auto"/>
        </w:rPr>
      </w:pPr>
    </w:p>
    <w:p>
      <w:pPr>
        <w:ind w:left="1080" w:hanging="366"/>
        <w:spacing w:after="0"/>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the lack of availability of films in the short- or long-term as a result of (i) major film distributors</w:t>
      </w:r>
    </w:p>
    <w:p>
      <w:pPr>
        <w:spacing w:after="0" w:line="25" w:lineRule="exact"/>
        <w:rPr>
          <w:rFonts w:ascii="Wingdings" w:cs="Wingdings" w:eastAsia="Wingdings" w:hAnsi="Wingdings"/>
          <w:sz w:val="16"/>
          <w:szCs w:val="16"/>
          <w:color w:val="auto"/>
        </w:rPr>
      </w:pPr>
    </w:p>
    <w:p>
      <w:pPr>
        <w:ind w:left="1080" w:right="60"/>
        <w:spacing w:after="0"/>
        <w:rPr>
          <w:rFonts w:ascii="Wingdings" w:cs="Wingdings" w:eastAsia="Wingdings" w:hAnsi="Wingdings"/>
          <w:sz w:val="16"/>
          <w:szCs w:val="16"/>
          <w:color w:val="auto"/>
        </w:rPr>
      </w:pPr>
      <w:r>
        <w:rPr>
          <w:rFonts w:ascii="Arial" w:cs="Arial" w:eastAsia="Arial" w:hAnsi="Arial"/>
          <w:sz w:val="20"/>
          <w:szCs w:val="20"/>
          <w:color w:val="auto"/>
        </w:rPr>
        <w:t>releasing scheduled films on alternative channels, (ii) disruptions of film production, or (iii) rescheduling of movie releases into later periods, as most currently experienced due to the implications of the Hollywood strikes;</w:t>
      </w:r>
    </w:p>
    <w:p>
      <w:pPr>
        <w:spacing w:after="0" w:line="7" w:lineRule="exact"/>
        <w:rPr>
          <w:rFonts w:ascii="Wingdings" w:cs="Wingdings" w:eastAsia="Wingdings" w:hAnsi="Wingdings"/>
          <w:sz w:val="16"/>
          <w:szCs w:val="16"/>
          <w:color w:val="auto"/>
        </w:rPr>
      </w:pPr>
    </w:p>
    <w:p>
      <w:pPr>
        <w:ind w:left="1080" w:hanging="366"/>
        <w:spacing w:after="0"/>
        <w:tabs>
          <w:tab w:leader="none" w:pos="1080" w:val="left"/>
        </w:tabs>
        <w:numPr>
          <w:ilvl w:val="1"/>
          <w:numId w:val="11"/>
        </w:numPr>
        <w:rPr>
          <w:rFonts w:ascii="Wingdings" w:cs="Wingdings" w:eastAsia="Wingdings" w:hAnsi="Wingdings"/>
          <w:sz w:val="16"/>
          <w:szCs w:val="16"/>
          <w:color w:val="auto"/>
        </w:rPr>
      </w:pPr>
      <w:r>
        <w:rPr>
          <w:rFonts w:ascii="Arial" w:cs="Arial" w:eastAsia="Arial" w:hAnsi="Arial"/>
          <w:sz w:val="20"/>
          <w:szCs w:val="20"/>
          <w:color w:val="auto"/>
        </w:rPr>
        <w:t>the amount of money allocated and spent by film distributors to promote their motion pictures;</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51</w:t>
      </w:r>
    </w:p>
    <w:p>
      <w:pPr>
        <w:sectPr>
          <w:pgSz w:w="11900" w:h="16838" w:orient="portrait"/>
          <w:cols w:equalWidth="0" w:num="1">
            <w:col w:w="9400"/>
          </w:cols>
          <w:pgMar w:left="1260" w:top="1337" w:right="1246" w:bottom="0" w:gutter="0" w:footer="0" w:header="0"/>
          <w:type w:val="continuous"/>
        </w:sectPr>
      </w:pPr>
    </w:p>
    <w:bookmarkStart w:id="28" w:name="page29"/>
    <w:bookmarkEnd w:id="28"/>
    <w:p>
      <w:pPr>
        <w:ind w:left="900" w:hanging="366"/>
        <w:spacing w:after="0" w:line="245" w:lineRule="auto"/>
        <w:tabs>
          <w:tab w:leader="none" w:pos="900" w:val="left"/>
        </w:tabs>
        <w:numPr>
          <w:ilvl w:val="0"/>
          <w:numId w:val="12"/>
        </w:numPr>
        <w:rPr>
          <w:rFonts w:ascii="Wingdings" w:cs="Wingdings" w:eastAsia="Wingdings" w:hAnsi="Wingdings"/>
          <w:sz w:val="16"/>
          <w:szCs w:val="16"/>
          <w:color w:val="auto"/>
        </w:rPr>
      </w:pPr>
      <w:r>
        <w:rPr>
          <w:rFonts w:ascii="Arial" w:cs="Arial" w:eastAsia="Arial" w:hAnsi="Arial"/>
          <w:sz w:val="20"/>
          <w:szCs w:val="20"/>
          <w:color w:val="auto"/>
        </w:rPr>
        <w:t>the licensing fees and terms required by film distributors from motion picture exhibitors in order to exhibit their films;</w:t>
      </w:r>
    </w:p>
    <w:p>
      <w:pPr>
        <w:spacing w:after="0" w:line="11" w:lineRule="exact"/>
        <w:rPr>
          <w:rFonts w:ascii="Wingdings" w:cs="Wingdings" w:eastAsia="Wingdings" w:hAnsi="Wingdings"/>
          <w:sz w:val="16"/>
          <w:szCs w:val="16"/>
          <w:color w:val="auto"/>
        </w:rPr>
      </w:pPr>
    </w:p>
    <w:p>
      <w:pPr>
        <w:ind w:left="900" w:hanging="366"/>
        <w:spacing w:after="0"/>
        <w:tabs>
          <w:tab w:leader="none" w:pos="900" w:val="left"/>
        </w:tabs>
        <w:numPr>
          <w:ilvl w:val="0"/>
          <w:numId w:val="12"/>
        </w:numPr>
        <w:rPr>
          <w:rFonts w:ascii="Wingdings" w:cs="Wingdings" w:eastAsia="Wingdings" w:hAnsi="Wingdings"/>
          <w:sz w:val="14"/>
          <w:szCs w:val="14"/>
          <w:color w:val="auto"/>
        </w:rPr>
      </w:pPr>
      <w:r>
        <w:rPr>
          <w:rFonts w:ascii="Arial" w:cs="Arial" w:eastAsia="Arial" w:hAnsi="Arial"/>
          <w:sz w:val="18"/>
          <w:szCs w:val="18"/>
          <w:color w:val="auto"/>
        </w:rPr>
        <w:t>the comparative attractiveness of motion pictures as a source of entertainment and willingness and/or</w:t>
      </w:r>
    </w:p>
    <w:p>
      <w:pPr>
        <w:spacing w:after="0" w:line="38" w:lineRule="exact"/>
        <w:rPr>
          <w:rFonts w:ascii="Wingdings" w:cs="Wingdings" w:eastAsia="Wingdings" w:hAnsi="Wingdings"/>
          <w:sz w:val="14"/>
          <w:szCs w:val="14"/>
          <w:color w:val="auto"/>
        </w:rPr>
      </w:pPr>
    </w:p>
    <w:p>
      <w:pPr>
        <w:ind w:left="90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ability of consumers (i) to spend their dollars on entertainment and (ii) to spend their entertainment dollars on movies in an outside-the-home environment;</w:t>
      </w:r>
    </w:p>
    <w:p>
      <w:pPr>
        <w:spacing w:after="0" w:line="7" w:lineRule="exact"/>
        <w:rPr>
          <w:rFonts w:ascii="Wingdings" w:cs="Wingdings" w:eastAsia="Wingdings" w:hAnsi="Wingdings"/>
          <w:sz w:val="14"/>
          <w:szCs w:val="14"/>
          <w:color w:val="auto"/>
        </w:rPr>
      </w:pPr>
    </w:p>
    <w:p>
      <w:pPr>
        <w:ind w:left="4420" w:hanging="124"/>
        <w:spacing w:after="0"/>
        <w:tabs>
          <w:tab w:leader="none" w:pos="44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3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29 / 51</w:t>
      </w:r>
    </w:p>
    <w:p>
      <w:pPr>
        <w:sectPr>
          <w:pgSz w:w="11900" w:h="16838" w:orient="portrait"/>
          <w:cols w:equalWidth="0" w:num="1">
            <w:col w:w="9140"/>
          </w:cols>
          <w:pgMar w:left="1440" w:top="1131" w:right="1326" w:bottom="0" w:gutter="0" w:footer="0" w:header="0"/>
          <w:type w:val="continuous"/>
        </w:sectPr>
      </w:pPr>
    </w:p>
    <w:bookmarkStart w:id="29" w:name="page30"/>
    <w:bookmarkEnd w:id="29"/>
    <w:p>
      <w:pPr>
        <w:ind w:left="900" w:hanging="366"/>
        <w:spacing w:after="0"/>
        <w:tabs>
          <w:tab w:leader="none" w:pos="900" w:val="left"/>
        </w:tabs>
        <w:numPr>
          <w:ilvl w:val="1"/>
          <w:numId w:val="13"/>
        </w:numPr>
        <w:rPr>
          <w:rFonts w:ascii="Wingdings" w:cs="Wingdings" w:eastAsia="Wingdings" w:hAnsi="Wingdings"/>
          <w:sz w:val="15"/>
          <w:szCs w:val="15"/>
          <w:color w:val="auto"/>
        </w:rPr>
      </w:pPr>
      <w:r>
        <w:rPr>
          <w:rFonts w:ascii="Arial" w:cs="Arial" w:eastAsia="Arial" w:hAnsi="Arial"/>
          <w:sz w:val="19"/>
          <w:szCs w:val="19"/>
          <w:color w:val="auto"/>
        </w:rPr>
        <w:t>the extent to which we encounter competition from other cinema exhibitors, from other sources of</w:t>
      </w:r>
    </w:p>
    <w:p>
      <w:pPr>
        <w:spacing w:after="0" w:line="26" w:lineRule="exact"/>
        <w:rPr>
          <w:rFonts w:ascii="Wingdings" w:cs="Wingdings" w:eastAsia="Wingdings" w:hAnsi="Wingdings"/>
          <w:sz w:val="15"/>
          <w:szCs w:val="15"/>
          <w:color w:val="auto"/>
        </w:rPr>
      </w:pPr>
    </w:p>
    <w:p>
      <w:pPr>
        <w:jc w:val="both"/>
        <w:ind w:left="900" w:right="60"/>
        <w:spacing w:after="0"/>
        <w:rPr>
          <w:rFonts w:ascii="Wingdings" w:cs="Wingdings" w:eastAsia="Wingdings" w:hAnsi="Wingdings"/>
          <w:sz w:val="15"/>
          <w:szCs w:val="15"/>
          <w:color w:val="auto"/>
        </w:rPr>
      </w:pPr>
      <w:r>
        <w:rPr>
          <w:rFonts w:ascii="Arial" w:cs="Arial" w:eastAsia="Arial" w:hAnsi="Arial"/>
          <w:sz w:val="20"/>
          <w:szCs w:val="20"/>
          <w:color w:val="auto"/>
        </w:rPr>
        <w:t>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17" w:lineRule="exact"/>
        <w:rPr>
          <w:rFonts w:ascii="Wingdings" w:cs="Wingdings" w:eastAsia="Wingdings" w:hAnsi="Wingdings"/>
          <w:sz w:val="15"/>
          <w:szCs w:val="15"/>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our ability to continue to obtain, to the extent needed, waivers or other financial accommodations from our lenders and landlords;</w:t>
      </w:r>
    </w:p>
    <w:p>
      <w:pPr>
        <w:spacing w:after="0" w:line="227" w:lineRule="exact"/>
        <w:rPr>
          <w:rFonts w:ascii="Wingdings" w:cs="Wingdings" w:eastAsia="Wingdings" w:hAnsi="Wingdings"/>
          <w:sz w:val="16"/>
          <w:szCs w:val="16"/>
          <w:color w:val="auto"/>
        </w:rPr>
      </w:pPr>
    </w:p>
    <w:p>
      <w:pPr>
        <w:ind w:left="900" w:right="6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of major movies being released directly to one of the multitudes of streaming services available;</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of certain competitors’ subscription or advance pay programs;</w:t>
      </w:r>
    </w:p>
    <w:p>
      <w:pPr>
        <w:spacing w:after="0" w:line="25" w:lineRule="exact"/>
        <w:rPr>
          <w:rFonts w:ascii="Wingdings" w:cs="Wingdings" w:eastAsia="Wingdings" w:hAnsi="Wingdings"/>
          <w:sz w:val="16"/>
          <w:szCs w:val="16"/>
          <w:color w:val="auto"/>
        </w:rPr>
      </w:pPr>
    </w:p>
    <w:p>
      <w:pPr>
        <w:ind w:left="900" w:right="6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failure of our new initiatives to gain significant customer acceptance and use or to generate meaningful profits;</w:t>
      </w:r>
    </w:p>
    <w:p>
      <w:pPr>
        <w:spacing w:after="0" w:line="11" w:lineRule="exact"/>
        <w:rPr>
          <w:rFonts w:ascii="Wingdings" w:cs="Wingdings" w:eastAsia="Wingdings" w:hAnsi="Wingdings"/>
          <w:sz w:val="16"/>
          <w:szCs w:val="16"/>
          <w:color w:val="auto"/>
        </w:rPr>
      </w:pPr>
    </w:p>
    <w:p>
      <w:pPr>
        <w:ind w:left="900" w:right="6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cost and impact of improvements to our cinemas, such as improved seating, enhanced F&amp;B offerings, and other improvements;</w:t>
      </w:r>
    </w:p>
    <w:p>
      <w:pPr>
        <w:spacing w:after="0" w:line="11" w:lineRule="exact"/>
        <w:rPr>
          <w:rFonts w:ascii="Wingdings" w:cs="Wingdings" w:eastAsia="Wingdings" w:hAnsi="Wingdings"/>
          <w:sz w:val="16"/>
          <w:szCs w:val="16"/>
          <w:color w:val="auto"/>
        </w:rPr>
      </w:pPr>
    </w:p>
    <w:p>
      <w:pPr>
        <w:ind w:left="900" w:right="60" w:hanging="366"/>
        <w:spacing w:after="0" w:line="264" w:lineRule="auto"/>
        <w:tabs>
          <w:tab w:leader="none" w:pos="900" w:val="left"/>
        </w:tabs>
        <w:numPr>
          <w:ilvl w:val="1"/>
          <w:numId w:val="13"/>
        </w:numPr>
        <w:rPr>
          <w:rFonts w:ascii="Wingdings" w:cs="Wingdings" w:eastAsia="Wingdings" w:hAnsi="Wingdings"/>
          <w:sz w:val="15"/>
          <w:szCs w:val="15"/>
          <w:color w:val="auto"/>
        </w:rPr>
      </w:pPr>
      <w:r>
        <w:rPr>
          <w:rFonts w:ascii="Arial" w:cs="Arial" w:eastAsia="Arial" w:hAnsi="Arial"/>
          <w:sz w:val="19"/>
          <w:szCs w:val="19"/>
          <w:color w:val="auto"/>
        </w:rPr>
        <w:t>the ability to negotiate favorable rent abatement, deferral and repayment terms with our landlords (which may include lenders who have foreclosed on the collateral held by our prior landlords);</w:t>
      </w: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disruptions during cinema improvements;</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in the U.S., the impact of the termination and phase-out of the so called “Paramount Decree;”</w:t>
      </w:r>
    </w:p>
    <w:p>
      <w:pPr>
        <w:spacing w:after="0" w:line="25" w:lineRule="exact"/>
        <w:rPr>
          <w:rFonts w:ascii="Wingdings" w:cs="Wingdings" w:eastAsia="Wingdings" w:hAnsi="Wingdings"/>
          <w:sz w:val="16"/>
          <w:szCs w:val="16"/>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risk of damage and/or disruption of cinema businesses from earthquakes or floods as certain of our operations are in geologically active or flood susceptible areas;</w:t>
      </w:r>
    </w:p>
    <w:p>
      <w:pPr>
        <w:spacing w:after="0" w:line="11" w:lineRule="exact"/>
        <w:rPr>
          <w:rFonts w:ascii="Wingdings" w:cs="Wingdings" w:eastAsia="Wingdings" w:hAnsi="Wingdings"/>
          <w:sz w:val="16"/>
          <w:szCs w:val="16"/>
          <w:color w:val="auto"/>
        </w:rPr>
      </w:pPr>
    </w:p>
    <w:p>
      <w:pPr>
        <w:ind w:left="900" w:right="4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of protests, demonstrations, and civil unrest on, among other things, government policy, consumer willingness to go to the movies;</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ability to fund necessary refurbishments, remodels and upgrades;</w:t>
      </w:r>
    </w:p>
    <w:p>
      <w:pPr>
        <w:spacing w:after="0" w:line="25" w:lineRule="exact"/>
        <w:rPr>
          <w:rFonts w:ascii="Wingdings" w:cs="Wingdings" w:eastAsia="Wingdings" w:hAnsi="Wingdings"/>
          <w:sz w:val="16"/>
          <w:szCs w:val="16"/>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of new laws related to internet privacy and/or marketing, and of private litigation to obtain interpretation and/or enforcement of the same;</w:t>
      </w:r>
    </w:p>
    <w:p>
      <w:pPr>
        <w:spacing w:after="0" w:line="11" w:lineRule="exact"/>
        <w:rPr>
          <w:rFonts w:ascii="Wingdings" w:cs="Wingdings" w:eastAsia="Wingdings" w:hAnsi="Wingdings"/>
          <w:sz w:val="16"/>
          <w:szCs w:val="16"/>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labor shortages and increased labor costs related to such shortages and to increasing costly labor laws and regulations applicable to part time non-exempt workers; and</w:t>
      </w:r>
    </w:p>
    <w:p>
      <w:pPr>
        <w:spacing w:after="0" w:line="101" w:lineRule="exact"/>
        <w:rPr>
          <w:rFonts w:ascii="Wingdings" w:cs="Wingdings" w:eastAsia="Wingdings" w:hAnsi="Wingdings"/>
          <w:sz w:val="16"/>
          <w:szCs w:val="16"/>
          <w:color w:val="auto"/>
        </w:rPr>
      </w:pPr>
    </w:p>
    <w:p>
      <w:pPr>
        <w:ind w:left="540" w:hanging="366"/>
        <w:spacing w:after="0"/>
        <w:tabs>
          <w:tab w:leader="none" w:pos="540" w:val="left"/>
        </w:tabs>
        <w:numPr>
          <w:ilvl w:val="0"/>
          <w:numId w:val="13"/>
        </w:numPr>
        <w:rPr>
          <w:rFonts w:ascii="Wingdings" w:cs="Wingdings" w:eastAsia="Wingdings" w:hAnsi="Wingdings"/>
          <w:sz w:val="16"/>
          <w:szCs w:val="16"/>
          <w:color w:val="auto"/>
        </w:rPr>
      </w:pPr>
      <w:r>
        <w:rPr>
          <w:rFonts w:ascii="Arial" w:cs="Arial" w:eastAsia="Arial" w:hAnsi="Arial"/>
          <w:sz w:val="20"/>
          <w:szCs w:val="20"/>
          <w:color w:val="auto"/>
        </w:rPr>
        <w:t>with respect to our real estate development and operation activities:</w:t>
      </w:r>
    </w:p>
    <w:p>
      <w:pPr>
        <w:spacing w:after="0" w:line="2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5"/>
          <w:szCs w:val="15"/>
          <w:color w:val="auto"/>
        </w:rPr>
      </w:pPr>
      <w:r>
        <w:rPr>
          <w:rFonts w:ascii="Arial" w:cs="Arial" w:eastAsia="Arial" w:hAnsi="Arial"/>
          <w:sz w:val="19"/>
          <w:szCs w:val="19"/>
          <w:color w:val="auto"/>
        </w:rPr>
        <w:t>the increased costs of wages, supplies, services and other development expenses from inflation;</w:t>
      </w:r>
    </w:p>
    <w:p>
      <w:pPr>
        <w:spacing w:after="0" w:line="17" w:lineRule="exact"/>
        <w:rPr>
          <w:rFonts w:ascii="Wingdings" w:cs="Wingdings" w:eastAsia="Wingdings" w:hAnsi="Wingdings"/>
          <w:sz w:val="15"/>
          <w:szCs w:val="15"/>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on tenants from inflationary pressures;</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uncertainty as to governmental responses to infectious diseases;</w:t>
      </w:r>
    </w:p>
    <w:p>
      <w:pPr>
        <w:spacing w:after="0" w:line="25" w:lineRule="exact"/>
        <w:rPr>
          <w:rFonts w:ascii="Wingdings" w:cs="Wingdings" w:eastAsia="Wingdings" w:hAnsi="Wingdings"/>
          <w:sz w:val="16"/>
          <w:szCs w:val="16"/>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rental rates and capitalization rates applicable to the markets in which we operate and the quality of properties that we own;</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ability to negotiate and execute lease agreements with material tenants;</w:t>
      </w:r>
    </w:p>
    <w:p>
      <w:pPr>
        <w:spacing w:after="0" w:line="25" w:lineRule="exact"/>
        <w:rPr>
          <w:rFonts w:ascii="Wingdings" w:cs="Wingdings" w:eastAsia="Wingdings" w:hAnsi="Wingdings"/>
          <w:sz w:val="16"/>
          <w:szCs w:val="16"/>
          <w:color w:val="auto"/>
        </w:rPr>
      </w:pPr>
    </w:p>
    <w:p>
      <w:pPr>
        <w:ind w:left="900" w:right="4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extent to which we can obtain on a timely basis the various land use approvals and entitlements needed to develop our properties;</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risks and uncertainties associated with real estate development;</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availability and cost of labor and materials;</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ability to obtain all permits to construct improvements;</w:t>
      </w:r>
    </w:p>
    <w:p>
      <w:pPr>
        <w:spacing w:after="0" w:line="25" w:lineRule="exact"/>
        <w:rPr>
          <w:rFonts w:ascii="Wingdings" w:cs="Wingdings" w:eastAsia="Wingdings" w:hAnsi="Wingdings"/>
          <w:sz w:val="16"/>
          <w:szCs w:val="16"/>
          <w:color w:val="auto"/>
        </w:rPr>
      </w:pPr>
    </w:p>
    <w:p>
      <w:pPr>
        <w:ind w:left="900" w:right="4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ability to finance improvements, including, but not limited to increased cost of borrowing and tightened lender credit policies;</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disruptions to our business from construction and/or renovations;</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possibility of construction delays, work stoppage, and material shortage;</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competition for development sites and tenants;</w:t>
      </w:r>
    </w:p>
    <w:p>
      <w:pPr>
        <w:spacing w:after="0" w:line="15"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environmental remediation issues;</w:t>
      </w:r>
    </w:p>
    <w:p>
      <w:pPr>
        <w:spacing w:after="0" w:line="25" w:lineRule="exact"/>
        <w:rPr>
          <w:rFonts w:ascii="Wingdings" w:cs="Wingdings" w:eastAsia="Wingdings" w:hAnsi="Wingdings"/>
          <w:sz w:val="16"/>
          <w:szCs w:val="16"/>
          <w:color w:val="auto"/>
        </w:rPr>
      </w:pPr>
    </w:p>
    <w:p>
      <w:pPr>
        <w:ind w:left="900" w:right="60" w:hanging="366"/>
        <w:spacing w:after="0" w:line="264" w:lineRule="auto"/>
        <w:tabs>
          <w:tab w:leader="none" w:pos="900" w:val="left"/>
        </w:tabs>
        <w:numPr>
          <w:ilvl w:val="1"/>
          <w:numId w:val="13"/>
        </w:numPr>
        <w:rPr>
          <w:rFonts w:ascii="Wingdings" w:cs="Wingdings" w:eastAsia="Wingdings" w:hAnsi="Wingdings"/>
          <w:sz w:val="15"/>
          <w:szCs w:val="15"/>
          <w:color w:val="auto"/>
        </w:rPr>
      </w:pPr>
      <w:r>
        <w:rPr>
          <w:rFonts w:ascii="Arial" w:cs="Arial" w:eastAsia="Arial" w:hAnsi="Arial"/>
          <w:sz w:val="19"/>
          <w:szCs w:val="19"/>
          <w:color w:val="auto"/>
        </w:rPr>
        <w:t>the extent to which our cinemas can continue to serve as an anchor tenant that will, in turn, be influenced by the same factors as will influence generally the results of our cinema operations;</w:t>
      </w:r>
    </w:p>
    <w:p>
      <w:pPr>
        <w:ind w:left="900" w:right="4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increased depreciation and amortization expense as construction projects transition to leased real property;</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ability to negotiate and execute joint venture opportunities and relationships;</w:t>
      </w:r>
    </w:p>
    <w:p>
      <w:pPr>
        <w:spacing w:after="0" w:line="25" w:lineRule="exact"/>
        <w:rPr>
          <w:rFonts w:ascii="Wingdings" w:cs="Wingdings" w:eastAsia="Wingdings" w:hAnsi="Wingdings"/>
          <w:sz w:val="16"/>
          <w:szCs w:val="16"/>
          <w:color w:val="auto"/>
        </w:rPr>
      </w:pPr>
    </w:p>
    <w:p>
      <w:pPr>
        <w:ind w:left="900" w:right="6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risk of damage and/or disruption of real estate businesses from earthquakes as certain of our operations are in geologically active areas;</w:t>
      </w:r>
    </w:p>
    <w:p>
      <w:pPr>
        <w:spacing w:after="0" w:line="11" w:lineRule="exact"/>
        <w:rPr>
          <w:rFonts w:ascii="Wingdings" w:cs="Wingdings" w:eastAsia="Wingdings" w:hAnsi="Wingdings"/>
          <w:sz w:val="16"/>
          <w:szCs w:val="16"/>
          <w:color w:val="auto"/>
        </w:rPr>
      </w:pPr>
    </w:p>
    <w:p>
      <w:pPr>
        <w:ind w:left="900" w:hanging="366"/>
        <w:spacing w:after="0"/>
        <w:tabs>
          <w:tab w:leader="none" w:pos="900" w:val="left"/>
        </w:tabs>
        <w:numPr>
          <w:ilvl w:val="1"/>
          <w:numId w:val="13"/>
        </w:numPr>
        <w:rPr>
          <w:rFonts w:ascii="Wingdings" w:cs="Wingdings" w:eastAsia="Wingdings" w:hAnsi="Wingdings"/>
          <w:sz w:val="14"/>
          <w:szCs w:val="14"/>
          <w:color w:val="auto"/>
        </w:rPr>
      </w:pPr>
      <w:r>
        <w:rPr>
          <w:rFonts w:ascii="Arial" w:cs="Arial" w:eastAsia="Arial" w:hAnsi="Arial"/>
          <w:sz w:val="18"/>
          <w:szCs w:val="18"/>
          <w:color w:val="auto"/>
        </w:rPr>
        <w:t>the disruptions or reductions in the utilization of entertainment, shopping and hospitality venues, as</w:t>
      </w:r>
    </w:p>
    <w:p>
      <w:pPr>
        <w:spacing w:after="0" w:line="38" w:lineRule="exact"/>
        <w:rPr>
          <w:rFonts w:ascii="Wingdings" w:cs="Wingdings" w:eastAsia="Wingdings" w:hAnsi="Wingdings"/>
          <w:sz w:val="14"/>
          <w:szCs w:val="14"/>
          <w:color w:val="auto"/>
        </w:rPr>
      </w:pPr>
    </w:p>
    <w:p>
      <w:pPr>
        <w:ind w:left="90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well as in our operations, due to pandemics, epidemics, widespread health emergencies, or outbreaks of infectious diseases, or to changing consumer tastes and habits; and</w:t>
      </w:r>
    </w:p>
    <w:p>
      <w:pPr>
        <w:spacing w:after="0" w:line="17" w:lineRule="exact"/>
        <w:rPr>
          <w:rFonts w:ascii="Wingdings" w:cs="Wingdings" w:eastAsia="Wingdings" w:hAnsi="Wingdings"/>
          <w:sz w:val="14"/>
          <w:szCs w:val="14"/>
          <w:color w:val="auto"/>
        </w:rPr>
      </w:pPr>
    </w:p>
    <w:p>
      <w:pPr>
        <w:ind w:left="900" w:right="20" w:hanging="366"/>
        <w:spacing w:after="0" w:line="245" w:lineRule="auto"/>
        <w:tabs>
          <w:tab w:leader="none" w:pos="900" w:val="left"/>
        </w:tabs>
        <w:numPr>
          <w:ilvl w:val="1"/>
          <w:numId w:val="13"/>
        </w:numPr>
        <w:rPr>
          <w:rFonts w:ascii="Wingdings" w:cs="Wingdings" w:eastAsia="Wingdings" w:hAnsi="Wingdings"/>
          <w:sz w:val="16"/>
          <w:szCs w:val="16"/>
          <w:color w:val="auto"/>
        </w:rPr>
      </w:pPr>
      <w:r>
        <w:rPr>
          <w:rFonts w:ascii="Arial" w:cs="Arial" w:eastAsia="Arial" w:hAnsi="Arial"/>
          <w:sz w:val="20"/>
          <w:szCs w:val="20"/>
          <w:color w:val="auto"/>
        </w:rPr>
        <w:t>the impact of protests, demonstrations, and civil unrest on government policy, consumer willingness to visit shopping centers.</w:t>
      </w:r>
    </w:p>
    <w:p>
      <w:pPr>
        <w:sectPr>
          <w:pgSz w:w="11900" w:h="16838" w:orient="portrait"/>
          <w:cols w:equalWidth="0" w:num="1">
            <w:col w:w="9180"/>
          </w:cols>
          <w:pgMar w:left="1440" w:top="134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30 / 51</w:t>
      </w:r>
    </w:p>
    <w:p>
      <w:pPr>
        <w:sectPr>
          <w:pgSz w:w="11900" w:h="16838" w:orient="portrait"/>
          <w:cols w:equalWidth="0" w:num="1">
            <w:col w:w="9180"/>
          </w:cols>
          <w:pgMar w:left="1440" w:top="1347" w:right="1286" w:bottom="0" w:gutter="0" w:footer="0" w:header="0"/>
          <w:type w:val="continuous"/>
        </w:sectPr>
      </w:pPr>
    </w:p>
    <w:bookmarkStart w:id="30" w:name="page31"/>
    <w:bookmarkEnd w:id="30"/>
    <w:p>
      <w:pPr>
        <w:ind w:left="540" w:hanging="366"/>
        <w:spacing w:after="0"/>
        <w:tabs>
          <w:tab w:leader="none" w:pos="540" w:val="left"/>
        </w:tabs>
        <w:numPr>
          <w:ilvl w:val="0"/>
          <w:numId w:val="14"/>
        </w:numPr>
        <w:rPr>
          <w:rFonts w:ascii="Wingdings" w:cs="Wingdings" w:eastAsia="Wingdings" w:hAnsi="Wingdings"/>
          <w:sz w:val="14"/>
          <w:szCs w:val="14"/>
          <w:color w:val="auto"/>
        </w:rPr>
      </w:pPr>
      <w:r>
        <w:rPr>
          <w:rFonts w:ascii="Arial" w:cs="Arial" w:eastAsia="Arial" w:hAnsi="Arial"/>
          <w:sz w:val="18"/>
          <w:szCs w:val="18"/>
          <w:color w:val="auto"/>
        </w:rPr>
        <w:t>with respect to our operations generally as an international company involved in both the development and</w:t>
      </w:r>
    </w:p>
    <w:p>
      <w:pPr>
        <w:spacing w:after="0" w:line="38" w:lineRule="exact"/>
        <w:rPr>
          <w:rFonts w:ascii="Wingdings" w:cs="Wingdings" w:eastAsia="Wingdings" w:hAnsi="Wingdings"/>
          <w:sz w:val="14"/>
          <w:szCs w:val="14"/>
          <w:color w:val="auto"/>
        </w:rPr>
      </w:pPr>
    </w:p>
    <w:p>
      <w:pPr>
        <w:ind w:left="540" w:right="2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operation of cinemas and the development and operation of real estate and previously engaged for many years in the railroad business in the United States:</w:t>
      </w:r>
    </w:p>
    <w:p>
      <w:pPr>
        <w:spacing w:after="0" w:line="17" w:lineRule="exact"/>
        <w:rPr>
          <w:rFonts w:ascii="Wingdings" w:cs="Wingdings" w:eastAsia="Wingdings" w:hAnsi="Wingdings"/>
          <w:sz w:val="14"/>
          <w:szCs w:val="14"/>
          <w:color w:val="auto"/>
        </w:rPr>
      </w:pPr>
    </w:p>
    <w:p>
      <w:pPr>
        <w:ind w:left="900" w:hanging="366"/>
        <w:spacing w:after="0" w:line="245" w:lineRule="auto"/>
        <w:tabs>
          <w:tab w:leader="none" w:pos="900" w:val="left"/>
        </w:tabs>
        <w:numPr>
          <w:ilvl w:val="1"/>
          <w:numId w:val="14"/>
        </w:numPr>
        <w:rPr>
          <w:rFonts w:ascii="Wingdings" w:cs="Wingdings" w:eastAsia="Wingdings" w:hAnsi="Wingdings"/>
          <w:sz w:val="16"/>
          <w:szCs w:val="16"/>
          <w:color w:val="auto"/>
        </w:rPr>
      </w:pPr>
      <w:r>
        <w:rPr>
          <w:rFonts w:ascii="Arial" w:cs="Arial" w:eastAsia="Arial" w:hAnsi="Arial"/>
          <w:sz w:val="20"/>
          <w:szCs w:val="20"/>
          <w:color w:val="auto"/>
        </w:rPr>
        <w:t>our ability to renew, extend, renegotiate or replace our loans that mature in 2026 and beyond, and the impact of increasing interest rates;</w:t>
      </w:r>
    </w:p>
    <w:p>
      <w:pPr>
        <w:spacing w:after="0" w:line="1" w:lineRule="exact"/>
        <w:rPr>
          <w:rFonts w:ascii="Wingdings" w:cs="Wingdings" w:eastAsia="Wingdings" w:hAnsi="Wingdings"/>
          <w:sz w:val="16"/>
          <w:szCs w:val="16"/>
          <w:color w:val="auto"/>
        </w:rPr>
      </w:pPr>
    </w:p>
    <w:p>
      <w:pPr>
        <w:ind w:left="900" w:hanging="366"/>
        <w:spacing w:after="0"/>
        <w:tabs>
          <w:tab w:leader="none" w:pos="900" w:val="left"/>
        </w:tabs>
        <w:numPr>
          <w:ilvl w:val="1"/>
          <w:numId w:val="14"/>
        </w:numPr>
        <w:rPr>
          <w:rFonts w:ascii="Wingdings" w:cs="Wingdings" w:eastAsia="Wingdings" w:hAnsi="Wingdings"/>
          <w:sz w:val="16"/>
          <w:szCs w:val="16"/>
          <w:color w:val="auto"/>
        </w:rPr>
      </w:pPr>
      <w:r>
        <w:rPr>
          <w:rFonts w:ascii="Arial" w:cs="Arial" w:eastAsia="Arial" w:hAnsi="Arial"/>
          <w:sz w:val="20"/>
          <w:szCs w:val="20"/>
          <w:color w:val="auto"/>
        </w:rPr>
        <w:t>our ability to grow our Company and provide value to our stockholders;</w:t>
      </w:r>
    </w:p>
    <w:p>
      <w:pPr>
        <w:spacing w:after="0" w:line="15" w:lineRule="exact"/>
        <w:rPr>
          <w:rFonts w:ascii="Wingdings" w:cs="Wingdings" w:eastAsia="Wingdings" w:hAnsi="Wingdings"/>
          <w:sz w:val="16"/>
          <w:szCs w:val="16"/>
          <w:color w:val="auto"/>
        </w:rPr>
      </w:pPr>
    </w:p>
    <w:p>
      <w:pPr>
        <w:ind w:left="4420" w:hanging="124"/>
        <w:spacing w:after="0"/>
        <w:tabs>
          <w:tab w:leader="none" w:pos="4420" w:val="left"/>
        </w:tabs>
        <w:numPr>
          <w:ilvl w:val="2"/>
          <w:numId w:val="14"/>
        </w:numPr>
        <w:rPr>
          <w:rFonts w:ascii="Arial" w:cs="Arial" w:eastAsia="Arial" w:hAnsi="Arial"/>
          <w:sz w:val="20"/>
          <w:szCs w:val="20"/>
          <w:color w:val="auto"/>
        </w:rPr>
      </w:pPr>
      <w:r>
        <w:rPr>
          <w:rFonts w:ascii="Arial" w:cs="Arial" w:eastAsia="Arial" w:hAnsi="Arial"/>
          <w:sz w:val="20"/>
          <w:szCs w:val="20"/>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31 / 51</w:t>
      </w:r>
    </w:p>
    <w:p>
      <w:pPr>
        <w:sectPr>
          <w:pgSz w:w="11900" w:h="16838" w:orient="portrait"/>
          <w:cols w:equalWidth="0" w:num="1">
            <w:col w:w="9160"/>
          </w:cols>
          <w:pgMar w:left="1440" w:top="1131" w:right="1306" w:bottom="0" w:gutter="0" w:footer="0" w:header="0"/>
          <w:type w:val="continuous"/>
        </w:sectPr>
      </w:pPr>
    </w:p>
    <w:bookmarkStart w:id="31" w:name="page32"/>
    <w:bookmarkEnd w:id="31"/>
    <w:p>
      <w:pPr>
        <w:ind w:left="720"/>
        <w:spacing w:after="0"/>
        <w:rPr>
          <w:sz w:val="20"/>
          <w:szCs w:val="20"/>
          <w:color w:val="auto"/>
        </w:rPr>
      </w:pPr>
      <w:r>
        <w:rPr>
          <w:rFonts w:ascii="Wingdings" w:cs="Wingdings" w:eastAsia="Wingdings" w:hAnsi="Wingdings"/>
          <w:sz w:val="16"/>
          <w:szCs w:val="16"/>
          <w:color w:val="auto"/>
        </w:rPr>
        <w:t></w:t>
      </w:r>
    </w:p>
    <w:p>
      <w:pPr>
        <w:spacing w:after="0" w:line="35" w:lineRule="exact"/>
        <w:rPr>
          <w:sz w:val="20"/>
          <w:szCs w:val="20"/>
          <w:color w:val="auto"/>
        </w:rPr>
      </w:pPr>
    </w:p>
    <w:p>
      <w:pPr>
        <w:jc w:val="both"/>
        <w:ind w:left="1080" w:right="40"/>
        <w:spacing w:after="0" w:line="258" w:lineRule="auto"/>
        <w:rPr>
          <w:sz w:val="20"/>
          <w:szCs w:val="20"/>
          <w:color w:val="auto"/>
        </w:rPr>
      </w:pPr>
      <w:r>
        <w:rPr>
          <w:rFonts w:ascii="Arial" w:cs="Arial" w:eastAsia="Arial" w:hAnsi="Arial"/>
          <w:sz w:val="19"/>
          <w:szCs w:val="19"/>
          <w:color w:val="auto"/>
        </w:rPr>
        <w:t>our ongoing access to borrowed funds and capital and the interest that must be paid on that debt and the returns that must be paid on such capital, and our ability to borrow funds to help cover the cessation of cash flows that we experienced during or as a result of the COVID-19 pandemic;</w:t>
      </w:r>
    </w:p>
    <w:p>
      <w:pPr>
        <w:ind w:left="1080" w:hanging="366"/>
        <w:spacing w:after="0" w:line="232" w:lineRule="auto"/>
        <w:tabs>
          <w:tab w:leader="none" w:pos="1080" w:val="left"/>
        </w:tabs>
        <w:numPr>
          <w:ilvl w:val="0"/>
          <w:numId w:val="15"/>
        </w:numPr>
        <w:rPr>
          <w:rFonts w:ascii="Wingdings" w:cs="Wingdings" w:eastAsia="Wingdings" w:hAnsi="Wingdings"/>
          <w:sz w:val="16"/>
          <w:szCs w:val="16"/>
          <w:color w:val="auto"/>
        </w:rPr>
      </w:pPr>
      <w:r>
        <w:rPr>
          <w:rFonts w:ascii="Arial" w:cs="Arial" w:eastAsia="Arial" w:hAnsi="Arial"/>
          <w:sz w:val="20"/>
          <w:szCs w:val="20"/>
          <w:color w:val="auto"/>
        </w:rPr>
        <w:t>our ability to reallocate funds among jurisdictions to meet short-term liquidity needs;</w:t>
      </w:r>
    </w:p>
    <w:p>
      <w:pPr>
        <w:spacing w:after="0" w:line="15" w:lineRule="exact"/>
        <w:rPr>
          <w:rFonts w:ascii="Wingdings" w:cs="Wingdings" w:eastAsia="Wingdings" w:hAnsi="Wingdings"/>
          <w:sz w:val="16"/>
          <w:szCs w:val="16"/>
          <w:color w:val="auto"/>
        </w:rPr>
      </w:pPr>
    </w:p>
    <w:p>
      <w:pPr>
        <w:ind w:left="1080" w:hanging="366"/>
        <w:spacing w:after="0"/>
        <w:tabs>
          <w:tab w:leader="none" w:pos="1080" w:val="left"/>
        </w:tabs>
        <w:numPr>
          <w:ilvl w:val="0"/>
          <w:numId w:val="15"/>
        </w:numPr>
        <w:rPr>
          <w:rFonts w:ascii="Wingdings" w:cs="Wingdings" w:eastAsia="Wingdings" w:hAnsi="Wingdings"/>
          <w:sz w:val="16"/>
          <w:szCs w:val="16"/>
          <w:color w:val="auto"/>
        </w:rPr>
      </w:pPr>
      <w:r>
        <w:rPr>
          <w:rFonts w:ascii="Arial" w:cs="Arial" w:eastAsia="Arial" w:hAnsi="Arial"/>
          <w:sz w:val="20"/>
          <w:szCs w:val="20"/>
          <w:color w:val="auto"/>
        </w:rPr>
        <w:t>the relative values of the currency used in the countries in which we operate;</w:t>
      </w:r>
    </w:p>
    <w:p>
      <w:pPr>
        <w:spacing w:after="0" w:line="25" w:lineRule="exact"/>
        <w:rPr>
          <w:rFonts w:ascii="Wingdings" w:cs="Wingdings" w:eastAsia="Wingdings" w:hAnsi="Wingdings"/>
          <w:sz w:val="16"/>
          <w:szCs w:val="16"/>
          <w:color w:val="auto"/>
        </w:rPr>
      </w:pPr>
    </w:p>
    <w:p>
      <w:pPr>
        <w:ind w:left="1080" w:right="120" w:hanging="366"/>
        <w:spacing w:after="0" w:line="245" w:lineRule="auto"/>
        <w:tabs>
          <w:tab w:leader="none" w:pos="1080" w:val="left"/>
        </w:tabs>
        <w:numPr>
          <w:ilvl w:val="0"/>
          <w:numId w:val="15"/>
        </w:numPr>
        <w:rPr>
          <w:rFonts w:ascii="Wingdings" w:cs="Wingdings" w:eastAsia="Wingdings" w:hAnsi="Wingdings"/>
          <w:sz w:val="16"/>
          <w:szCs w:val="16"/>
          <w:color w:val="auto"/>
        </w:rPr>
      </w:pPr>
      <w:r>
        <w:rPr>
          <w:rFonts w:ascii="Arial" w:cs="Arial" w:eastAsia="Arial" w:hAnsi="Arial"/>
          <w:sz w:val="20"/>
          <w:szCs w:val="20"/>
          <w:color w:val="auto"/>
        </w:rPr>
        <w:t>changes in government regulation, including by way of example, the costs resulting from the requirements of Sarbanes-Oxley and other increased regulatory requirements;</w:t>
      </w:r>
    </w:p>
    <w:p>
      <w:pPr>
        <w:spacing w:after="0" w:line="11" w:lineRule="exact"/>
        <w:rPr>
          <w:rFonts w:ascii="Wingdings" w:cs="Wingdings" w:eastAsia="Wingdings" w:hAnsi="Wingdings"/>
          <w:sz w:val="16"/>
          <w:szCs w:val="16"/>
          <w:color w:val="auto"/>
        </w:rPr>
      </w:pPr>
    </w:p>
    <w:p>
      <w:pPr>
        <w:ind w:left="1080" w:hanging="366"/>
        <w:spacing w:after="0"/>
        <w:tabs>
          <w:tab w:leader="none" w:pos="1080" w:val="left"/>
        </w:tabs>
        <w:numPr>
          <w:ilvl w:val="0"/>
          <w:numId w:val="15"/>
        </w:numPr>
        <w:rPr>
          <w:rFonts w:ascii="Wingdings" w:cs="Wingdings" w:eastAsia="Wingdings" w:hAnsi="Wingdings"/>
          <w:sz w:val="15"/>
          <w:szCs w:val="15"/>
          <w:color w:val="auto"/>
        </w:rPr>
      </w:pPr>
      <w:r>
        <w:rPr>
          <w:rFonts w:ascii="Arial" w:cs="Arial" w:eastAsia="Arial" w:hAnsi="Arial"/>
          <w:sz w:val="19"/>
          <w:szCs w:val="19"/>
          <w:color w:val="auto"/>
        </w:rPr>
        <w:t>our labor relations and costs of labor (including future government requirements with respect to</w:t>
      </w:r>
    </w:p>
    <w:p>
      <w:pPr>
        <w:spacing w:after="0" w:line="26" w:lineRule="exact"/>
        <w:rPr>
          <w:rFonts w:ascii="Wingdings" w:cs="Wingdings" w:eastAsia="Wingdings" w:hAnsi="Wingdings"/>
          <w:sz w:val="15"/>
          <w:szCs w:val="15"/>
          <w:color w:val="auto"/>
        </w:rPr>
      </w:pPr>
    </w:p>
    <w:p>
      <w:pPr>
        <w:ind w:left="1080" w:right="80"/>
        <w:spacing w:after="0" w:line="237" w:lineRule="auto"/>
        <w:rPr>
          <w:rFonts w:ascii="Wingdings" w:cs="Wingdings" w:eastAsia="Wingdings" w:hAnsi="Wingdings"/>
          <w:sz w:val="15"/>
          <w:szCs w:val="15"/>
          <w:color w:val="auto"/>
        </w:rPr>
      </w:pPr>
      <w:r>
        <w:rPr>
          <w:rFonts w:ascii="Arial" w:cs="Arial" w:eastAsia="Arial" w:hAnsi="Arial"/>
          <w:sz w:val="20"/>
          <w:szCs w:val="20"/>
          <w:color w:val="auto"/>
        </w:rPr>
        <w:t>minimum wages, shift scheduling, the use of consultants, pension liabilities, disability insurance and health coverage, and vacations and leave);</w:t>
      </w:r>
    </w:p>
    <w:p>
      <w:pPr>
        <w:spacing w:after="0" w:line="17" w:lineRule="exact"/>
        <w:rPr>
          <w:rFonts w:ascii="Wingdings" w:cs="Wingdings" w:eastAsia="Wingdings" w:hAnsi="Wingdings"/>
          <w:sz w:val="15"/>
          <w:szCs w:val="15"/>
          <w:color w:val="auto"/>
        </w:rPr>
      </w:pPr>
    </w:p>
    <w:p>
      <w:pPr>
        <w:ind w:left="1080" w:hanging="366"/>
        <w:spacing w:after="0"/>
        <w:tabs>
          <w:tab w:leader="none" w:pos="1080" w:val="left"/>
        </w:tabs>
        <w:numPr>
          <w:ilvl w:val="0"/>
          <w:numId w:val="15"/>
        </w:numPr>
        <w:rPr>
          <w:rFonts w:ascii="Wingdings" w:cs="Wingdings" w:eastAsia="Wingdings" w:hAnsi="Wingdings"/>
          <w:sz w:val="14"/>
          <w:szCs w:val="14"/>
          <w:color w:val="auto"/>
        </w:rPr>
      </w:pPr>
      <w:r>
        <w:rPr>
          <w:rFonts w:ascii="Arial" w:cs="Arial" w:eastAsia="Arial" w:hAnsi="Arial"/>
          <w:sz w:val="18"/>
          <w:szCs w:val="18"/>
          <w:color w:val="auto"/>
        </w:rPr>
        <w:t>our exposure from time to time to legal claims and to uninsurable risks, such as those related to our</w:t>
      </w:r>
    </w:p>
    <w:p>
      <w:pPr>
        <w:spacing w:after="0" w:line="38" w:lineRule="exact"/>
        <w:rPr>
          <w:rFonts w:ascii="Wingdings" w:cs="Wingdings" w:eastAsia="Wingdings" w:hAnsi="Wingdings"/>
          <w:sz w:val="14"/>
          <w:szCs w:val="14"/>
          <w:color w:val="auto"/>
        </w:rPr>
      </w:pPr>
    </w:p>
    <w:p>
      <w:pPr>
        <w:jc w:val="both"/>
        <w:ind w:left="1080" w:right="60"/>
        <w:spacing w:after="0" w:line="242" w:lineRule="auto"/>
        <w:rPr>
          <w:rFonts w:ascii="Wingdings" w:cs="Wingdings" w:eastAsia="Wingdings" w:hAnsi="Wingdings"/>
          <w:sz w:val="14"/>
          <w:szCs w:val="14"/>
          <w:color w:val="auto"/>
        </w:rPr>
      </w:pPr>
      <w:r>
        <w:rPr>
          <w:rFonts w:ascii="Arial" w:cs="Arial" w:eastAsia="Arial" w:hAnsi="Arial"/>
          <w:sz w:val="20"/>
          <w:szCs w:val="20"/>
          <w:color w:val="auto"/>
        </w:rPr>
        <w:t>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15" w:lineRule="exact"/>
        <w:rPr>
          <w:rFonts w:ascii="Wingdings" w:cs="Wingdings" w:eastAsia="Wingdings" w:hAnsi="Wingdings"/>
          <w:sz w:val="14"/>
          <w:szCs w:val="14"/>
          <w:color w:val="auto"/>
        </w:rPr>
      </w:pPr>
    </w:p>
    <w:p>
      <w:pPr>
        <w:ind w:left="1080" w:right="100" w:hanging="366"/>
        <w:spacing w:after="0" w:line="245" w:lineRule="auto"/>
        <w:tabs>
          <w:tab w:leader="none" w:pos="1080" w:val="left"/>
        </w:tabs>
        <w:numPr>
          <w:ilvl w:val="0"/>
          <w:numId w:val="15"/>
        </w:numPr>
        <w:rPr>
          <w:rFonts w:ascii="Wingdings" w:cs="Wingdings" w:eastAsia="Wingdings" w:hAnsi="Wingdings"/>
          <w:sz w:val="16"/>
          <w:szCs w:val="16"/>
          <w:color w:val="auto"/>
        </w:rPr>
      </w:pPr>
      <w:r>
        <w:rPr>
          <w:rFonts w:ascii="Arial" w:cs="Arial" w:eastAsia="Arial" w:hAnsi="Arial"/>
          <w:sz w:val="20"/>
          <w:szCs w:val="20"/>
          <w:color w:val="auto"/>
        </w:rPr>
        <w:t>our exposure to cybersecurity risks, including misappropriation of customer information or other breaches of information security;</w:t>
      </w:r>
    </w:p>
    <w:p>
      <w:pPr>
        <w:spacing w:after="0" w:line="1" w:lineRule="exact"/>
        <w:rPr>
          <w:rFonts w:ascii="Wingdings" w:cs="Wingdings" w:eastAsia="Wingdings" w:hAnsi="Wingdings"/>
          <w:sz w:val="16"/>
          <w:szCs w:val="16"/>
          <w:color w:val="auto"/>
        </w:rPr>
      </w:pPr>
    </w:p>
    <w:p>
      <w:pPr>
        <w:ind w:left="1080" w:hanging="366"/>
        <w:spacing w:after="0"/>
        <w:tabs>
          <w:tab w:leader="none" w:pos="1080" w:val="left"/>
        </w:tabs>
        <w:numPr>
          <w:ilvl w:val="0"/>
          <w:numId w:val="15"/>
        </w:numPr>
        <w:rPr>
          <w:rFonts w:ascii="Wingdings" w:cs="Wingdings" w:eastAsia="Wingdings" w:hAnsi="Wingdings"/>
          <w:sz w:val="16"/>
          <w:szCs w:val="16"/>
          <w:color w:val="auto"/>
        </w:rPr>
      </w:pPr>
      <w:r>
        <w:rPr>
          <w:rFonts w:ascii="Arial" w:cs="Arial" w:eastAsia="Arial" w:hAnsi="Arial"/>
          <w:sz w:val="20"/>
          <w:szCs w:val="20"/>
          <w:color w:val="auto"/>
        </w:rPr>
        <w:t>the impact of future major outbreaks of contagious diseases;</w:t>
      </w:r>
    </w:p>
    <w:p>
      <w:pPr>
        <w:spacing w:after="0" w:line="45" w:lineRule="exact"/>
        <w:rPr>
          <w:sz w:val="20"/>
          <w:szCs w:val="20"/>
          <w:color w:val="auto"/>
        </w:rPr>
      </w:pPr>
    </w:p>
    <w:p>
      <w:pPr>
        <w:ind w:left="720"/>
        <w:spacing w:after="0"/>
        <w:rPr>
          <w:sz w:val="20"/>
          <w:szCs w:val="20"/>
          <w:color w:val="auto"/>
        </w:rPr>
      </w:pPr>
      <w:r>
        <w:rPr>
          <w:rFonts w:ascii="Wingdings" w:cs="Wingdings" w:eastAsia="Wingdings" w:hAnsi="Wingdings"/>
          <w:sz w:val="16"/>
          <w:szCs w:val="16"/>
          <w:color w:val="auto"/>
        </w:rPr>
        <w:t></w:t>
      </w:r>
    </w:p>
    <w:p>
      <w:pPr>
        <w:spacing w:after="0" w:line="35" w:lineRule="exact"/>
        <w:rPr>
          <w:sz w:val="20"/>
          <w:szCs w:val="20"/>
          <w:color w:val="auto"/>
        </w:rPr>
      </w:pPr>
    </w:p>
    <w:p>
      <w:pPr>
        <w:ind w:left="1080" w:right="20"/>
        <w:spacing w:after="0" w:line="237" w:lineRule="auto"/>
        <w:rPr>
          <w:sz w:val="20"/>
          <w:szCs w:val="20"/>
          <w:color w:val="auto"/>
        </w:rPr>
      </w:pPr>
      <w:r>
        <w:rPr>
          <w:rFonts w:ascii="Arial" w:cs="Arial" w:eastAsia="Arial" w:hAnsi="Arial"/>
          <w:sz w:val="20"/>
          <w:szCs w:val="20"/>
          <w:color w:val="auto"/>
        </w:rPr>
        <w:t>the availability of employees and/or their ability or willingness to conduct work under any revised work environment protocols;</w:t>
      </w:r>
    </w:p>
    <w:p>
      <w:pPr>
        <w:spacing w:after="0" w:line="17" w:lineRule="exact"/>
        <w:rPr>
          <w:sz w:val="20"/>
          <w:szCs w:val="20"/>
          <w:color w:val="auto"/>
        </w:rPr>
      </w:pPr>
    </w:p>
    <w:p>
      <w:pPr>
        <w:ind w:left="1080" w:right="60" w:hanging="366"/>
        <w:spacing w:after="0" w:line="245" w:lineRule="auto"/>
        <w:tabs>
          <w:tab w:leader="none" w:pos="1080" w:val="left"/>
        </w:tabs>
        <w:numPr>
          <w:ilvl w:val="0"/>
          <w:numId w:val="16"/>
        </w:numPr>
        <w:rPr>
          <w:rFonts w:ascii="Wingdings" w:cs="Wingdings" w:eastAsia="Wingdings" w:hAnsi="Wingdings"/>
          <w:sz w:val="16"/>
          <w:szCs w:val="16"/>
          <w:color w:val="auto"/>
        </w:rPr>
      </w:pPr>
      <w:r>
        <w:rPr>
          <w:rFonts w:ascii="Arial" w:cs="Arial" w:eastAsia="Arial" w:hAnsi="Arial"/>
          <w:sz w:val="20"/>
          <w:szCs w:val="20"/>
          <w:color w:val="auto"/>
        </w:rPr>
        <w:t>the increased risks related to employee matters, including increased employment litigation and claims relating to terminations or furloughs caused by cinema and ETC closures;</w:t>
      </w:r>
    </w:p>
    <w:p>
      <w:pPr>
        <w:spacing w:after="0" w:line="11" w:lineRule="exact"/>
        <w:rPr>
          <w:rFonts w:ascii="Wingdings" w:cs="Wingdings" w:eastAsia="Wingdings" w:hAnsi="Wingdings"/>
          <w:sz w:val="16"/>
          <w:szCs w:val="16"/>
          <w:color w:val="auto"/>
        </w:rPr>
      </w:pPr>
    </w:p>
    <w:p>
      <w:pPr>
        <w:ind w:left="1080" w:hanging="366"/>
        <w:spacing w:after="0"/>
        <w:tabs>
          <w:tab w:leader="none" w:pos="1080" w:val="left"/>
        </w:tabs>
        <w:numPr>
          <w:ilvl w:val="0"/>
          <w:numId w:val="16"/>
        </w:numPr>
        <w:rPr>
          <w:rFonts w:ascii="Wingdings" w:cs="Wingdings" w:eastAsia="Wingdings" w:hAnsi="Wingdings"/>
          <w:sz w:val="15"/>
          <w:szCs w:val="15"/>
          <w:color w:val="auto"/>
        </w:rPr>
      </w:pPr>
      <w:r>
        <w:rPr>
          <w:rFonts w:ascii="Arial" w:cs="Arial" w:eastAsia="Arial" w:hAnsi="Arial"/>
          <w:sz w:val="19"/>
          <w:szCs w:val="19"/>
          <w:color w:val="auto"/>
        </w:rPr>
        <w:t>our ability to generate significant cash flow from operations if our cinemas and/or ETCs continue to</w:t>
      </w:r>
    </w:p>
    <w:p>
      <w:pPr>
        <w:spacing w:after="0" w:line="26" w:lineRule="exact"/>
        <w:rPr>
          <w:rFonts w:ascii="Wingdings" w:cs="Wingdings" w:eastAsia="Wingdings" w:hAnsi="Wingdings"/>
          <w:sz w:val="15"/>
          <w:szCs w:val="15"/>
          <w:color w:val="auto"/>
        </w:rPr>
      </w:pPr>
    </w:p>
    <w:p>
      <w:pPr>
        <w:jc w:val="both"/>
        <w:ind w:left="1080" w:right="60"/>
        <w:spacing w:after="0" w:line="273" w:lineRule="auto"/>
        <w:rPr>
          <w:rFonts w:ascii="Wingdings" w:cs="Wingdings" w:eastAsia="Wingdings" w:hAnsi="Wingdings"/>
          <w:sz w:val="15"/>
          <w:szCs w:val="15"/>
          <w:color w:val="auto"/>
        </w:rPr>
      </w:pPr>
      <w:r>
        <w:rPr>
          <w:rFonts w:ascii="Arial" w:cs="Arial" w:eastAsia="Arial" w:hAnsi="Arial"/>
          <w:sz w:val="18"/>
          <w:szCs w:val="18"/>
          <w:color w:val="auto"/>
        </w:rPr>
        <w:t>experience demand at levels significantly lower than historical levels, which could lead to a substantial increase in indebtedness and negatively impact our ability to comply with the financial covenants, if</w:t>
      </w:r>
    </w:p>
    <w:p>
      <w:pPr>
        <w:ind w:left="1080"/>
        <w:spacing w:after="0" w:line="230" w:lineRule="auto"/>
        <w:rPr>
          <w:sz w:val="20"/>
          <w:szCs w:val="20"/>
          <w:color w:val="auto"/>
        </w:rPr>
      </w:pPr>
      <w:r>
        <w:rPr>
          <w:rFonts w:ascii="Arial" w:cs="Arial" w:eastAsia="Arial" w:hAnsi="Arial"/>
          <w:sz w:val="20"/>
          <w:szCs w:val="20"/>
          <w:color w:val="auto"/>
        </w:rPr>
        <w:t>applicable, in our debt agreements;</w:t>
      </w:r>
    </w:p>
    <w:p>
      <w:pPr>
        <w:spacing w:after="0" w:line="36" w:lineRule="exact"/>
        <w:rPr>
          <w:sz w:val="20"/>
          <w:szCs w:val="20"/>
          <w:color w:val="auto"/>
        </w:rPr>
      </w:pPr>
    </w:p>
    <w:p>
      <w:pPr>
        <w:ind w:left="720"/>
        <w:spacing w:after="0"/>
        <w:rPr>
          <w:sz w:val="20"/>
          <w:szCs w:val="20"/>
          <w:color w:val="auto"/>
        </w:rPr>
      </w:pPr>
      <w:r>
        <w:rPr>
          <w:rFonts w:ascii="Wingdings" w:cs="Wingdings" w:eastAsia="Wingdings" w:hAnsi="Wingdings"/>
          <w:sz w:val="16"/>
          <w:szCs w:val="16"/>
          <w:color w:val="auto"/>
        </w:rPr>
        <w:t></w:t>
      </w:r>
    </w:p>
    <w:p>
      <w:pPr>
        <w:spacing w:after="0" w:line="35" w:lineRule="exact"/>
        <w:rPr>
          <w:sz w:val="20"/>
          <w:szCs w:val="20"/>
          <w:color w:val="auto"/>
        </w:rPr>
      </w:pPr>
    </w:p>
    <w:p>
      <w:pPr>
        <w:ind w:left="1080" w:right="20"/>
        <w:spacing w:after="0" w:line="237" w:lineRule="auto"/>
        <w:rPr>
          <w:sz w:val="20"/>
          <w:szCs w:val="20"/>
          <w:color w:val="auto"/>
        </w:rPr>
      </w:pPr>
      <w:r>
        <w:rPr>
          <w:rFonts w:ascii="Arial" w:cs="Arial" w:eastAsia="Arial" w:hAnsi="Arial"/>
          <w:sz w:val="20"/>
          <w:szCs w:val="20"/>
          <w:color w:val="auto"/>
        </w:rPr>
        <w:t>our ability to comply with credit facility covenants and our ability to obtain necessary covenant waivers and necessary credit facility amendments;</w:t>
      </w:r>
    </w:p>
    <w:p>
      <w:pPr>
        <w:spacing w:after="0" w:line="17" w:lineRule="exact"/>
        <w:rPr>
          <w:sz w:val="20"/>
          <w:szCs w:val="20"/>
          <w:color w:val="auto"/>
        </w:rPr>
      </w:pPr>
    </w:p>
    <w:p>
      <w:pPr>
        <w:ind w:left="1080" w:right="60" w:hanging="366"/>
        <w:spacing w:after="0" w:line="245" w:lineRule="auto"/>
        <w:tabs>
          <w:tab w:leader="none" w:pos="1080" w:val="left"/>
        </w:tabs>
        <w:numPr>
          <w:ilvl w:val="0"/>
          <w:numId w:val="17"/>
        </w:numPr>
        <w:rPr>
          <w:rFonts w:ascii="Wingdings" w:cs="Wingdings" w:eastAsia="Wingdings" w:hAnsi="Wingdings"/>
          <w:sz w:val="16"/>
          <w:szCs w:val="16"/>
          <w:color w:val="auto"/>
        </w:rPr>
      </w:pPr>
      <w:r>
        <w:rPr>
          <w:rFonts w:ascii="Arial" w:cs="Arial" w:eastAsia="Arial" w:hAnsi="Arial"/>
          <w:sz w:val="20"/>
          <w:szCs w:val="20"/>
          <w:color w:val="auto"/>
        </w:rPr>
        <w:t>changes in future effective tax rates and the results of currently ongoing and future potential audits by taxing authorities having jurisdiction over our various companies;</w:t>
      </w:r>
    </w:p>
    <w:p>
      <w:pPr>
        <w:spacing w:after="0" w:line="1" w:lineRule="exact"/>
        <w:rPr>
          <w:rFonts w:ascii="Wingdings" w:cs="Wingdings" w:eastAsia="Wingdings" w:hAnsi="Wingdings"/>
          <w:sz w:val="16"/>
          <w:szCs w:val="16"/>
          <w:color w:val="auto"/>
        </w:rPr>
      </w:pPr>
    </w:p>
    <w:p>
      <w:pPr>
        <w:ind w:left="1080" w:hanging="366"/>
        <w:spacing w:after="0"/>
        <w:tabs>
          <w:tab w:leader="none" w:pos="1080" w:val="left"/>
        </w:tabs>
        <w:numPr>
          <w:ilvl w:val="0"/>
          <w:numId w:val="17"/>
        </w:numPr>
        <w:rPr>
          <w:rFonts w:ascii="Wingdings" w:cs="Wingdings" w:eastAsia="Wingdings" w:hAnsi="Wingdings"/>
          <w:sz w:val="16"/>
          <w:szCs w:val="16"/>
          <w:color w:val="auto"/>
        </w:rPr>
      </w:pPr>
      <w:r>
        <w:rPr>
          <w:rFonts w:ascii="Arial" w:cs="Arial" w:eastAsia="Arial" w:hAnsi="Arial"/>
          <w:sz w:val="20"/>
          <w:szCs w:val="20"/>
          <w:color w:val="auto"/>
        </w:rPr>
        <w:t>inflationary pressures on labor and supplies, and supply chain disruptions;</w:t>
      </w:r>
    </w:p>
    <w:p>
      <w:pPr>
        <w:spacing w:after="0" w:line="15" w:lineRule="exact"/>
        <w:rPr>
          <w:rFonts w:ascii="Wingdings" w:cs="Wingdings" w:eastAsia="Wingdings" w:hAnsi="Wingdings"/>
          <w:sz w:val="16"/>
          <w:szCs w:val="16"/>
          <w:color w:val="auto"/>
        </w:rPr>
      </w:pPr>
    </w:p>
    <w:p>
      <w:pPr>
        <w:ind w:left="1080" w:hanging="366"/>
        <w:spacing w:after="0"/>
        <w:tabs>
          <w:tab w:leader="none" w:pos="1080" w:val="left"/>
        </w:tabs>
        <w:numPr>
          <w:ilvl w:val="0"/>
          <w:numId w:val="17"/>
        </w:numPr>
        <w:rPr>
          <w:rFonts w:ascii="Wingdings" w:cs="Wingdings" w:eastAsia="Wingdings" w:hAnsi="Wingdings"/>
          <w:sz w:val="16"/>
          <w:szCs w:val="16"/>
          <w:color w:val="auto"/>
        </w:rPr>
      </w:pPr>
      <w:r>
        <w:rPr>
          <w:rFonts w:ascii="Arial" w:cs="Arial" w:eastAsia="Arial" w:hAnsi="Arial"/>
          <w:sz w:val="20"/>
          <w:szCs w:val="20"/>
          <w:color w:val="auto"/>
        </w:rPr>
        <w:t>impacts from the proposed tariffs;</w:t>
      </w:r>
    </w:p>
    <w:p>
      <w:pPr>
        <w:spacing w:after="0" w:line="15" w:lineRule="exact"/>
        <w:rPr>
          <w:rFonts w:ascii="Wingdings" w:cs="Wingdings" w:eastAsia="Wingdings" w:hAnsi="Wingdings"/>
          <w:sz w:val="16"/>
          <w:szCs w:val="16"/>
          <w:color w:val="auto"/>
        </w:rPr>
      </w:pPr>
    </w:p>
    <w:p>
      <w:pPr>
        <w:ind w:left="1080" w:hanging="366"/>
        <w:spacing w:after="0"/>
        <w:tabs>
          <w:tab w:leader="none" w:pos="1080" w:val="left"/>
        </w:tabs>
        <w:numPr>
          <w:ilvl w:val="0"/>
          <w:numId w:val="17"/>
        </w:numPr>
        <w:rPr>
          <w:rFonts w:ascii="Wingdings" w:cs="Wingdings" w:eastAsia="Wingdings" w:hAnsi="Wingdings"/>
          <w:sz w:val="16"/>
          <w:szCs w:val="16"/>
          <w:color w:val="auto"/>
        </w:rPr>
      </w:pPr>
      <w:r>
        <w:rPr>
          <w:rFonts w:ascii="Arial" w:cs="Arial" w:eastAsia="Arial" w:hAnsi="Arial"/>
          <w:sz w:val="20"/>
          <w:szCs w:val="20"/>
          <w:color w:val="auto"/>
        </w:rPr>
        <w:t>changes in applicable accounting policies and practices; and</w:t>
      </w:r>
    </w:p>
    <w:p>
      <w:pPr>
        <w:spacing w:after="0" w:line="25" w:lineRule="exact"/>
        <w:rPr>
          <w:rFonts w:ascii="Wingdings" w:cs="Wingdings" w:eastAsia="Wingdings" w:hAnsi="Wingdings"/>
          <w:sz w:val="16"/>
          <w:szCs w:val="16"/>
          <w:color w:val="auto"/>
        </w:rPr>
      </w:pPr>
    </w:p>
    <w:p>
      <w:pPr>
        <w:ind w:left="1080" w:hanging="366"/>
        <w:spacing w:after="0"/>
        <w:tabs>
          <w:tab w:leader="none" w:pos="1080" w:val="left"/>
        </w:tabs>
        <w:numPr>
          <w:ilvl w:val="0"/>
          <w:numId w:val="17"/>
        </w:numPr>
        <w:rPr>
          <w:rFonts w:ascii="Wingdings" w:cs="Wingdings" w:eastAsia="Wingdings" w:hAnsi="Wingdings"/>
          <w:sz w:val="15"/>
          <w:szCs w:val="15"/>
          <w:color w:val="auto"/>
        </w:rPr>
      </w:pPr>
      <w:r>
        <w:rPr>
          <w:rFonts w:ascii="Arial" w:cs="Arial" w:eastAsia="Arial" w:hAnsi="Arial"/>
          <w:sz w:val="19"/>
          <w:szCs w:val="19"/>
          <w:color w:val="auto"/>
        </w:rPr>
        <w:t>political, economic and geopolitical conditions, including the current war conditions in the Middle</w:t>
      </w:r>
    </w:p>
    <w:p>
      <w:pPr>
        <w:spacing w:after="0" w:line="26" w:lineRule="exact"/>
        <w:rPr>
          <w:rFonts w:ascii="Wingdings" w:cs="Wingdings" w:eastAsia="Wingdings" w:hAnsi="Wingdings"/>
          <w:sz w:val="15"/>
          <w:szCs w:val="15"/>
          <w:color w:val="auto"/>
        </w:rPr>
      </w:pPr>
    </w:p>
    <w:p>
      <w:pPr>
        <w:ind w:left="1080" w:right="60"/>
        <w:spacing w:after="0" w:line="237" w:lineRule="auto"/>
        <w:rPr>
          <w:rFonts w:ascii="Wingdings" w:cs="Wingdings" w:eastAsia="Wingdings" w:hAnsi="Wingdings"/>
          <w:sz w:val="15"/>
          <w:szCs w:val="15"/>
          <w:color w:val="auto"/>
        </w:rPr>
      </w:pPr>
      <w:r>
        <w:rPr>
          <w:rFonts w:ascii="Arial" w:cs="Arial" w:eastAsia="Arial" w:hAnsi="Arial"/>
          <w:sz w:val="20"/>
          <w:szCs w:val="20"/>
          <w:color w:val="auto"/>
        </w:rPr>
        <w:t>East, Ukraine and other areas, which may result in disruptions to supply chains, increased energy costs and the postponement of anticipated rate reductions..</w:t>
      </w:r>
    </w:p>
    <w:p>
      <w:pPr>
        <w:spacing w:after="0" w:line="233"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color w:val="auto"/>
        </w:rPr>
        <w:t xml:space="preserve">money on beyond-the-home entertainment. Refer to </w:t>
      </w:r>
      <w:r>
        <w:rPr>
          <w:rFonts w:ascii="Arial" w:cs="Arial" w:eastAsia="Arial" w:hAnsi="Arial"/>
          <w:sz w:val="20"/>
          <w:szCs w:val="20"/>
          <w:i w:val="1"/>
          <w:iCs w:val="1"/>
          <w:color w:val="auto"/>
        </w:rPr>
        <w:t>Item 1A - Risk</w:t>
      </w:r>
      <w:r>
        <w:rPr>
          <w:rFonts w:ascii="Arial" w:cs="Arial" w:eastAsia="Arial" w:hAnsi="Arial"/>
          <w:sz w:val="20"/>
          <w:szCs w:val="20"/>
          <w:color w:val="auto"/>
        </w:rPr>
        <w:t xml:space="preserve"> </w:t>
      </w:r>
      <w:r>
        <w:rPr>
          <w:rFonts w:ascii="Arial" w:cs="Arial" w:eastAsia="Arial" w:hAnsi="Arial"/>
          <w:sz w:val="20"/>
          <w:szCs w:val="20"/>
          <w:i w:val="1"/>
          <w:iCs w:val="1"/>
          <w:color w:val="auto"/>
        </w:rPr>
        <w:t>Factors</w:t>
      </w:r>
      <w:r>
        <w:rPr>
          <w:rFonts w:ascii="Arial" w:cs="Arial" w:eastAsia="Arial" w:hAnsi="Arial"/>
          <w:sz w:val="20"/>
          <w:szCs w:val="20"/>
          <w:color w:val="auto"/>
        </w:rPr>
        <w:t>, as well as the risk factors set forth in any other filings made under the Securities Act of 1934, as amended,</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any of our Quarterly Reports on Form 10-Q, for more information.</w:t>
      </w:r>
    </w:p>
    <w:p>
      <w:pPr>
        <w:spacing w:after="0" w:line="214" w:lineRule="exact"/>
        <w:rPr>
          <w:sz w:val="20"/>
          <w:szCs w:val="20"/>
          <w:color w:val="auto"/>
        </w:rPr>
      </w:pPr>
    </w:p>
    <w:p>
      <w:pPr>
        <w:jc w:val="both"/>
        <w:ind w:right="60"/>
        <w:spacing w:after="0" w:line="238" w:lineRule="auto"/>
        <w:rPr>
          <w:sz w:val="20"/>
          <w:szCs w:val="20"/>
          <w:color w:val="auto"/>
        </w:rPr>
      </w:pPr>
      <w:r>
        <w:rPr>
          <w:rFonts w:ascii="Arial" w:cs="Arial" w:eastAsia="Arial" w:hAnsi="Arial"/>
          <w:sz w:val="19"/>
          <w:szCs w:val="19"/>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21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Forward-looking statements made by us in this annual report are based only on information currently available to us and are current only as of the date of this 2025 Annual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ectPr>
          <w:pgSz w:w="11900" w:h="16838" w:orient="portrait"/>
          <w:cols w:equalWidth="0" w:num="1">
            <w:col w:w="9400"/>
          </w:cols>
          <w:pgMar w:left="1260" w:top="1367" w:right="124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51</w:t>
      </w:r>
    </w:p>
    <w:p>
      <w:pPr>
        <w:sectPr>
          <w:pgSz w:w="11900" w:h="16838" w:orient="portrait"/>
          <w:cols w:equalWidth="0" w:num="1">
            <w:col w:w="9400"/>
          </w:cols>
          <w:pgMar w:left="1260" w:top="1367" w:right="1246" w:bottom="0" w:gutter="0" w:footer="0" w:header="0"/>
          <w:type w:val="continuous"/>
        </w:sectPr>
      </w:pPr>
    </w:p>
    <w:bookmarkStart w:id="32" w:name="page33"/>
    <w:bookmarkEnd w:id="32"/>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51</w:t>
      </w:r>
    </w:p>
    <w:p>
      <w:pPr>
        <w:sectPr>
          <w:pgSz w:w="11900" w:h="16838" w:orient="portrait"/>
          <w:cols w:equalWidth="0" w:num="1">
            <w:col w:w="9026"/>
          </w:cols>
          <w:pgMar w:left="1440" w:top="1440" w:right="144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4"/>
          <w:szCs w:val="24"/>
          <w:b w:val="1"/>
          <w:bCs w:val="1"/>
          <w:u w:val="single" w:color="auto"/>
          <w:color w:val="auto"/>
        </w:rPr>
        <w:t>Item 1A – Risk Factors</w:t>
      </w:r>
    </w:p>
    <w:p>
      <w:pPr>
        <w:spacing w:after="0" w:line="255"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 FACTORS</w:t>
      </w:r>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Cinema Exhibition and Live Theatre Business Risk Factors</w:t>
      </w:r>
    </w:p>
    <w:p>
      <w:pPr>
        <w:spacing w:after="0" w:line="212"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b w:val="1"/>
          <w:bCs w:val="1"/>
          <w:i w:val="1"/>
          <w:iCs w:val="1"/>
          <w:color w:val="auto"/>
        </w:rPr>
        <w:t xml:space="preserve">We are dependent upon third parties to supply the entertainment product we need for our cinemas and live theatres to attract customers. </w:t>
      </w:r>
      <w:r>
        <w:rPr>
          <w:rFonts w:ascii="Arial" w:cs="Arial" w:eastAsia="Arial" w:hAnsi="Arial"/>
          <w:sz w:val="18"/>
          <w:szCs w:val="18"/>
          <w:color w:val="auto"/>
        </w:rPr>
        <w:t>We do not produce the films we show at our cinemas and, generally speaking, we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produce the plays that are performed at our live theatres. Film distributors have no obligation to supply us with film and producers have no obligation to make use of our live theatres. Any disruption in the production of these films (including by reason of a strike) could hurt our business and results of operations. The Hollywood strikes in 2023 halted production of films for several months and, delayed or otherwise affected the supply of certain films. The disruption in film production may also cause delays for currently scheduled film release dates. It is difficult to anticipate the scope and timing of such delays or the full extent of the adverse impact of the strikes, and potential future strikes on our business and results of operations in future reporting periods.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 xml:space="preserve">We face competition from other sources of entertainment and other entertainment delivery systems. </w:t>
      </w:r>
      <w:r>
        <w:rPr>
          <w:rFonts w:ascii="Arial" w:cs="Arial" w:eastAsia="Arial" w:hAnsi="Arial"/>
          <w:sz w:val="18"/>
          <w:szCs w:val="18"/>
          <w:color w:val="auto"/>
        </w:rPr>
        <w:t>Both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cinema and live theatre operations face competition from “in-home” and mobile device sources of entertainment. These include competition from network, cable and satellite television, and Video on Demand, internet streaming video services such as Netflix, Hulu, Disney+, HBO Max, Peacock, and Amazon Prime, and social media or user generated internet programing such as, YouTube, TikTok, Reddit, Instagram, and Snapchat, video games and other sources of entertainment. The quality of “in-home” and mobile entertainment systems, as well as programming available on an in-home and mobile basis, has improved and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 During the COVID-19 pandemic, many distributors moved product onto their proprietary streaming service platforms or onto third party platforms (like Netflix) either in lieu of or simultaneously with a cinema release. Even before the COVID-19 pandemic, some traditional in-home and mobile distributors had begun to produce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w:t>
      </w:r>
    </w:p>
    <w:p>
      <w:pPr>
        <w:spacing w:after="0" w:line="208"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also face competition from various other forms of “beyond-the-home” entertainment, including sporting events, concerts, restaurants, casinos, video game arcades, and nightclubs. Our cinemas also face competition from live theatres and vice versa.</w:t>
      </w:r>
    </w:p>
    <w:p>
      <w:pPr>
        <w:spacing w:after="0" w:line="200" w:lineRule="exact"/>
        <w:rPr>
          <w:sz w:val="20"/>
          <w:szCs w:val="20"/>
          <w:color w:val="auto"/>
        </w:rPr>
      </w:pPr>
    </w:p>
    <w:p>
      <w:pPr>
        <w:spacing w:after="0"/>
        <w:tabs>
          <w:tab w:leader="none" w:pos="980" w:val="left"/>
          <w:tab w:leader="none" w:pos="1900" w:val="left"/>
          <w:tab w:leader="none" w:pos="3280" w:val="left"/>
          <w:tab w:leader="none" w:pos="4060" w:val="left"/>
          <w:tab w:leader="none" w:pos="5340" w:val="left"/>
          <w:tab w:leader="none" w:pos="6360" w:val="left"/>
          <w:tab w:leader="none" w:pos="7100" w:val="left"/>
          <w:tab w:leader="none" w:pos="8320" w:val="left"/>
        </w:tabs>
        <w:rPr>
          <w:sz w:val="20"/>
          <w:szCs w:val="20"/>
          <w:color w:val="auto"/>
        </w:rPr>
      </w:pPr>
      <w:r>
        <w:rPr>
          <w:rFonts w:ascii="Arial" w:cs="Arial" w:eastAsia="Arial" w:hAnsi="Arial"/>
          <w:sz w:val="20"/>
          <w:szCs w:val="20"/>
          <w:b w:val="1"/>
          <w:bCs w:val="1"/>
          <w:i w:val="1"/>
          <w:iCs w:val="1"/>
          <w:color w:val="auto"/>
        </w:rPr>
        <w:t>Supply</w:t>
      </w:r>
      <w:r>
        <w:rPr>
          <w:sz w:val="20"/>
          <w:szCs w:val="20"/>
          <w:color w:val="auto"/>
        </w:rPr>
        <w:tab/>
      </w:r>
      <w:r>
        <w:rPr>
          <w:rFonts w:ascii="Arial" w:cs="Arial" w:eastAsia="Arial" w:hAnsi="Arial"/>
          <w:sz w:val="20"/>
          <w:szCs w:val="20"/>
          <w:b w:val="1"/>
          <w:bCs w:val="1"/>
          <w:i w:val="1"/>
          <w:iCs w:val="1"/>
          <w:color w:val="auto"/>
        </w:rPr>
        <w:t>chain</w:t>
      </w:r>
      <w:r>
        <w:rPr>
          <w:sz w:val="20"/>
          <w:szCs w:val="20"/>
          <w:color w:val="auto"/>
        </w:rPr>
        <w:tab/>
      </w:r>
      <w:r>
        <w:rPr>
          <w:rFonts w:ascii="Arial" w:cs="Arial" w:eastAsia="Arial" w:hAnsi="Arial"/>
          <w:sz w:val="20"/>
          <w:szCs w:val="20"/>
          <w:b w:val="1"/>
          <w:bCs w:val="1"/>
          <w:i w:val="1"/>
          <w:iCs w:val="1"/>
          <w:color w:val="auto"/>
        </w:rPr>
        <w:t>disruptions</w:t>
      </w:r>
      <w:r>
        <w:rPr>
          <w:sz w:val="20"/>
          <w:szCs w:val="20"/>
          <w:color w:val="auto"/>
        </w:rPr>
        <w:tab/>
      </w:r>
      <w:r>
        <w:rPr>
          <w:rFonts w:ascii="Arial" w:cs="Arial" w:eastAsia="Arial" w:hAnsi="Arial"/>
          <w:sz w:val="20"/>
          <w:szCs w:val="20"/>
          <w:b w:val="1"/>
          <w:bCs w:val="1"/>
          <w:i w:val="1"/>
          <w:iCs w:val="1"/>
          <w:color w:val="auto"/>
        </w:rPr>
        <w:t>may</w:t>
      </w:r>
      <w:r>
        <w:rPr>
          <w:sz w:val="20"/>
          <w:szCs w:val="20"/>
          <w:color w:val="auto"/>
        </w:rPr>
        <w:tab/>
      </w:r>
      <w:r>
        <w:rPr>
          <w:rFonts w:ascii="Arial" w:cs="Arial" w:eastAsia="Arial" w:hAnsi="Arial"/>
          <w:sz w:val="20"/>
          <w:szCs w:val="20"/>
          <w:b w:val="1"/>
          <w:bCs w:val="1"/>
          <w:i w:val="1"/>
          <w:iCs w:val="1"/>
          <w:color w:val="auto"/>
        </w:rPr>
        <w:t>negatively</w:t>
      </w:r>
      <w:r>
        <w:rPr>
          <w:sz w:val="20"/>
          <w:szCs w:val="20"/>
          <w:color w:val="auto"/>
        </w:rPr>
        <w:tab/>
      </w:r>
      <w:r>
        <w:rPr>
          <w:rFonts w:ascii="Arial" w:cs="Arial" w:eastAsia="Arial" w:hAnsi="Arial"/>
          <w:sz w:val="20"/>
          <w:szCs w:val="20"/>
          <w:b w:val="1"/>
          <w:bCs w:val="1"/>
          <w:i w:val="1"/>
          <w:iCs w:val="1"/>
          <w:color w:val="auto"/>
        </w:rPr>
        <w:t>impact</w:t>
      </w:r>
      <w:r>
        <w:rPr>
          <w:sz w:val="20"/>
          <w:szCs w:val="20"/>
          <w:color w:val="auto"/>
        </w:rPr>
        <w:tab/>
      </w:r>
      <w:r>
        <w:rPr>
          <w:rFonts w:ascii="Arial" w:cs="Arial" w:eastAsia="Arial" w:hAnsi="Arial"/>
          <w:sz w:val="20"/>
          <w:szCs w:val="20"/>
          <w:b w:val="1"/>
          <w:bCs w:val="1"/>
          <w:i w:val="1"/>
          <w:iCs w:val="1"/>
          <w:color w:val="auto"/>
        </w:rPr>
        <w:t>our</w:t>
      </w:r>
      <w:r>
        <w:rPr>
          <w:sz w:val="20"/>
          <w:szCs w:val="20"/>
          <w:color w:val="auto"/>
        </w:rPr>
        <w:tab/>
      </w:r>
      <w:r>
        <w:rPr>
          <w:rFonts w:ascii="Arial" w:cs="Arial" w:eastAsia="Arial" w:hAnsi="Arial"/>
          <w:sz w:val="20"/>
          <w:szCs w:val="20"/>
          <w:b w:val="1"/>
          <w:bCs w:val="1"/>
          <w:i w:val="1"/>
          <w:iCs w:val="1"/>
          <w:color w:val="auto"/>
        </w:rPr>
        <w:t>operating</w:t>
      </w:r>
      <w:r>
        <w:rPr>
          <w:sz w:val="20"/>
          <w:szCs w:val="20"/>
          <w:color w:val="auto"/>
        </w:rPr>
        <w:tab/>
      </w:r>
      <w:r>
        <w:rPr>
          <w:rFonts w:ascii="Arial" w:cs="Arial" w:eastAsia="Arial" w:hAnsi="Arial"/>
          <w:sz w:val="16"/>
          <w:szCs w:val="16"/>
          <w:b w:val="1"/>
          <w:bCs w:val="1"/>
          <w:i w:val="1"/>
          <w:iCs w:val="1"/>
          <w:color w:val="auto"/>
        </w:rPr>
        <w:t>results.</w:t>
      </w:r>
    </w:p>
    <w:p>
      <w:pPr>
        <w:jc w:val="both"/>
        <w:ind w:right="20"/>
        <w:spacing w:after="0" w:line="252" w:lineRule="auto"/>
        <w:rPr>
          <w:sz w:val="20"/>
          <w:szCs w:val="20"/>
          <w:color w:val="auto"/>
        </w:rPr>
      </w:pPr>
      <w:r>
        <w:rPr>
          <w:rFonts w:ascii="Arial" w:cs="Arial" w:eastAsia="Arial" w:hAnsi="Arial"/>
          <w:sz w:val="18"/>
          <w:szCs w:val="18"/>
          <w:color w:val="auto"/>
        </w:rPr>
        <w:t>We rely on certain suppliers for a number of our products, supplies and services. Shortages, delays, or interruptions in the availability of food and beverage items and other supplies to our theatres and restaurants may be caused by adverse weather conditions; natural disasters; governmental regulation; recalls; commodity availability; seasonality; public health crises or pandemics; labor issues or other operational disruptions; the inability of our suppliers to manage adverse business conditions, obtain credit or remain solvent; or other conditions beyond our control. Such shortages, delays or interruptions could adversely affect the availability, quality, and cost of the items we buy and the operations of our business. Supply chain risk could increase our costs and limit the availability of products that are critical to our operations. We expect these issues to continue for the foreseeable future and plan to minimize the impact by focusing on the supply of those items with the greatest impact on our sales and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environment with many competitors who are significantly larger and may have</w:t>
      </w:r>
    </w:p>
    <w:p>
      <w:pPr>
        <w:spacing w:after="0" w:line="7" w:lineRule="exact"/>
        <w:rPr>
          <w:sz w:val="20"/>
          <w:szCs w:val="20"/>
          <w:color w:val="auto"/>
        </w:rPr>
      </w:pPr>
    </w:p>
    <w:p>
      <w:pPr>
        <w:spacing w:after="0"/>
        <w:tabs>
          <w:tab w:leader="none" w:pos="1420" w:val="left"/>
          <w:tab w:leader="none" w:pos="2300" w:val="left"/>
          <w:tab w:leader="none" w:pos="3240" w:val="left"/>
          <w:tab w:leader="none" w:pos="3820" w:val="left"/>
          <w:tab w:leader="none" w:pos="4660" w:val="left"/>
          <w:tab w:leader="none" w:pos="5380" w:val="left"/>
          <w:tab w:leader="none" w:pos="5960" w:val="left"/>
          <w:tab w:leader="none" w:pos="6840" w:val="left"/>
          <w:tab w:leader="none" w:pos="7640" w:val="left"/>
          <w:tab w:leader="none" w:pos="8280" w:val="left"/>
        </w:tabs>
        <w:rPr>
          <w:sz w:val="20"/>
          <w:szCs w:val="20"/>
          <w:color w:val="auto"/>
        </w:rPr>
      </w:pPr>
      <w:r>
        <w:rPr>
          <w:rFonts w:ascii="Arial" w:cs="Arial" w:eastAsia="Arial" w:hAnsi="Arial"/>
          <w:sz w:val="20"/>
          <w:szCs w:val="20"/>
          <w:b w:val="1"/>
          <w:bCs w:val="1"/>
          <w:i w:val="1"/>
          <w:iCs w:val="1"/>
          <w:color w:val="auto"/>
        </w:rPr>
        <w:t>significantly</w:t>
      </w:r>
      <w:r>
        <w:rPr>
          <w:sz w:val="20"/>
          <w:szCs w:val="20"/>
          <w:color w:val="auto"/>
        </w:rPr>
        <w:tab/>
      </w:r>
      <w:r>
        <w:rPr>
          <w:rFonts w:ascii="Arial" w:cs="Arial" w:eastAsia="Arial" w:hAnsi="Arial"/>
          <w:sz w:val="20"/>
          <w:szCs w:val="20"/>
          <w:b w:val="1"/>
          <w:bCs w:val="1"/>
          <w:i w:val="1"/>
          <w:iCs w:val="1"/>
          <w:color w:val="auto"/>
        </w:rPr>
        <w:t>better</w:t>
      </w:r>
      <w:r>
        <w:rPr>
          <w:sz w:val="20"/>
          <w:szCs w:val="20"/>
          <w:color w:val="auto"/>
        </w:rPr>
        <w:tab/>
      </w:r>
      <w:r>
        <w:rPr>
          <w:rFonts w:ascii="Arial" w:cs="Arial" w:eastAsia="Arial" w:hAnsi="Arial"/>
          <w:sz w:val="20"/>
          <w:szCs w:val="20"/>
          <w:b w:val="1"/>
          <w:bCs w:val="1"/>
          <w:i w:val="1"/>
          <w:iCs w:val="1"/>
          <w:color w:val="auto"/>
        </w:rPr>
        <w:t>access</w:t>
      </w:r>
      <w:r>
        <w:rPr>
          <w:sz w:val="20"/>
          <w:szCs w:val="20"/>
          <w:color w:val="auto"/>
        </w:rPr>
        <w:tab/>
      </w:r>
      <w:r>
        <w:rPr>
          <w:rFonts w:ascii="Arial" w:cs="Arial" w:eastAsia="Arial" w:hAnsi="Arial"/>
          <w:sz w:val="20"/>
          <w:szCs w:val="20"/>
          <w:b w:val="1"/>
          <w:bCs w:val="1"/>
          <w:i w:val="1"/>
          <w:iCs w:val="1"/>
          <w:color w:val="auto"/>
        </w:rPr>
        <w:t>to</w:t>
      </w:r>
      <w:r>
        <w:rPr>
          <w:sz w:val="20"/>
          <w:szCs w:val="20"/>
          <w:color w:val="auto"/>
        </w:rPr>
        <w:tab/>
      </w:r>
      <w:r>
        <w:rPr>
          <w:rFonts w:ascii="Arial" w:cs="Arial" w:eastAsia="Arial" w:hAnsi="Arial"/>
          <w:sz w:val="20"/>
          <w:szCs w:val="20"/>
          <w:b w:val="1"/>
          <w:bCs w:val="1"/>
          <w:i w:val="1"/>
          <w:iCs w:val="1"/>
          <w:color w:val="auto"/>
        </w:rPr>
        <w:t>films</w:t>
      </w:r>
      <w:r>
        <w:rPr>
          <w:sz w:val="20"/>
          <w:szCs w:val="20"/>
          <w:color w:val="auto"/>
        </w:rPr>
        <w:tab/>
      </w:r>
      <w:r>
        <w:rPr>
          <w:rFonts w:ascii="Arial" w:cs="Arial" w:eastAsia="Arial" w:hAnsi="Arial"/>
          <w:sz w:val="20"/>
          <w:szCs w:val="20"/>
          <w:b w:val="1"/>
          <w:bCs w:val="1"/>
          <w:i w:val="1"/>
          <w:iCs w:val="1"/>
          <w:color w:val="auto"/>
        </w:rPr>
        <w:t>and</w:t>
      </w:r>
      <w:r>
        <w:rPr>
          <w:sz w:val="20"/>
          <w:szCs w:val="20"/>
          <w:color w:val="auto"/>
        </w:rPr>
        <w:tab/>
      </w:r>
      <w:r>
        <w:rPr>
          <w:rFonts w:ascii="Arial" w:cs="Arial" w:eastAsia="Arial" w:hAnsi="Arial"/>
          <w:sz w:val="20"/>
          <w:szCs w:val="20"/>
          <w:b w:val="1"/>
          <w:bCs w:val="1"/>
          <w:i w:val="1"/>
          <w:iCs w:val="1"/>
          <w:color w:val="auto"/>
        </w:rPr>
        <w:t>to</w:t>
      </w:r>
      <w:r>
        <w:rPr>
          <w:sz w:val="20"/>
          <w:szCs w:val="20"/>
          <w:color w:val="auto"/>
        </w:rPr>
        <w:tab/>
      </w:r>
      <w:r>
        <w:rPr>
          <w:rFonts w:ascii="Arial" w:cs="Arial" w:eastAsia="Arial" w:hAnsi="Arial"/>
          <w:sz w:val="20"/>
          <w:szCs w:val="20"/>
          <w:b w:val="1"/>
          <w:bCs w:val="1"/>
          <w:i w:val="1"/>
          <w:iCs w:val="1"/>
          <w:color w:val="auto"/>
        </w:rPr>
        <w:t>funds</w:t>
      </w:r>
      <w:r>
        <w:rPr>
          <w:sz w:val="20"/>
          <w:szCs w:val="20"/>
          <w:color w:val="auto"/>
        </w:rPr>
        <w:tab/>
      </w:r>
      <w:r>
        <w:rPr>
          <w:rFonts w:ascii="Arial" w:cs="Arial" w:eastAsia="Arial" w:hAnsi="Arial"/>
          <w:sz w:val="20"/>
          <w:szCs w:val="20"/>
          <w:b w:val="1"/>
          <w:bCs w:val="1"/>
          <w:i w:val="1"/>
          <w:iCs w:val="1"/>
          <w:color w:val="auto"/>
        </w:rPr>
        <w:t>than</w:t>
      </w:r>
      <w:r>
        <w:rPr>
          <w:sz w:val="20"/>
          <w:szCs w:val="20"/>
          <w:color w:val="auto"/>
        </w:rPr>
        <w:tab/>
      </w:r>
      <w:r>
        <w:rPr>
          <w:rFonts w:ascii="Arial" w:cs="Arial" w:eastAsia="Arial" w:hAnsi="Arial"/>
          <w:sz w:val="20"/>
          <w:szCs w:val="20"/>
          <w:b w:val="1"/>
          <w:bCs w:val="1"/>
          <w:i w:val="1"/>
          <w:iCs w:val="1"/>
          <w:color w:val="auto"/>
        </w:rPr>
        <w:t>we</w:t>
      </w:r>
      <w:r>
        <w:rPr>
          <w:sz w:val="20"/>
          <w:szCs w:val="20"/>
          <w:color w:val="auto"/>
        </w:rPr>
        <w:tab/>
      </w:r>
      <w:r>
        <w:rPr>
          <w:rFonts w:ascii="Arial" w:cs="Arial" w:eastAsia="Arial" w:hAnsi="Arial"/>
          <w:sz w:val="17"/>
          <w:szCs w:val="17"/>
          <w:b w:val="1"/>
          <w:bCs w:val="1"/>
          <w:i w:val="1"/>
          <w:iCs w:val="1"/>
          <w:color w:val="auto"/>
        </w:rPr>
        <w:t>do.</w:t>
      </w:r>
    </w:p>
    <w:p>
      <w:pPr>
        <w:jc w:val="both"/>
        <w:ind w:right="60"/>
        <w:spacing w:after="0" w:line="258" w:lineRule="auto"/>
        <w:rPr>
          <w:sz w:val="20"/>
          <w:szCs w:val="20"/>
          <w:color w:val="auto"/>
        </w:rPr>
      </w:pPr>
      <w:r>
        <w:rPr>
          <w:rFonts w:ascii="Arial" w:cs="Arial" w:eastAsia="Arial" w:hAnsi="Arial"/>
          <w:sz w:val="18"/>
          <w:szCs w:val="18"/>
          <w:color w:val="auto"/>
        </w:rPr>
        <w:t>We are a comparatively small cinema operator and face competition from much larger exhibitors who are able to offer distributors more screens in more markets – including markets where they may be the exclusive exhibitor – than can we. This may adversely impact our access to content, which may adversely affect our revenue and</w:t>
      </w:r>
    </w:p>
    <w:p>
      <w:pPr>
        <w:sectPr>
          <w:pgSz w:w="11900" w:h="16838" w:orient="portrait"/>
          <w:cols w:equalWidth="0" w:num="1">
            <w:col w:w="9380"/>
          </w:cols>
          <w:pgMar w:left="1260" w:top="1334" w:right="1266"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51</w:t>
      </w:r>
    </w:p>
    <w:p>
      <w:pPr>
        <w:sectPr>
          <w:pgSz w:w="11900" w:h="16838" w:orient="portrait"/>
          <w:cols w:equalWidth="0" w:num="1">
            <w:col w:w="9380"/>
          </w:cols>
          <w:pgMar w:left="1260" w:top="1334" w:right="1266" w:bottom="0" w:gutter="0" w:footer="0" w:header="0"/>
          <w:type w:val="continuous"/>
        </w:sectPr>
      </w:pPr>
    </w:p>
    <w:bookmarkStart w:id="34" w:name="page35"/>
    <w:bookmarkEnd w:id="34"/>
    <w:p>
      <w:pPr>
        <w:jc w:val="both"/>
        <w:spacing w:after="0" w:line="237" w:lineRule="auto"/>
        <w:rPr>
          <w:sz w:val="20"/>
          <w:szCs w:val="20"/>
          <w:color w:val="auto"/>
        </w:rPr>
      </w:pPr>
      <w:r>
        <w:rPr>
          <w:rFonts w:ascii="Arial" w:cs="Arial" w:eastAsia="Arial" w:hAnsi="Arial"/>
          <w:sz w:val="19"/>
          <w:szCs w:val="19"/>
          <w:color w:val="auto"/>
        </w:rPr>
        <w:t>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w:t>
      </w:r>
    </w:p>
    <w:p>
      <w:pPr>
        <w:jc w:val="center"/>
        <w:spacing w:after="0" w:line="230" w:lineRule="auto"/>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 / 51</w:t>
      </w:r>
    </w:p>
    <w:p>
      <w:pPr>
        <w:sectPr>
          <w:pgSz w:w="11900" w:h="16838" w:orient="portrait"/>
          <w:cols w:equalWidth="0" w:num="1">
            <w:col w:w="9380"/>
          </w:cols>
          <w:pgMar w:left="1260" w:top="1131" w:right="1266" w:bottom="0" w:gutter="0" w:footer="0" w:header="0"/>
          <w:type w:val="continuous"/>
        </w:sectPr>
      </w:pPr>
    </w:p>
    <w:bookmarkStart w:id="35" w:name="page36"/>
    <w:bookmarkEnd w:id="35"/>
    <w:p>
      <w:pPr>
        <w:jc w:val="both"/>
        <w:ind w:right="60"/>
        <w:spacing w:after="0" w:line="226" w:lineRule="auto"/>
        <w:rPr>
          <w:sz w:val="20"/>
          <w:szCs w:val="20"/>
          <w:color w:val="auto"/>
        </w:rPr>
      </w:pPr>
      <w:r>
        <w:rPr>
          <w:rFonts w:ascii="Arial" w:cs="Arial" w:eastAsia="Arial" w:hAnsi="Arial"/>
          <w:sz w:val="20"/>
          <w:szCs w:val="20"/>
          <w:color w:val="auto"/>
        </w:rPr>
        <w:t>development, and (v) better economies of scale. Access to reasonably priced funding is increasingly important as cinema operators need to upgrade their presentation and food and beverage in order to compete with in-home entertainment options.</w:t>
      </w:r>
    </w:p>
    <w:p>
      <w:pPr>
        <w:spacing w:after="0" w:line="214"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In the case of our live theatres, we compete for shows not only with other commercial Off-Broadway operators, but also with “not-for-profit” theatres. We believe our live theatres are generally competitive with other Off-Broadway venues.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vulnerable to a variety of factors which are beyond our control.</w:t>
      </w:r>
    </w:p>
    <w:p>
      <w:pPr>
        <w:spacing w:after="0" w:line="213" w:lineRule="exact"/>
        <w:rPr>
          <w:sz w:val="20"/>
          <w:szCs w:val="20"/>
          <w:color w:val="auto"/>
        </w:rPr>
      </w:pPr>
    </w:p>
    <w:p>
      <w:pPr>
        <w:jc w:val="both"/>
        <w:ind w:left="720" w:right="60" w:hanging="366"/>
        <w:spacing w:after="0" w:line="273" w:lineRule="auto"/>
        <w:tabs>
          <w:tab w:leader="none" w:pos="720" w:val="left"/>
        </w:tabs>
        <w:numPr>
          <w:ilvl w:val="0"/>
          <w:numId w:val="18"/>
        </w:numPr>
        <w:rPr>
          <w:rFonts w:ascii="Wingdings" w:cs="Wingdings" w:eastAsia="Wingdings" w:hAnsi="Wingdings"/>
          <w:sz w:val="18"/>
          <w:szCs w:val="18"/>
          <w:color w:val="auto"/>
        </w:rPr>
      </w:pPr>
      <w:r>
        <w:rPr>
          <w:rFonts w:ascii="Arial" w:cs="Arial" w:eastAsia="Arial" w:hAnsi="Arial"/>
          <w:sz w:val="18"/>
          <w:szCs w:val="18"/>
          <w:b w:val="1"/>
          <w:bCs w:val="1"/>
          <w:i w:val="1"/>
          <w:iCs w:val="1"/>
          <w:color w:val="auto"/>
        </w:rPr>
        <w:t xml:space="preserve">Our cinema and live theatre businesses may be vulnerable to fears of terrorism and random shooter incidents which could cause customers to avoid public assembly venues. </w:t>
      </w:r>
      <w:r>
        <w:rPr>
          <w:rFonts w:ascii="Arial" w:cs="Arial" w:eastAsia="Arial" w:hAnsi="Arial"/>
          <w:sz w:val="18"/>
          <w:szCs w:val="18"/>
          <w:color w:val="auto"/>
        </w:rPr>
        <w:t>Events, such as terrorist attacks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random shooter incidents may discourage patrons from attending our cinemas. We believe that recent shooting incidents have resulted in material increases in insurance premiums for cinema operators.</w:t>
      </w:r>
    </w:p>
    <w:p>
      <w:pPr>
        <w:spacing w:after="0" w:line="2" w:lineRule="exact"/>
        <w:rPr>
          <w:rFonts w:ascii="Wingdings" w:cs="Wingdings" w:eastAsia="Wingdings" w:hAnsi="Wingdings"/>
          <w:sz w:val="18"/>
          <w:szCs w:val="18"/>
          <w:color w:val="auto"/>
        </w:rPr>
      </w:pPr>
    </w:p>
    <w:p>
      <w:pPr>
        <w:jc w:val="both"/>
        <w:ind w:left="720" w:right="60" w:hanging="366"/>
        <w:spacing w:after="0" w:line="242" w:lineRule="auto"/>
        <w:tabs>
          <w:tab w:leader="none" w:pos="720" w:val="left"/>
        </w:tabs>
        <w:numPr>
          <w:ilvl w:val="0"/>
          <w:numId w:val="18"/>
        </w:numPr>
        <w:rPr>
          <w:rFonts w:ascii="Wingdings" w:cs="Wingdings" w:eastAsia="Wingdings" w:hAnsi="Wingdings"/>
          <w:sz w:val="20"/>
          <w:szCs w:val="20"/>
          <w:color w:val="auto"/>
        </w:rPr>
      </w:pPr>
      <w:r>
        <w:rPr>
          <w:rFonts w:ascii="Arial" w:cs="Arial" w:eastAsia="Arial" w:hAnsi="Arial"/>
          <w:sz w:val="20"/>
          <w:szCs w:val="20"/>
          <w:b w:val="1"/>
          <w:bCs w:val="1"/>
          <w:i w:val="1"/>
          <w:iCs w:val="1"/>
          <w:color w:val="auto"/>
        </w:rPr>
        <w:t xml:space="preserve">Our cinema business may be vulnerable to natural disasters. </w:t>
      </w:r>
      <w:r>
        <w:rPr>
          <w:rFonts w:ascii="Arial" w:cs="Arial" w:eastAsia="Arial" w:hAnsi="Arial"/>
          <w:sz w:val="20"/>
          <w:szCs w:val="20"/>
          <w:color w:val="auto"/>
        </w:rPr>
        <w:t>Natural disasters, such as tropical storms,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floods, fires, and earthquakes, have damaged and forced the temporary closure, and are likely in the future to similarly impact our cinema operations. A material portion of our cinemas are located in seismically active areas, such as California, Hawaii and New Zealand.</w:t>
      </w:r>
    </w:p>
    <w:p>
      <w:pPr>
        <w:spacing w:after="0" w:line="232" w:lineRule="exact"/>
        <w:rPr>
          <w:rFonts w:ascii="Wingdings" w:cs="Wingdings" w:eastAsia="Wingdings" w:hAnsi="Wingdings"/>
          <w:sz w:val="20"/>
          <w:szCs w:val="20"/>
          <w:color w:val="auto"/>
        </w:rPr>
      </w:pPr>
    </w:p>
    <w:p>
      <w:pPr>
        <w:ind w:left="720" w:hanging="366"/>
        <w:spacing w:after="0" w:line="259" w:lineRule="auto"/>
        <w:tabs>
          <w:tab w:leader="none" w:pos="720" w:val="left"/>
        </w:tabs>
        <w:numPr>
          <w:ilvl w:val="0"/>
          <w:numId w:val="18"/>
        </w:numPr>
        <w:rPr>
          <w:rFonts w:ascii="Wingdings" w:cs="Wingdings" w:eastAsia="Wingdings" w:hAnsi="Wingdings"/>
          <w:sz w:val="19"/>
          <w:szCs w:val="19"/>
          <w:color w:val="auto"/>
        </w:rPr>
      </w:pPr>
      <w:r>
        <w:rPr>
          <w:rFonts w:ascii="Arial" w:cs="Arial" w:eastAsia="Arial" w:hAnsi="Arial"/>
          <w:sz w:val="19"/>
          <w:szCs w:val="19"/>
          <w:b w:val="1"/>
          <w:bCs w:val="1"/>
          <w:i w:val="1"/>
          <w:iCs w:val="1"/>
          <w:color w:val="auto"/>
        </w:rPr>
        <w:t xml:space="preserve">We may be more subject to general economic conditions than some other businesses. </w:t>
      </w:r>
      <w:r>
        <w:rPr>
          <w:rFonts w:ascii="Arial" w:cs="Arial" w:eastAsia="Arial" w:hAnsi="Arial"/>
          <w:sz w:val="19"/>
          <w:szCs w:val="19"/>
          <w:color w:val="auto"/>
        </w:rPr>
        <w:t>Going to a movie or a play is a luxury, not a necessity. Furthermore, consumer demand for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high-net-worth individuals (or groups of such individuals) and that are very risky due to the absence of any ability to recoup investment in secondary markets like – cable, satellite or internet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from competitors offering food and beverage and luxury seating as an integral part of their</w:t>
      </w:r>
    </w:p>
    <w:p>
      <w:pPr>
        <w:spacing w:after="0" w:line="7" w:lineRule="exact"/>
        <w:rPr>
          <w:sz w:val="20"/>
          <w:szCs w:val="20"/>
          <w:color w:val="auto"/>
        </w:rPr>
      </w:pPr>
    </w:p>
    <w:p>
      <w:pPr>
        <w:spacing w:after="0"/>
        <w:tabs>
          <w:tab w:leader="none" w:pos="3240" w:val="left"/>
        </w:tabs>
        <w:rPr>
          <w:sz w:val="20"/>
          <w:szCs w:val="20"/>
          <w:color w:val="auto"/>
        </w:rPr>
      </w:pPr>
      <w:r>
        <w:rPr>
          <w:rFonts w:ascii="Arial" w:cs="Arial" w:eastAsia="Arial" w:hAnsi="Arial"/>
          <w:sz w:val="20"/>
          <w:szCs w:val="20"/>
          <w:b w:val="1"/>
          <w:bCs w:val="1"/>
          <w:i w:val="1"/>
          <w:iCs w:val="1"/>
          <w:color w:val="auto"/>
        </w:rPr>
        <w:t>cinema</w:t>
      </w:r>
      <w:r>
        <w:rPr>
          <w:sz w:val="20"/>
          <w:szCs w:val="20"/>
          <w:color w:val="auto"/>
        </w:rPr>
        <w:tab/>
      </w:r>
      <w:r>
        <w:rPr>
          <w:rFonts w:ascii="Arial" w:cs="Arial" w:eastAsia="Arial" w:hAnsi="Arial"/>
          <w:sz w:val="20"/>
          <w:szCs w:val="20"/>
          <w:b w:val="1"/>
          <w:bCs w:val="1"/>
          <w:i w:val="1"/>
          <w:iCs w:val="1"/>
          <w:color w:val="auto"/>
        </w:rPr>
        <w:t>offerings.</w:t>
      </w:r>
    </w:p>
    <w:p>
      <w:pPr>
        <w:jc w:val="both"/>
        <w:ind w:right="20"/>
        <w:spacing w:after="0" w:line="237" w:lineRule="auto"/>
        <w:rPr>
          <w:sz w:val="20"/>
          <w:szCs w:val="20"/>
          <w:color w:val="auto"/>
        </w:rPr>
      </w:pPr>
      <w:r>
        <w:rPr>
          <w:rFonts w:ascii="Arial" w:cs="Arial" w:eastAsia="Arial" w:hAnsi="Arial"/>
          <w:sz w:val="19"/>
          <w:szCs w:val="19"/>
          <w:color w:val="auto"/>
        </w:rPr>
        <w:t>The number of our competitors offering expanded food and beverage menus (including the sale of alcoholic beverages) and luxury seating, has continued to grow in recent periods. In addition, more competitors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spacing w:after="0" w:line="218"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b w:val="1"/>
          <w:bCs w:val="1"/>
          <w:i w:val="1"/>
          <w:iCs w:val="1"/>
          <w:color w:val="auto"/>
        </w:rPr>
        <w:t xml:space="preserve">Our failure to obtain and maintain liquor licenses at any of our cinemas could adversely affect our ability to compete. </w:t>
      </w:r>
      <w:r>
        <w:rPr>
          <w:rFonts w:ascii="Arial" w:cs="Arial" w:eastAsia="Arial" w:hAnsi="Arial"/>
          <w:sz w:val="18"/>
          <w:szCs w:val="18"/>
          <w:color w:val="auto"/>
        </w:rPr>
        <w:t>Each of our cinemas offering alcoholic beverages, is subject to licensing and regulation. Typically, licenses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We may be subject to increased labor and benefits costs generally. </w:t>
      </w:r>
      <w:r>
        <w:rPr>
          <w:rFonts w:ascii="Arial" w:cs="Arial" w:eastAsia="Arial" w:hAnsi="Arial"/>
          <w:sz w:val="17"/>
          <w:szCs w:val="17"/>
          <w:color w:val="auto"/>
        </w:rPr>
        <w:t>We are subject to inflationary pressures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resulted in increased costs of goods and increased cost of film. Also, labor shortages may impact our ability to hire and retain employees. In venues that have alcohol licenses, there are higher labor, inventory, and insurance costs. Our cinemas are a major user of electricity, and utility costs are also rising. Given competitive pressures and other forces adversely impacting movie attendances, it may not be possible to pass all or any material portion of these increased costs on to consumers. In addition, we are subject to a variety of changing laws governing such matters as minimum wages, access to benefits and paid or unpaid leave, working conditions and overtime under which minor violations can result in material liabilities. In California and New York, in particular, law firms have developed which advertise for plaintiffs and bring such cases on a class action, contingent fee basis, where typically between 25% and 40% of any recovery goes to the law firm. Moreover, given the statutory basis of such claims, insurance is not available to cover such exposure. In recent periods, legislatures have been actively increasing minimum wages,</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51</w:t>
      </w:r>
    </w:p>
    <w:p>
      <w:pPr>
        <w:sectPr>
          <w:pgSz w:w="11900" w:h="16838" w:orient="portrait"/>
          <w:cols w:equalWidth="0" w:num="1">
            <w:col w:w="9400"/>
          </w:cols>
          <w:pgMar w:left="1260" w:top="1131" w:right="1246" w:bottom="0" w:gutter="0" w:footer="0" w:header="0"/>
          <w:type w:val="continuous"/>
        </w:sectPr>
      </w:pPr>
    </w:p>
    <w:bookmarkStart w:id="36" w:name="page37"/>
    <w:bookmarkEnd w:id="36"/>
    <w:p>
      <w:pPr>
        <w:jc w:val="both"/>
        <w:ind w:right="20"/>
        <w:spacing w:after="0" w:line="226" w:lineRule="auto"/>
        <w:rPr>
          <w:sz w:val="20"/>
          <w:szCs w:val="20"/>
          <w:color w:val="auto"/>
        </w:rPr>
      </w:pPr>
      <w:r>
        <w:rPr>
          <w:rFonts w:ascii="Arial" w:cs="Arial" w:eastAsia="Arial" w:hAnsi="Arial"/>
          <w:sz w:val="20"/>
          <w:szCs w:val="20"/>
          <w:color w:val="auto"/>
        </w:rPr>
        <w:t>mandating minimum hours or imposing notice and leave provisions that make it increasingly difficult to adjust staffing levels to accommodate fluctuating cinema attendance levels, all of which have resulted in increased operating costs as we work to maintain a high level of amenity to our customers.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cinema and live theatre businesses are dependent upon attendance, the availability of attractive entertainment product and employees willing to work in a public environment and, accordingly, are vulnerable to the adverse effects of any future pandemics which may result in government ordered closures, imposition of social distancing requirements, and changes in film release patterns. As demonstrated by the governmental and public response to the COVID-19 pandemic, businesses that bring large numbers of unrelated people together in an enclosed environment are particularly vulnerable to business disruption in the face of contagious diseases with life threatening</w:t>
      </w:r>
    </w:p>
    <w:p>
      <w:pPr>
        <w:jc w:val="center"/>
        <w:ind w:right="-39"/>
        <w:spacing w:after="0" w:line="232" w:lineRule="auto"/>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 / 51</w:t>
      </w:r>
    </w:p>
    <w:p>
      <w:pPr>
        <w:sectPr>
          <w:pgSz w:w="11900" w:h="16838" w:orient="portrait"/>
          <w:cols w:equalWidth="0" w:num="1">
            <w:col w:w="9340"/>
          </w:cols>
          <w:pgMar w:left="1260" w:top="1131" w:right="1306" w:bottom="0" w:gutter="0" w:footer="0" w:header="0"/>
          <w:type w:val="continuous"/>
        </w:sectPr>
      </w:pPr>
    </w:p>
    <w:bookmarkStart w:id="37" w:name="page38"/>
    <w:bookmarkEnd w:id="37"/>
    <w:p>
      <w:pPr>
        <w:jc w:val="both"/>
        <w:ind w:right="40"/>
        <w:spacing w:after="0" w:line="255" w:lineRule="auto"/>
        <w:rPr>
          <w:sz w:val="20"/>
          <w:szCs w:val="20"/>
          <w:color w:val="auto"/>
        </w:rPr>
      </w:pPr>
      <w:r>
        <w:rPr>
          <w:rFonts w:ascii="Arial" w:cs="Arial" w:eastAsia="Arial" w:hAnsi="Arial"/>
          <w:sz w:val="18"/>
          <w:szCs w:val="18"/>
          <w:color w:val="auto"/>
        </w:rPr>
        <w:t>potential. Not only may government authorities order closures or reduce operating capacities, but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p>
    <w:p>
      <w:pPr>
        <w:spacing w:after="0" w:line="200"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b w:val="1"/>
          <w:bCs w:val="1"/>
          <w:color w:val="auto"/>
        </w:rPr>
        <w:t xml:space="preserve">We are subject to a variety of litigation risks. </w:t>
      </w:r>
      <w:r>
        <w:rPr>
          <w:rFonts w:ascii="Arial" w:cs="Arial" w:eastAsia="Arial" w:hAnsi="Arial"/>
          <w:sz w:val="18"/>
          <w:szCs w:val="18"/>
          <w:color w:val="auto"/>
        </w:rPr>
        <w:t>The legal landscape in which we do business is subject to rapid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due to legislative enactments at the federal, state and local levels. Often these requirements are not stated in a uniform manner, and may vary, in intent or as the result of judicial determination, from jurisdiction to jurisdiction. Many have material periodic penalties for non-compliance and allow (or have been interpreted to allow) private litigants to challenge whether such laws have been violated. As a consequence, we find that our vulnerability to forced settlements, litigation exposure and cost of liability insurance generally are substantially higher in the United States (and in particular in states such as California) than in Australia and New Zealand. The defense of such suits, even if successful, can be very costly due to, among other things, the cost of electronic discovery.</w:t>
      </w:r>
    </w:p>
    <w:p>
      <w:pPr>
        <w:spacing w:after="0" w:line="205" w:lineRule="exact"/>
        <w:rPr>
          <w:sz w:val="20"/>
          <w:szCs w:val="20"/>
          <w:color w:val="auto"/>
        </w:rPr>
      </w:pPr>
    </w:p>
    <w:p>
      <w:pPr>
        <w:ind w:right="4600"/>
        <w:spacing w:after="0" w:line="530" w:lineRule="auto"/>
        <w:rPr>
          <w:sz w:val="20"/>
          <w:szCs w:val="20"/>
          <w:color w:val="auto"/>
        </w:rPr>
      </w:pPr>
      <w:r>
        <w:rPr>
          <w:rFonts w:ascii="Arial" w:cs="Arial" w:eastAsia="Arial" w:hAnsi="Arial"/>
          <w:sz w:val="17"/>
          <w:szCs w:val="17"/>
          <w:b w:val="1"/>
          <w:bCs w:val="1"/>
          <w:color w:val="auto"/>
        </w:rPr>
        <w:t xml:space="preserve">Real Estate Development and Ownership Business Risks </w:t>
      </w:r>
      <w:r>
        <w:rPr>
          <w:rFonts w:ascii="Arial" w:cs="Arial" w:eastAsia="Arial" w:hAnsi="Arial"/>
          <w:sz w:val="17"/>
          <w:szCs w:val="17"/>
          <w:b w:val="1"/>
          <w:bCs w:val="1"/>
          <w:i w:val="1"/>
          <w:iCs w:val="1"/>
          <w:color w:val="auto"/>
        </w:rPr>
        <w:t>Specific Risks Related to Our Real Estate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business suffered effects from the coronavirus outbreak from which it has not fully recovered.</w:t>
      </w:r>
    </w:p>
    <w:p>
      <w:pPr>
        <w:spacing w:after="0"/>
        <w:tabs>
          <w:tab w:leader="none" w:pos="1340" w:val="left"/>
          <w:tab w:leader="none" w:pos="3320" w:val="left"/>
          <w:tab w:leader="none" w:pos="5160" w:val="left"/>
          <w:tab w:leader="none" w:pos="6840" w:val="left"/>
          <w:tab w:leader="none" w:pos="806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COVID-19</w:t>
      </w:r>
      <w:r>
        <w:rPr>
          <w:sz w:val="20"/>
          <w:szCs w:val="20"/>
          <w:color w:val="auto"/>
        </w:rPr>
        <w:tab/>
      </w:r>
      <w:r>
        <w:rPr>
          <w:rFonts w:ascii="Arial" w:cs="Arial" w:eastAsia="Arial" w:hAnsi="Arial"/>
          <w:sz w:val="20"/>
          <w:szCs w:val="20"/>
          <w:color w:val="auto"/>
        </w:rPr>
        <w:t>pandemic</w:t>
      </w:r>
      <w:r>
        <w:rPr>
          <w:sz w:val="20"/>
          <w:szCs w:val="20"/>
          <w:color w:val="auto"/>
        </w:rPr>
        <w:tab/>
      </w:r>
      <w:r>
        <w:rPr>
          <w:rFonts w:ascii="Arial" w:cs="Arial" w:eastAsia="Arial" w:hAnsi="Arial"/>
          <w:sz w:val="20"/>
          <w:szCs w:val="20"/>
          <w:color w:val="auto"/>
        </w:rPr>
        <w:t>resulted</w:t>
      </w:r>
      <w:r>
        <w:rPr>
          <w:sz w:val="20"/>
          <w:szCs w:val="20"/>
          <w:color w:val="auto"/>
        </w:rPr>
        <w:tab/>
      </w:r>
      <w:r>
        <w:rPr>
          <w:rFonts w:ascii="Arial" w:cs="Arial" w:eastAsia="Arial" w:hAnsi="Arial"/>
          <w:sz w:val="20"/>
          <w:szCs w:val="20"/>
          <w:color w:val="auto"/>
        </w:rPr>
        <w:t>in</w:t>
      </w:r>
      <w:r>
        <w:rPr>
          <w:sz w:val="20"/>
          <w:szCs w:val="20"/>
          <w:color w:val="auto"/>
        </w:rPr>
        <w:tab/>
      </w:r>
      <w:r>
        <w:rPr>
          <w:rFonts w:ascii="Arial" w:cs="Arial" w:eastAsia="Arial" w:hAnsi="Arial"/>
          <w:sz w:val="17"/>
          <w:szCs w:val="17"/>
          <w:color w:val="auto"/>
        </w:rPr>
        <w:t>the</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closure or reduced capacity of certain of our retail tenants. All of our ETCs are anchored by our cinemas, which suffered temporary closures and/or reductions in seating capacities during the COVID-19 Pandemic, thereby reducing foot traffic to our ETCs. During the COVID-19 pandemic period, we were compelled to provide certain tenants with rent abatements or deferrals.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Competition from the Digital Economy may adversely impact our ability to lease and obtain reasonable rents for our properties. </w:t>
      </w:r>
      <w:r>
        <w:rPr>
          <w:rFonts w:ascii="Arial" w:cs="Arial" w:eastAsia="Arial" w:hAnsi="Arial"/>
          <w:sz w:val="18"/>
          <w:szCs w:val="18"/>
          <w:color w:val="auto"/>
        </w:rPr>
        <w:t>An increasing amount of shopping is being done online, a trend that was supported by the stay-at-home admonitions and restrictions associated with our previous battle against the COVID virus.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spacing w:after="0" w:line="20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Many of our Properties are located in areas prone to natural disasters. </w:t>
      </w:r>
      <w:r>
        <w:rPr>
          <w:rFonts w:ascii="Arial" w:cs="Arial" w:eastAsia="Arial" w:hAnsi="Arial"/>
          <w:sz w:val="18"/>
          <w:szCs w:val="18"/>
          <w:color w:val="auto"/>
        </w:rPr>
        <w:t>Many of our properties are located in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 risk of fires such as California and Australia; of hurricanes, tropical storms and/or flooding, such as Australia, California, Hawaii and New York, New Jersey; or earthquakes in New Zealand, Hawaii and California. The availability of insurance for natural disasters (particularly in the event of an earthquake) may be limited.</w:t>
      </w:r>
    </w:p>
    <w:p>
      <w:pPr>
        <w:spacing w:after="0" w:line="200"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b w:val="1"/>
          <w:bCs w:val="1"/>
          <w:i w:val="1"/>
          <w:iCs w:val="1"/>
          <w:color w:val="auto"/>
        </w:rPr>
        <w:t xml:space="preserve">Our entertainment properties may be more subject to access litigation than other properties. </w:t>
      </w:r>
      <w:r>
        <w:rPr>
          <w:rFonts w:ascii="Arial" w:cs="Arial" w:eastAsia="Arial" w:hAnsi="Arial"/>
          <w:sz w:val="20"/>
          <w:szCs w:val="20"/>
          <w:color w:val="auto"/>
        </w:rPr>
        <w:t>Substantially all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properties consist of, or include as a material component, entertainment venues. These facilities may attract more access-based litigation (for example, claims under the Americans with Disabilities Act) than other types of real estate.</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8"/>
          <w:szCs w:val="18"/>
          <w:color w:val="auto"/>
        </w:rPr>
        <w:t>We have limited financial and human resources, compared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Real Estate Industry Generally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i w:val="1"/>
          <w:iCs w:val="1"/>
          <w:color w:val="auto"/>
        </w:rPr>
        <w:t xml:space="preserve">Our financial performance will be affected by risks associated with the real estate industry generally. </w:t>
      </w:r>
      <w:r>
        <w:rPr>
          <w:rFonts w:ascii="Arial" w:cs="Arial" w:eastAsia="Arial" w:hAnsi="Arial"/>
          <w:sz w:val="18"/>
          <w:szCs w:val="18"/>
          <w:color w:val="auto"/>
        </w:rPr>
        <w:t>Events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w:t>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51</w:t>
      </w:r>
    </w:p>
    <w:p>
      <w:pPr>
        <w:sectPr>
          <w:pgSz w:w="11900" w:h="16838" w:orient="portrait"/>
          <w:cols w:equalWidth="0" w:num="1">
            <w:col w:w="9400"/>
          </w:cols>
          <w:pgMar w:left="1260" w:top="1131" w:right="1246" w:bottom="0" w:gutter="0" w:footer="0" w:header="0"/>
          <w:type w:val="continuous"/>
        </w:sectPr>
      </w:pPr>
    </w:p>
    <w:bookmarkStart w:id="38" w:name="page39"/>
    <w:bookmarkEnd w:id="38"/>
    <w:p>
      <w:pPr>
        <w:jc w:val="both"/>
        <w:spacing w:after="0" w:line="225" w:lineRule="auto"/>
        <w:rPr>
          <w:sz w:val="20"/>
          <w:szCs w:val="20"/>
          <w:color w:val="auto"/>
        </w:rPr>
      </w:pPr>
      <w:r>
        <w:rPr>
          <w:rFonts w:ascii="Arial" w:cs="Arial" w:eastAsia="Arial" w:hAnsi="Arial"/>
          <w:sz w:val="20"/>
          <w:szCs w:val="20"/>
          <w:color w:val="auto"/>
        </w:rPr>
        <w:t>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jc w:val="center"/>
        <w:ind w:right="-59"/>
        <w:spacing w:after="0" w:line="231" w:lineRule="auto"/>
        <w:rPr>
          <w:sz w:val="20"/>
          <w:szCs w:val="20"/>
          <w:color w:val="auto"/>
        </w:rPr>
      </w:pPr>
      <w:r>
        <w:rPr>
          <w:rFonts w:ascii="Arial" w:cs="Arial" w:eastAsia="Arial" w:hAnsi="Arial"/>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 / 51</w:t>
      </w:r>
    </w:p>
    <w:p>
      <w:pPr>
        <w:sectPr>
          <w:pgSz w:w="11900" w:h="16838" w:orient="portrait"/>
          <w:cols w:equalWidth="0" w:num="1">
            <w:col w:w="9340"/>
          </w:cols>
          <w:pgMar w:left="1260" w:top="1131" w:right="1306" w:bottom="0" w:gutter="0" w:footer="0" w:header="0"/>
          <w:type w:val="continuous"/>
        </w:sectPr>
      </w:pPr>
    </w:p>
    <w:bookmarkStart w:id="39" w:name="page40"/>
    <w:bookmarkEnd w:id="39"/>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Risk of Reliance on Appraisals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business planning and forecasts, we rely on independent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appraisals as to the value of our real estate holdings. Such appraisals are inherently subjective, and a reasonable appraiser can reach significantly different views as to fair market value of a given parcel of real property. Valuations of historic railroad properties can be impacted by uncertainties as to title and property line boundaries. Accordingly, no assurances can be given that the fair market value assigned to a parcel of real property can be achieved in the open market. Further, USPAP methodology is inherently backwards looking and, as a result, can overstate value in times of declining real estate values and understate value in raising markets.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9"/>
          <w:szCs w:val="19"/>
          <w:color w:val="auto"/>
        </w:rPr>
        <w:t>Real estate investments can be relatively illiquid and, therefore, tend to limit our ability to vary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portfolio promptly in response to changes in economic or other conditions. Many of our properties are either “special purpose” properties that could not be readily 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development involves a variety of risks.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Real estate development involves a variety of risks, including the following:</w:t>
      </w:r>
    </w:p>
    <w:p>
      <w:pPr>
        <w:spacing w:after="0" w:line="86" w:lineRule="exact"/>
        <w:rPr>
          <w:sz w:val="20"/>
          <w:szCs w:val="20"/>
          <w:color w:val="auto"/>
        </w:rPr>
      </w:pPr>
    </w:p>
    <w:p>
      <w:pPr>
        <w:ind w:left="360"/>
        <w:spacing w:after="0"/>
        <w:tabs>
          <w:tab w:leader="none" w:pos="700" w:val="left"/>
          <w:tab w:leader="none" w:pos="1620" w:val="left"/>
          <w:tab w:leader="none" w:pos="3300" w:val="left"/>
          <w:tab w:leader="none" w:pos="4220" w:val="left"/>
          <w:tab w:leader="none" w:pos="5720" w:val="left"/>
          <w:tab w:leader="none" w:pos="6500" w:val="left"/>
          <w:tab w:leader="none" w:pos="7740" w:val="left"/>
        </w:tabs>
        <w:rPr>
          <w:sz w:val="20"/>
          <w:szCs w:val="20"/>
          <w:color w:val="auto"/>
        </w:rPr>
      </w:pPr>
      <w:r>
        <w:rPr>
          <w:rFonts w:ascii="Wingdings" w:cs="Wingdings" w:eastAsia="Wingdings" w:hAnsi="Wingdings"/>
          <w:sz w:val="16"/>
          <w:szCs w:val="16"/>
          <w:color w:val="auto"/>
        </w:rPr>
        <w:t></w:t>
      </w:r>
      <w:r>
        <w:rPr>
          <w:sz w:val="20"/>
          <w:szCs w:val="20"/>
          <w:color w:val="auto"/>
        </w:rPr>
        <w:tab/>
      </w:r>
      <w:r>
        <w:rPr>
          <w:rFonts w:ascii="Arial" w:cs="Arial" w:eastAsia="Arial" w:hAnsi="Arial"/>
          <w:sz w:val="20"/>
          <w:szCs w:val="20"/>
          <w:i w:val="1"/>
          <w:iCs w:val="1"/>
          <w:color w:val="auto"/>
        </w:rPr>
        <w:t>The</w:t>
      </w:r>
      <w:r>
        <w:rPr>
          <w:sz w:val="20"/>
          <w:szCs w:val="20"/>
          <w:color w:val="auto"/>
        </w:rPr>
        <w:tab/>
      </w:r>
      <w:r>
        <w:rPr>
          <w:rFonts w:ascii="Arial" w:cs="Arial" w:eastAsia="Arial" w:hAnsi="Arial"/>
          <w:sz w:val="20"/>
          <w:szCs w:val="20"/>
          <w:i w:val="1"/>
          <w:iCs w:val="1"/>
          <w:color w:val="auto"/>
        </w:rPr>
        <w:t>identification</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20"/>
          <w:szCs w:val="20"/>
          <w:i w:val="1"/>
          <w:iCs w:val="1"/>
          <w:color w:val="auto"/>
        </w:rPr>
        <w:t>acquisition</w:t>
      </w:r>
      <w:r>
        <w:rPr>
          <w:sz w:val="20"/>
          <w:szCs w:val="20"/>
          <w:color w:val="auto"/>
        </w:rPr>
        <w:tab/>
      </w:r>
      <w:r>
        <w:rPr>
          <w:rFonts w:ascii="Arial" w:cs="Arial" w:eastAsia="Arial" w:hAnsi="Arial"/>
          <w:sz w:val="20"/>
          <w:szCs w:val="20"/>
          <w:i w:val="1"/>
          <w:iCs w:val="1"/>
          <w:color w:val="auto"/>
        </w:rPr>
        <w:t>of</w:t>
      </w:r>
      <w:r>
        <w:rPr>
          <w:sz w:val="20"/>
          <w:szCs w:val="20"/>
          <w:color w:val="auto"/>
        </w:rPr>
        <w:tab/>
      </w:r>
      <w:r>
        <w:rPr>
          <w:rFonts w:ascii="Arial" w:cs="Arial" w:eastAsia="Arial" w:hAnsi="Arial"/>
          <w:sz w:val="20"/>
          <w:szCs w:val="20"/>
          <w:i w:val="1"/>
          <w:iCs w:val="1"/>
          <w:color w:val="auto"/>
        </w:rPr>
        <w:t>suitable</w:t>
      </w:r>
      <w:r>
        <w:rPr>
          <w:sz w:val="20"/>
          <w:szCs w:val="20"/>
          <w:color w:val="auto"/>
        </w:rPr>
        <w:tab/>
      </w:r>
      <w:r>
        <w:rPr>
          <w:rFonts w:ascii="Arial" w:cs="Arial" w:eastAsia="Arial" w:hAnsi="Arial"/>
          <w:sz w:val="17"/>
          <w:szCs w:val="17"/>
          <w:i w:val="1"/>
          <w:iCs w:val="1"/>
          <w:color w:val="auto"/>
        </w:rPr>
        <w:t>development</w:t>
      </w:r>
    </w:p>
    <w:p>
      <w:pPr>
        <w:spacing w:after="0" w:line="25" w:lineRule="exact"/>
        <w:rPr>
          <w:sz w:val="20"/>
          <w:szCs w:val="20"/>
          <w:color w:val="auto"/>
        </w:rPr>
      </w:pPr>
    </w:p>
    <w:p>
      <w:pPr>
        <w:jc w:val="both"/>
        <w:ind w:left="720"/>
        <w:spacing w:after="0" w:line="243" w:lineRule="auto"/>
        <w:rPr>
          <w:sz w:val="20"/>
          <w:szCs w:val="20"/>
          <w:color w:val="auto"/>
        </w:rPr>
      </w:pPr>
      <w:r>
        <w:rPr>
          <w:rFonts w:ascii="Arial" w:cs="Arial" w:eastAsia="Arial" w:hAnsi="Arial"/>
          <w:sz w:val="20"/>
          <w:szCs w:val="20"/>
          <w:i w:val="1"/>
          <w:iCs w:val="1"/>
          <w:color w:val="auto"/>
        </w:rPr>
        <w:t>properties</w:t>
      </w:r>
      <w:r>
        <w:rPr>
          <w:rFonts w:ascii="Arial" w:cs="Arial" w:eastAsia="Arial" w:hAnsi="Arial"/>
          <w:sz w:val="20"/>
          <w:szCs w:val="20"/>
          <w:color w:val="auto"/>
        </w:rPr>
        <w:t>. Competition for suitable development properties is intense. Our ability to identify and acquire</w:t>
      </w:r>
      <w:r>
        <w:rPr>
          <w:rFonts w:ascii="Arial" w:cs="Arial" w:eastAsia="Arial" w:hAnsi="Arial"/>
          <w:sz w:val="20"/>
          <w:szCs w:val="20"/>
          <w:i w:val="1"/>
          <w:iCs w:val="1"/>
          <w:color w:val="auto"/>
        </w:rPr>
        <w:t xml:space="preserve"> </w:t>
      </w:r>
      <w:r>
        <w:rPr>
          <w:rFonts w:ascii="Arial" w:cs="Arial" w:eastAsia="Arial" w:hAnsi="Arial"/>
          <w:sz w:val="20"/>
          <w:szCs w:val="20"/>
          <w:color w:val="auto"/>
        </w:rPr>
        <w:t>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114" w:lineRule="exact"/>
        <w:rPr>
          <w:sz w:val="20"/>
          <w:szCs w:val="20"/>
          <w:color w:val="auto"/>
        </w:rPr>
      </w:pPr>
    </w:p>
    <w:p>
      <w:pPr>
        <w:ind w:left="720" w:hanging="366"/>
        <w:spacing w:after="0"/>
        <w:tabs>
          <w:tab w:leader="none" w:pos="720" w:val="left"/>
        </w:tabs>
        <w:numPr>
          <w:ilvl w:val="0"/>
          <w:numId w:val="19"/>
        </w:numPr>
        <w:rPr>
          <w:rFonts w:ascii="Wingdings" w:cs="Wingdings" w:eastAsia="Wingdings" w:hAnsi="Wingdings"/>
          <w:sz w:val="14"/>
          <w:szCs w:val="14"/>
          <w:color w:val="auto"/>
        </w:rPr>
      </w:pPr>
      <w:r>
        <w:rPr>
          <w:rFonts w:ascii="Arial" w:cs="Arial" w:eastAsia="Arial" w:hAnsi="Arial"/>
          <w:sz w:val="18"/>
          <w:szCs w:val="18"/>
          <w:i w:val="1"/>
          <w:iCs w:val="1"/>
          <w:color w:val="auto"/>
        </w:rPr>
        <w:t>The procurement of necessary land use entitlements for the project</w:t>
      </w:r>
      <w:r>
        <w:rPr>
          <w:rFonts w:ascii="Arial" w:cs="Arial" w:eastAsia="Arial" w:hAnsi="Arial"/>
          <w:sz w:val="18"/>
          <w:szCs w:val="18"/>
          <w:color w:val="auto"/>
        </w:rPr>
        <w:t>.  This process can take many years,</w:t>
      </w:r>
    </w:p>
    <w:p>
      <w:pPr>
        <w:spacing w:after="0" w:line="38" w:lineRule="exact"/>
        <w:rPr>
          <w:rFonts w:ascii="Wingdings" w:cs="Wingdings" w:eastAsia="Wingdings" w:hAnsi="Wingdings"/>
          <w:sz w:val="14"/>
          <w:szCs w:val="14"/>
          <w:color w:val="auto"/>
        </w:rPr>
      </w:pPr>
    </w:p>
    <w:p>
      <w:pPr>
        <w:jc w:val="both"/>
        <w:ind w:left="720"/>
        <w:spacing w:after="0" w:line="243" w:lineRule="auto"/>
        <w:rPr>
          <w:rFonts w:ascii="Wingdings" w:cs="Wingdings" w:eastAsia="Wingdings" w:hAnsi="Wingdings"/>
          <w:sz w:val="14"/>
          <w:szCs w:val="14"/>
          <w:color w:val="auto"/>
        </w:rPr>
      </w:pPr>
      <w:r>
        <w:rPr>
          <w:rFonts w:ascii="Arial" w:cs="Arial" w:eastAsia="Arial" w:hAnsi="Arial"/>
          <w:sz w:val="20"/>
          <w:szCs w:val="20"/>
          <w:color w:val="auto"/>
        </w:rPr>
        <w:t>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114" w:lineRule="exact"/>
        <w:rPr>
          <w:rFonts w:ascii="Wingdings" w:cs="Wingdings" w:eastAsia="Wingdings" w:hAnsi="Wingdings"/>
          <w:sz w:val="14"/>
          <w:szCs w:val="14"/>
          <w:color w:val="auto"/>
        </w:rPr>
      </w:pPr>
    </w:p>
    <w:p>
      <w:pPr>
        <w:ind w:left="720" w:hanging="366"/>
        <w:spacing w:after="0"/>
        <w:tabs>
          <w:tab w:leader="none" w:pos="720" w:val="left"/>
        </w:tabs>
        <w:numPr>
          <w:ilvl w:val="0"/>
          <w:numId w:val="19"/>
        </w:numPr>
        <w:rPr>
          <w:rFonts w:ascii="Wingdings" w:cs="Wingdings" w:eastAsia="Wingdings" w:hAnsi="Wingdings"/>
          <w:sz w:val="14"/>
          <w:szCs w:val="14"/>
          <w:color w:val="auto"/>
        </w:rPr>
      </w:pPr>
      <w:r>
        <w:rPr>
          <w:rFonts w:ascii="Arial" w:cs="Arial" w:eastAsia="Arial" w:hAnsi="Arial"/>
          <w:sz w:val="18"/>
          <w:szCs w:val="18"/>
          <w:i w:val="1"/>
          <w:iCs w:val="1"/>
          <w:color w:val="auto"/>
        </w:rPr>
        <w:t>The construction of the project on time and on budget</w:t>
      </w:r>
      <w:r>
        <w:rPr>
          <w:rFonts w:ascii="Arial" w:cs="Arial" w:eastAsia="Arial" w:hAnsi="Arial"/>
          <w:sz w:val="18"/>
          <w:szCs w:val="18"/>
          <w:color w:val="auto"/>
        </w:rPr>
        <w:t>. Construction risks include the availability and cost</w:t>
      </w:r>
    </w:p>
    <w:p>
      <w:pPr>
        <w:spacing w:after="0" w:line="38" w:lineRule="exact"/>
        <w:rPr>
          <w:rFonts w:ascii="Wingdings" w:cs="Wingdings" w:eastAsia="Wingdings" w:hAnsi="Wingdings"/>
          <w:sz w:val="14"/>
          <w:szCs w:val="14"/>
          <w:color w:val="auto"/>
        </w:rPr>
      </w:pPr>
    </w:p>
    <w:p>
      <w:pPr>
        <w:jc w:val="both"/>
        <w:ind w:left="720" w:right="20"/>
        <w:spacing w:after="0" w:line="242" w:lineRule="auto"/>
        <w:rPr>
          <w:rFonts w:ascii="Wingdings" w:cs="Wingdings" w:eastAsia="Wingdings" w:hAnsi="Wingdings"/>
          <w:sz w:val="14"/>
          <w:szCs w:val="14"/>
          <w:color w:val="auto"/>
        </w:rPr>
      </w:pPr>
      <w:r>
        <w:rPr>
          <w:rFonts w:ascii="Arial" w:cs="Arial" w:eastAsia="Arial" w:hAnsi="Arial"/>
          <w:sz w:val="20"/>
          <w:szCs w:val="20"/>
          <w:color w:val="auto"/>
        </w:rPr>
        <w:t>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 or disputes.</w:t>
      </w:r>
    </w:p>
    <w:p>
      <w:pPr>
        <w:spacing w:after="0" w:line="115" w:lineRule="exact"/>
        <w:rPr>
          <w:rFonts w:ascii="Wingdings" w:cs="Wingdings" w:eastAsia="Wingdings" w:hAnsi="Wingdings"/>
          <w:sz w:val="14"/>
          <w:szCs w:val="14"/>
          <w:color w:val="auto"/>
        </w:rPr>
      </w:pPr>
    </w:p>
    <w:p>
      <w:pPr>
        <w:ind w:left="720" w:hanging="366"/>
        <w:spacing w:after="0"/>
        <w:tabs>
          <w:tab w:leader="none" w:pos="720" w:val="left"/>
        </w:tabs>
        <w:numPr>
          <w:ilvl w:val="0"/>
          <w:numId w:val="19"/>
        </w:numPr>
        <w:rPr>
          <w:rFonts w:ascii="Wingdings" w:cs="Wingdings" w:eastAsia="Wingdings" w:hAnsi="Wingdings"/>
          <w:sz w:val="14"/>
          <w:szCs w:val="14"/>
          <w:color w:val="auto"/>
        </w:rPr>
      </w:pPr>
      <w:r>
        <w:rPr>
          <w:rFonts w:ascii="Arial" w:cs="Arial" w:eastAsia="Arial" w:hAnsi="Arial"/>
          <w:sz w:val="18"/>
          <w:szCs w:val="18"/>
          <w:i w:val="1"/>
          <w:iCs w:val="1"/>
          <w:color w:val="auto"/>
        </w:rPr>
        <w:t>The leasing or sell-out of the project</w:t>
      </w:r>
      <w:r>
        <w:rPr>
          <w:rFonts w:ascii="Arial" w:cs="Arial" w:eastAsia="Arial" w:hAnsi="Arial"/>
          <w:sz w:val="18"/>
          <w:szCs w:val="18"/>
          <w:color w:val="auto"/>
        </w:rPr>
        <w:t>. Ultimately, there are risks involved in the leasing of a rental property</w:t>
      </w:r>
    </w:p>
    <w:p>
      <w:pPr>
        <w:spacing w:after="0" w:line="38" w:lineRule="exact"/>
        <w:rPr>
          <w:rFonts w:ascii="Wingdings" w:cs="Wingdings" w:eastAsia="Wingdings" w:hAnsi="Wingdings"/>
          <w:sz w:val="14"/>
          <w:szCs w:val="14"/>
          <w:color w:val="auto"/>
        </w:rPr>
      </w:pPr>
    </w:p>
    <w:p>
      <w:pPr>
        <w:jc w:val="both"/>
        <w:ind w:left="720"/>
        <w:spacing w:after="0" w:line="259" w:lineRule="auto"/>
        <w:rPr>
          <w:rFonts w:ascii="Wingdings" w:cs="Wingdings" w:eastAsia="Wingdings" w:hAnsi="Wingdings"/>
          <w:sz w:val="14"/>
          <w:szCs w:val="14"/>
          <w:color w:val="auto"/>
        </w:rPr>
      </w:pPr>
      <w:r>
        <w:rPr>
          <w:rFonts w:ascii="Arial" w:cs="Arial" w:eastAsia="Arial" w:hAnsi="Arial"/>
          <w:sz w:val="19"/>
          <w:szCs w:val="19"/>
          <w:color w:val="auto"/>
        </w:rPr>
        <w:t>or the sale of a condominium or built-for-sale property. For our ETCs, the extent to which our cinemas can continue to serve as anchor tenants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99" w:lineRule="exact"/>
        <w:rPr>
          <w:rFonts w:ascii="Wingdings" w:cs="Wingdings" w:eastAsia="Wingdings" w:hAnsi="Wingdings"/>
          <w:sz w:val="14"/>
          <w:szCs w:val="14"/>
          <w:color w:val="auto"/>
        </w:rPr>
      </w:pPr>
    </w:p>
    <w:p>
      <w:pPr>
        <w:ind w:left="720" w:hanging="366"/>
        <w:spacing w:after="0"/>
        <w:tabs>
          <w:tab w:leader="none" w:pos="720" w:val="left"/>
        </w:tabs>
        <w:numPr>
          <w:ilvl w:val="0"/>
          <w:numId w:val="19"/>
        </w:numPr>
        <w:rPr>
          <w:rFonts w:ascii="Wingdings" w:cs="Wingdings" w:eastAsia="Wingdings" w:hAnsi="Wingdings"/>
          <w:sz w:val="14"/>
          <w:szCs w:val="14"/>
          <w:color w:val="auto"/>
        </w:rPr>
      </w:pPr>
      <w:r>
        <w:rPr>
          <w:rFonts w:ascii="Arial" w:cs="Arial" w:eastAsia="Arial" w:hAnsi="Arial"/>
          <w:sz w:val="18"/>
          <w:szCs w:val="18"/>
          <w:i w:val="1"/>
          <w:iCs w:val="1"/>
          <w:color w:val="auto"/>
        </w:rPr>
        <w:t>The refinancing of completed properties</w:t>
      </w:r>
      <w:r>
        <w:rPr>
          <w:rFonts w:ascii="Arial" w:cs="Arial" w:eastAsia="Arial" w:hAnsi="Arial"/>
          <w:sz w:val="18"/>
          <w:szCs w:val="18"/>
          <w:color w:val="auto"/>
        </w:rPr>
        <w:t>. Properties are often developed using relatively short-term loans.</w:t>
      </w:r>
    </w:p>
    <w:p>
      <w:pPr>
        <w:spacing w:after="0" w:line="38" w:lineRule="exact"/>
        <w:rPr>
          <w:rFonts w:ascii="Wingdings" w:cs="Wingdings" w:eastAsia="Wingdings" w:hAnsi="Wingdings"/>
          <w:sz w:val="14"/>
          <w:szCs w:val="14"/>
          <w:color w:val="auto"/>
        </w:rPr>
      </w:pPr>
    </w:p>
    <w:p>
      <w:pPr>
        <w:jc w:val="both"/>
        <w:ind w:left="720"/>
        <w:spacing w:after="0" w:line="277" w:lineRule="auto"/>
        <w:rPr>
          <w:rFonts w:ascii="Wingdings" w:cs="Wingdings" w:eastAsia="Wingdings" w:hAnsi="Wingdings"/>
          <w:sz w:val="14"/>
          <w:szCs w:val="14"/>
          <w:color w:val="auto"/>
        </w:rPr>
      </w:pPr>
      <w:r>
        <w:rPr>
          <w:rFonts w:ascii="Arial" w:cs="Arial" w:eastAsia="Arial" w:hAnsi="Arial"/>
          <w:sz w:val="18"/>
          <w:szCs w:val="18"/>
          <w:color w:val="auto"/>
        </w:rPr>
        <w:t>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Recent increases in lending interest rates and potential tightening of lending given the recent bank crisis may make more difficult refinancing debt or obtaining new debt.</w:t>
      </w:r>
    </w:p>
    <w:p>
      <w:pPr>
        <w:spacing w:after="0" w:line="84" w:lineRule="exact"/>
        <w:rPr>
          <w:rFonts w:ascii="Wingdings" w:cs="Wingdings" w:eastAsia="Wingdings" w:hAnsi="Wingdings"/>
          <w:sz w:val="14"/>
          <w:szCs w:val="14"/>
          <w:color w:val="auto"/>
        </w:rPr>
      </w:pPr>
    </w:p>
    <w:p>
      <w:pPr>
        <w:ind w:left="780" w:hanging="426"/>
        <w:spacing w:after="0"/>
        <w:tabs>
          <w:tab w:leader="none" w:pos="780" w:val="left"/>
        </w:tabs>
        <w:numPr>
          <w:ilvl w:val="0"/>
          <w:numId w:val="19"/>
        </w:numPr>
        <w:rPr>
          <w:rFonts w:ascii="Wingdings" w:cs="Wingdings" w:eastAsia="Wingdings" w:hAnsi="Wingdings"/>
          <w:sz w:val="14"/>
          <w:szCs w:val="14"/>
          <w:color w:val="auto"/>
        </w:rPr>
      </w:pPr>
      <w:r>
        <w:rPr>
          <w:rFonts w:ascii="Arial" w:cs="Arial" w:eastAsia="Arial" w:hAnsi="Arial"/>
          <w:sz w:val="18"/>
          <w:szCs w:val="18"/>
          <w:i w:val="1"/>
          <w:iCs w:val="1"/>
          <w:color w:val="auto"/>
        </w:rPr>
        <w:t xml:space="preserve">Development of real properties may uncover environmental issues.  </w:t>
      </w:r>
      <w:r>
        <w:rPr>
          <w:rFonts w:ascii="Arial" w:cs="Arial" w:eastAsia="Arial" w:hAnsi="Arial"/>
          <w:sz w:val="18"/>
          <w:szCs w:val="18"/>
          <w:color w:val="auto"/>
        </w:rPr>
        <w:t>Long held real property assets may</w:t>
      </w:r>
    </w:p>
    <w:p>
      <w:pPr>
        <w:spacing w:after="0" w:line="38" w:lineRule="exact"/>
        <w:rPr>
          <w:rFonts w:ascii="Wingdings" w:cs="Wingdings" w:eastAsia="Wingdings" w:hAnsi="Wingdings"/>
          <w:sz w:val="14"/>
          <w:szCs w:val="14"/>
          <w:color w:val="auto"/>
        </w:rPr>
      </w:pPr>
    </w:p>
    <w:p>
      <w:pPr>
        <w:ind w:left="72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contain environmental contamination that is unknown until development efforts commence. See “</w:t>
      </w:r>
      <w:r>
        <w:rPr>
          <w:rFonts w:ascii="Arial" w:cs="Arial" w:eastAsia="Arial" w:hAnsi="Arial"/>
          <w:sz w:val="20"/>
          <w:szCs w:val="20"/>
          <w:i w:val="1"/>
          <w:iCs w:val="1"/>
          <w:color w:val="auto"/>
        </w:rPr>
        <w:t>We may</w:t>
      </w:r>
      <w:r>
        <w:rPr>
          <w:rFonts w:ascii="Arial" w:cs="Arial" w:eastAsia="Arial" w:hAnsi="Arial"/>
          <w:sz w:val="20"/>
          <w:szCs w:val="20"/>
          <w:color w:val="auto"/>
        </w:rPr>
        <w:t xml:space="preserve"> </w:t>
      </w:r>
      <w:r>
        <w:rPr>
          <w:rFonts w:ascii="Arial" w:cs="Arial" w:eastAsia="Arial" w:hAnsi="Arial"/>
          <w:sz w:val="20"/>
          <w:szCs w:val="20"/>
          <w:i w:val="1"/>
          <w:iCs w:val="1"/>
          <w:color w:val="auto"/>
        </w:rPr>
        <w:t>be subject to liability under environmental laws and regulations</w:t>
      </w:r>
      <w:r>
        <w:rPr>
          <w:rFonts w:ascii="Arial" w:cs="Arial" w:eastAsia="Arial" w:hAnsi="Arial"/>
          <w:sz w:val="20"/>
          <w:szCs w:val="20"/>
          <w:color w:val="auto"/>
        </w:rPr>
        <w:t>,” below.</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The ownership of properties involves risk. </w:t>
      </w:r>
      <w:r>
        <w:rPr>
          <w:rFonts w:ascii="Arial" w:cs="Arial" w:eastAsia="Arial" w:hAnsi="Arial"/>
          <w:sz w:val="18"/>
          <w:szCs w:val="18"/>
          <w:color w:val="auto"/>
        </w:rPr>
        <w:t>The ownership of properties involves risks, such as: (i) ongoing leasing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re-leasing risks, (ii) ongoing financing and re-financing risks, (iii) market 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 / 51</w:t>
      </w:r>
    </w:p>
    <w:p>
      <w:pPr>
        <w:sectPr>
          <w:pgSz w:w="11900" w:h="16838" w:orient="portrait"/>
          <w:cols w:equalWidth="0" w:num="1">
            <w:col w:w="9340"/>
          </w:cols>
          <w:pgMar w:left="1260" w:top="1440" w:right="1306" w:bottom="0" w:gutter="0" w:footer="0" w:header="0"/>
          <w:type w:val="continuous"/>
        </w:sectPr>
      </w:pPr>
    </w:p>
    <w:bookmarkStart w:id="40" w:name="page41"/>
    <w:bookmarkEnd w:id="40"/>
    <w:p>
      <w:pPr>
        <w:jc w:val="both"/>
        <w:spacing w:after="0" w:line="226" w:lineRule="auto"/>
        <w:rPr>
          <w:sz w:val="20"/>
          <w:szCs w:val="20"/>
          <w:color w:val="auto"/>
        </w:rPr>
      </w:pPr>
      <w:r>
        <w:rPr>
          <w:rFonts w:ascii="Arial" w:cs="Arial" w:eastAsia="Arial" w:hAnsi="Arial"/>
          <w:sz w:val="20"/>
          <w:szCs w:val="20"/>
          <w:color w:val="auto"/>
        </w:rPr>
        <w:t>typically developed around entertainment use, the attractiveness of these properties to tenants, sources of finance and real estate investors will be influenced by market perceptions of the benefits and detriments of such entertainment-type properties.</w:t>
      </w:r>
    </w:p>
    <w:p>
      <w:pPr>
        <w:spacing w:after="0" w:line="214"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b w:val="1"/>
          <w:bCs w:val="1"/>
          <w:i w:val="1"/>
          <w:iCs w:val="1"/>
          <w:color w:val="auto"/>
        </w:rPr>
        <w:t xml:space="preserve">We may be subject to liability under environmental laws and regulations. </w:t>
      </w:r>
      <w:r>
        <w:rPr>
          <w:rFonts w:ascii="Arial" w:cs="Arial" w:eastAsia="Arial" w:hAnsi="Arial"/>
          <w:sz w:val="18"/>
          <w:szCs w:val="18"/>
          <w:color w:val="auto"/>
        </w:rPr>
        <w:t>We own and operate cinemas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w:t>
      </w:r>
    </w:p>
    <w:p>
      <w:pPr>
        <w:jc w:val="center"/>
        <w:spacing w:after="0" w:line="232" w:lineRule="auto"/>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51</w:t>
      </w:r>
    </w:p>
    <w:p>
      <w:pPr>
        <w:sectPr>
          <w:pgSz w:w="11900" w:h="16838" w:orient="portrait"/>
          <w:cols w:equalWidth="0" w:num="1">
            <w:col w:w="9400"/>
          </w:cols>
          <w:pgMar w:left="1260" w:top="1131" w:right="1246" w:bottom="0" w:gutter="0" w:footer="0" w:header="0"/>
          <w:type w:val="continuous"/>
        </w:sectPr>
      </w:pPr>
    </w:p>
    <w:bookmarkStart w:id="41" w:name="page42"/>
    <w:bookmarkEnd w:id="41"/>
    <w:p>
      <w:pPr>
        <w:jc w:val="both"/>
        <w:ind w:right="40"/>
        <w:spacing w:after="0" w:line="238" w:lineRule="auto"/>
        <w:rPr>
          <w:sz w:val="20"/>
          <w:szCs w:val="20"/>
          <w:color w:val="auto"/>
        </w:rPr>
      </w:pPr>
      <w:r>
        <w:rPr>
          <w:rFonts w:ascii="Arial" w:cs="Arial" w:eastAsia="Arial" w:hAnsi="Arial"/>
          <w:sz w:val="19"/>
          <w:szCs w:val="19"/>
          <w:color w:val="auto"/>
        </w:rPr>
        <w:t>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9"/>
          <w:szCs w:val="19"/>
          <w:color w:val="auto"/>
        </w:rPr>
        <w:t>Recently, there has been an increasing focus and continuous debate on global climate change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21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b w:val="1"/>
          <w:bCs w:val="1"/>
          <w:i w:val="1"/>
          <w:iCs w:val="1"/>
          <w:color w:val="auto"/>
        </w:rPr>
        <w:t xml:space="preserve">Changes in interest rates may increase our interest expense. </w:t>
      </w:r>
      <w:r>
        <w:rPr>
          <w:rFonts w:ascii="Arial" w:cs="Arial" w:eastAsia="Arial" w:hAnsi="Arial"/>
          <w:sz w:val="19"/>
          <w:szCs w:val="19"/>
          <w:color w:val="auto"/>
        </w:rPr>
        <w:t>Because most of our debt bears interest at variable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rates, increases in interest rates could materially increase our interest expense. Approximately $114.1 million of our debt will mature over the next twenty-four months and will require refinancing. Based on our debt outstanding as of December 31, 2025, if interest rates were to increase by 1%, the corresponding increase in interest expense on our variable rate debt would decrease future earnings and cash flows by approximately $1.6 million per year. Potential future increases in interest rates may therefore negatively affect our financial condition and results of operations and reduce our access to the debt or equity capital markets.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i w:val="1"/>
          <w:iCs w:val="1"/>
          <w:color w:val="auto"/>
        </w:rPr>
        <w:t xml:space="preserve">International Business Risks. </w:t>
      </w:r>
      <w:r>
        <w:rPr>
          <w:rFonts w:ascii="Arial" w:cs="Arial" w:eastAsia="Arial" w:hAnsi="Arial"/>
          <w:sz w:val="19"/>
          <w:szCs w:val="19"/>
          <w:color w:val="auto"/>
        </w:rPr>
        <w:t>Our Company transacts business in Australia and New Zealand and is subject to risks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associated with changing foreign currency exchange rates. During year 2025, the Australian dollar and New Zealand dollar weakened against the U.S. dollar by 2.2% and 3.8%, respectively, compared to the prior year. Our international operations are subject to a variety of risks, including the following:</w:t>
      </w:r>
    </w:p>
    <w:p>
      <w:pPr>
        <w:spacing w:after="0" w:line="21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Currency Risk</w:t>
      </w:r>
      <w:r>
        <w:rPr>
          <w:rFonts w:ascii="Arial" w:cs="Arial" w:eastAsia="Arial" w:hAnsi="Arial"/>
          <w:sz w:val="18"/>
          <w:szCs w:val="18"/>
          <w:color w:val="auto"/>
        </w:rPr>
        <w:t>: While we report our earnings and net assets in U.S. dollars, substantial portions of our revenue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257810</wp:posOffset>
            </wp:positionV>
            <wp:extent cx="5629910" cy="3734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5629910" cy="373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- 24 -</w:t>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 / 51</w:t>
      </w:r>
    </w:p>
    <w:p>
      <w:pPr>
        <w:sectPr>
          <w:pgSz w:w="11900" w:h="16838" w:orient="portrait"/>
          <w:cols w:equalWidth="0" w:num="1">
            <w:col w:w="9360"/>
          </w:cols>
          <w:pgMar w:left="1260" w:top="1131" w:right="1286" w:bottom="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51</w:t>
      </w:r>
    </w:p>
    <w:p>
      <w:pPr>
        <w:sectPr>
          <w:pgSz w:w="11900" w:h="16838" w:orient="portrait"/>
          <w:cols w:equalWidth="0" w:num="1">
            <w:col w:w="9026"/>
          </w:cols>
          <w:pgMar w:left="1440" w:top="1440" w:right="1440" w:bottom="0" w:gutter="0" w:footer="0" w:header="0"/>
        </w:sectPr>
      </w:pPr>
    </w:p>
    <w:bookmarkStart w:id="43" w:name="page44"/>
    <w:bookmarkEnd w:id="43"/>
    <w:p>
      <w:pPr>
        <w:jc w:val="both"/>
        <w:ind w:left="720" w:right="60"/>
        <w:spacing w:after="0" w:line="252" w:lineRule="auto"/>
        <w:rPr>
          <w:sz w:val="20"/>
          <w:szCs w:val="20"/>
          <w:color w:val="auto"/>
        </w:rPr>
      </w:pPr>
      <w:r>
        <w:rPr>
          <w:rFonts w:ascii="Arial" w:cs="Arial" w:eastAsia="Arial" w:hAnsi="Arial"/>
          <w:sz w:val="18"/>
          <w:szCs w:val="18"/>
          <w:color w:val="auto"/>
        </w:rPr>
        <w:t>In recent periods, our debt levels in Australia are higher than they would have been if funds had not been repatriated.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 As the impacts of COVID on our business operations in Australia and New Zealand have been less severe than on our operations in the U.S., plus the impact of Hollywood strikes on US operations, we have been looking to our operations in Australia and New Zealand to fund our overall corporate general and administrative expense (most of which is resident in the U.S.). While the Australian and New Zealand Dollars have strengthened against the U.S. dollar in recent months, the strength of the U.S. dollar over the past three years has diminished the value to our Company of our Australia and New Zealand cash flow.</w:t>
      </w:r>
    </w:p>
    <w:p>
      <w:pPr>
        <w:spacing w:after="0" w:line="204" w:lineRule="exact"/>
        <w:rPr>
          <w:sz w:val="20"/>
          <w:szCs w:val="20"/>
          <w:color w:val="auto"/>
        </w:rPr>
      </w:pPr>
    </w:p>
    <w:p>
      <w:pPr>
        <w:jc w:val="both"/>
        <w:ind w:left="720" w:right="80" w:hanging="366"/>
        <w:spacing w:after="0" w:line="242" w:lineRule="auto"/>
        <w:tabs>
          <w:tab w:leader="none" w:pos="720" w:val="left"/>
        </w:tabs>
        <w:numPr>
          <w:ilvl w:val="0"/>
          <w:numId w:val="20"/>
        </w:numPr>
        <w:rPr>
          <w:rFonts w:ascii="Wingdings" w:cs="Wingdings" w:eastAsia="Wingdings" w:hAnsi="Wingdings"/>
          <w:sz w:val="20"/>
          <w:szCs w:val="20"/>
          <w:color w:val="auto"/>
        </w:rPr>
      </w:pPr>
      <w:r>
        <w:rPr>
          <w:rFonts w:ascii="Arial" w:cs="Arial" w:eastAsia="Arial" w:hAnsi="Arial"/>
          <w:sz w:val="20"/>
          <w:szCs w:val="20"/>
          <w:b w:val="1"/>
          <w:bCs w:val="1"/>
          <w:i w:val="1"/>
          <w:iCs w:val="1"/>
          <w:color w:val="auto"/>
        </w:rPr>
        <w:t>Risk of adverse government regulation</w:t>
      </w:r>
      <w:r>
        <w:rPr>
          <w:rFonts w:ascii="Arial" w:cs="Arial" w:eastAsia="Arial" w:hAnsi="Arial"/>
          <w:sz w:val="20"/>
          <w:szCs w:val="20"/>
          <w:color w:val="auto"/>
        </w:rPr>
        <w:t>: Currently, we believe that relations between the United States,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Australia, and New Zealand are good. However, no assurances can be given that these relationships will continue, and that Australia and New Zealand will not in the future seek to regulate more highly the business done by U.S. companies in their countries.</w:t>
      </w:r>
    </w:p>
    <w:p>
      <w:pPr>
        <w:spacing w:after="0" w:line="115" w:lineRule="exact"/>
        <w:rPr>
          <w:rFonts w:ascii="Wingdings" w:cs="Wingdings" w:eastAsia="Wingdings" w:hAnsi="Wingdings"/>
          <w:sz w:val="20"/>
          <w:szCs w:val="20"/>
          <w:color w:val="auto"/>
        </w:rPr>
      </w:pPr>
    </w:p>
    <w:p>
      <w:pPr>
        <w:ind w:left="720" w:hanging="366"/>
        <w:spacing w:after="0"/>
        <w:tabs>
          <w:tab w:leader="none" w:pos="720" w:val="left"/>
        </w:tabs>
        <w:numPr>
          <w:ilvl w:val="0"/>
          <w:numId w:val="20"/>
        </w:numPr>
        <w:rPr>
          <w:rFonts w:ascii="Wingdings" w:cs="Wingdings" w:eastAsia="Wingdings" w:hAnsi="Wingdings"/>
          <w:sz w:val="14"/>
          <w:szCs w:val="14"/>
          <w:color w:val="auto"/>
        </w:rPr>
      </w:pPr>
      <w:r>
        <w:rPr>
          <w:rFonts w:ascii="Arial" w:cs="Arial" w:eastAsia="Arial" w:hAnsi="Arial"/>
          <w:sz w:val="18"/>
          <w:szCs w:val="18"/>
          <w:b w:val="1"/>
          <w:bCs w:val="1"/>
          <w:i w:val="1"/>
          <w:iCs w:val="1"/>
          <w:color w:val="auto"/>
        </w:rPr>
        <w:t>Risk of adverse labor relations</w:t>
      </w:r>
      <w:r>
        <w:rPr>
          <w:rFonts w:ascii="Arial" w:cs="Arial" w:eastAsia="Arial" w:hAnsi="Arial"/>
          <w:sz w:val="18"/>
          <w:szCs w:val="18"/>
          <w:color w:val="auto"/>
        </w:rPr>
        <w:t>: Deterioration in labor relations could lead to an increased cost of labor</w:t>
      </w:r>
    </w:p>
    <w:p>
      <w:pPr>
        <w:spacing w:after="0" w:line="38" w:lineRule="exact"/>
        <w:rPr>
          <w:rFonts w:ascii="Wingdings" w:cs="Wingdings" w:eastAsia="Wingdings" w:hAnsi="Wingdings"/>
          <w:sz w:val="14"/>
          <w:szCs w:val="14"/>
          <w:color w:val="auto"/>
        </w:rPr>
      </w:pPr>
    </w:p>
    <w:p>
      <w:pPr>
        <w:ind w:left="720" w:right="60"/>
        <w:spacing w:after="0" w:line="260" w:lineRule="auto"/>
        <w:rPr>
          <w:rFonts w:ascii="Wingdings" w:cs="Wingdings" w:eastAsia="Wingdings" w:hAnsi="Wingdings"/>
          <w:sz w:val="14"/>
          <w:szCs w:val="14"/>
          <w:color w:val="auto"/>
        </w:rPr>
      </w:pPr>
      <w:r>
        <w:rPr>
          <w:rFonts w:ascii="Arial" w:cs="Arial" w:eastAsia="Arial" w:hAnsi="Arial"/>
          <w:sz w:val="19"/>
          <w:szCs w:val="19"/>
          <w:color w:val="auto"/>
        </w:rPr>
        <w:t>(including the cost of future government requirements with respect to scheduling, accommodation, pension liabilities, disability insurance and health coverage, vacations and leave).</w:t>
      </w:r>
    </w:p>
    <w:p>
      <w:pPr>
        <w:spacing w:after="0" w:line="214"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b w:val="1"/>
          <w:bCs w:val="1"/>
          <w:i w:val="1"/>
          <w:iCs w:val="1"/>
          <w:color w:val="auto"/>
        </w:rPr>
        <w:t>Trade disputes and geopolitical instability outside of the U.S. may adversely impact the U.S. and global economies.</w:t>
      </w:r>
    </w:p>
    <w:p>
      <w:pPr>
        <w:spacing w:after="0" w:line="213"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In 2025,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Chinese activities relative to the South China Sea, Taiwan, and Hong Kong, and the Russian invasion of Ukraine continue to be an ongoing security concern. Worsening relations between the U.S. and North Korea, Russia and China, as well as the recent conflicts in the Middle East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Associated with Certain Discontinued Operations</w:t>
      </w:r>
    </w:p>
    <w:p>
      <w:pPr>
        <w:spacing w:after="0" w:line="21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able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Financial Structure and Borrowing Risk</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i w:val="1"/>
          <w:iCs w:val="1"/>
          <w:color w:val="auto"/>
        </w:rPr>
        <w:t xml:space="preserve">Typically, we have negative working capital. </w:t>
      </w:r>
      <w:r>
        <w:rPr>
          <w:rFonts w:ascii="Arial" w:cs="Arial" w:eastAsia="Arial" w:hAnsi="Arial"/>
          <w:sz w:val="20"/>
          <w:szCs w:val="20"/>
          <w:color w:val="auto"/>
        </w:rPr>
        <w:t>As we invest our cash in the development of our existing properties,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we have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Our short-term liabilities also include significant obligations related to our cinema leases. See </w:t>
      </w:r>
      <w:r>
        <w:rPr>
          <w:rFonts w:ascii="Arial" w:cs="Arial" w:eastAsia="Arial" w:hAnsi="Arial"/>
          <w:sz w:val="20"/>
          <w:szCs w:val="20"/>
          <w:i w:val="1"/>
          <w:iCs w:val="1"/>
          <w:color w:val="auto"/>
        </w:rPr>
        <w:t>Part II, Item 8 – Financial Statements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Supplementary Data—Notes to Consolidated Financial Statements-- Note 3 - Summary of Significant Accounting Policies – Operating Leases</w:t>
      </w:r>
      <w:r>
        <w:rPr>
          <w:rFonts w:ascii="Arial" w:cs="Arial" w:eastAsia="Arial" w:hAnsi="Arial"/>
          <w:sz w:val="20"/>
          <w:szCs w:val="20"/>
          <w:color w:val="auto"/>
        </w:rPr>
        <w:t>.</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Arial" w:cs="Arial" w:eastAsia="Arial" w:hAnsi="Arial"/>
          <w:sz w:val="19"/>
          <w:szCs w:val="19"/>
          <w:color w:val="auto"/>
        </w:rPr>
        <w:t>We are subject to many different forms of taxation in both the U.S. and in foreign jurisdictions where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operate, such as the U.S. Tax Cuts and Jobs Act signed into law in December 2017. The new laws are still evolving and require that we interpret the provisions of the law as we work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51</w:t>
      </w:r>
    </w:p>
    <w:p>
      <w:pPr>
        <w:sectPr>
          <w:pgSz w:w="11900" w:h="16838" w:orient="portrait"/>
          <w:cols w:equalWidth="0" w:num="1">
            <w:col w:w="9400"/>
          </w:cols>
          <w:pgMar w:left="1260" w:top="1347" w:right="1246" w:bottom="0" w:gutter="0" w:footer="0" w:header="0"/>
          <w:type w:val="continuous"/>
        </w:sectPr>
      </w:pPr>
    </w:p>
    <w:bookmarkStart w:id="44" w:name="page45"/>
    <w:bookmarkEnd w:id="44"/>
    <w:p>
      <w:pPr>
        <w:jc w:val="both"/>
        <w:spacing w:after="0" w:line="226" w:lineRule="auto"/>
        <w:rPr>
          <w:sz w:val="20"/>
          <w:szCs w:val="20"/>
          <w:color w:val="auto"/>
        </w:rPr>
      </w:pPr>
      <w:r>
        <w:rPr>
          <w:rFonts w:ascii="Arial" w:cs="Arial" w:eastAsia="Arial" w:hAnsi="Arial"/>
          <w:sz w:val="20"/>
          <w:szCs w:val="20"/>
          <w:b w:val="1"/>
          <w:bCs w:val="1"/>
          <w:i w:val="1"/>
          <w:iCs w:val="1"/>
          <w:color w:val="auto"/>
        </w:rPr>
        <w:t xml:space="preserve">We have substantial short- to medium-term debt. </w:t>
      </w:r>
      <w:r>
        <w:rPr>
          <w:rFonts w:ascii="Arial" w:cs="Arial" w:eastAsia="Arial" w:hAnsi="Arial"/>
          <w:sz w:val="20"/>
          <w:szCs w:val="20"/>
          <w:color w:val="auto"/>
        </w:rPr>
        <w:t>Generally speaking, we have historically financed our operations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 relatively 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51</w:t>
      </w:r>
    </w:p>
    <w:p>
      <w:pPr>
        <w:sectPr>
          <w:pgSz w:w="11900" w:h="16838" w:orient="portrait"/>
          <w:cols w:equalWidth="0" w:num="1">
            <w:col w:w="9380"/>
          </w:cols>
          <w:pgMar w:left="1260" w:top="1131" w:right="1266" w:bottom="0" w:gutter="0" w:footer="0" w:header="0"/>
          <w:type w:val="continuous"/>
        </w:sectPr>
      </w:pPr>
    </w:p>
    <w:bookmarkStart w:id="45" w:name="page46"/>
    <w:bookmarkEnd w:id="45"/>
    <w:p>
      <w:pPr>
        <w:jc w:val="both"/>
        <w:ind w:right="60"/>
        <w:spacing w:after="0" w:line="237" w:lineRule="auto"/>
        <w:rPr>
          <w:sz w:val="20"/>
          <w:szCs w:val="20"/>
          <w:color w:val="auto"/>
        </w:rPr>
      </w:pPr>
      <w:r>
        <w:rPr>
          <w:rFonts w:ascii="Arial" w:cs="Arial" w:eastAsia="Arial" w:hAnsi="Arial"/>
          <w:sz w:val="19"/>
          <w:szCs w:val="19"/>
          <w:b w:val="1"/>
          <w:bCs w:val="1"/>
          <w:i w:val="1"/>
          <w:iCs w:val="1"/>
          <w:color w:val="auto"/>
        </w:rPr>
        <w:t xml:space="preserve">We have substantial lease liabilities. </w:t>
      </w:r>
      <w:r>
        <w:rPr>
          <w:rFonts w:ascii="Arial" w:cs="Arial" w:eastAsia="Arial" w:hAnsi="Arial"/>
          <w:sz w:val="19"/>
          <w:szCs w:val="19"/>
          <w:color w:val="auto"/>
        </w:rPr>
        <w:t>Most of our cinemas operate in leased facilities. These leases typically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“cost of living” or other rent adjustment features and require that we operate the properties as cinemas. The COVID-19 pandemic, increased competition from the internet, streaming and cable-based entertainment, and changes in film distribution have adversely affected the ability of our cinema operating subsidiaries to meet these rental obligations. Even if our cinema exhibition business returns to pre-Pandemic levels and thereafter remains relatively constant, cinema level cash flow will likely be adversely affected unless we can increase our revenue sufficiently to offset increases in our rental liabilities.</w:t>
      </w:r>
    </w:p>
    <w:p>
      <w:pPr>
        <w:spacing w:after="0" w:line="218"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despite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upgrade information technology systems. Since 2015, we have annually procured cybersecurity insurance to protect against cybersecurity risks; however, we cannot provide any assurance regarding the adequacy of such insurance coverage or the ability to obtain such coverage in the future.</w:t>
      </w:r>
    </w:p>
    <w:p>
      <w:pPr>
        <w:spacing w:after="0" w:line="209"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b w:val="1"/>
          <w:bCs w:val="1"/>
          <w:i w:val="1"/>
          <w:iCs w:val="1"/>
          <w:color w:val="auto"/>
        </w:rPr>
        <w:t xml:space="preserve">Our stock is thinly traded. </w:t>
      </w:r>
      <w:r>
        <w:rPr>
          <w:rFonts w:ascii="Arial" w:cs="Arial" w:eastAsia="Arial" w:hAnsi="Arial"/>
          <w:sz w:val="19"/>
          <w:szCs w:val="19"/>
          <w:color w:val="auto"/>
        </w:rPr>
        <w:t>Our stock is thinly traded, with an average daily volume in 2025 of only approximately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30,231 shares of Class A Stock. Our Class B Stock is very thinly traded with even less volume. This can result in significant volatility, as demand of buyers and sellers can easily get out of balance.</w:t>
      </w:r>
    </w:p>
    <w:p>
      <w:pPr>
        <w:spacing w:after="0" w:line="214"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b w:val="1"/>
          <w:bCs w:val="1"/>
          <w:i w:val="1"/>
          <w:iCs w:val="1"/>
          <w:color w:val="auto"/>
        </w:rPr>
        <w:t>Uninsured bank deposits may be at risk</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maintain cash in certain financial institution bank accounts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United States, Australia, and New Zealand. In the United States, the Federal Deposit Insurance Corporation insures accounts in the amount of $250,000 per depositor, per insured bank, for each account ownership category. At certain of our financial institutions, we have more than $250,000 in deposit and those amounts may not be insured in the event of a bank failure.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and Management Structure, Corporate Governance, and Change of Control Risks</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According to a Schedule 13D/A filed on October 27, 2023 by Margaret Cotter (the Chair of our Board, Executive Vice President of our Company and sister of Ellen Cotter), Ellen Cotter (the Vice-Chair of our Board, President and Chief Executive Officer of our Company and sister of Margaret Cotter) and certain of their affiliates (the “Cotter Schedule 13D”), Margaret Cotter has sole voting control over 1,058,988 shares of Class B Stock and shared voting power with Ellen Cotter over 100,000 shares of Class B Stock, collectively representing 69% of the outstanding Class B stock of the Company.</w:t>
      </w:r>
    </w:p>
    <w:p>
      <w:pPr>
        <w:spacing w:after="0" w:line="21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For as long as Margaret Cotter continues to have voting power over more than 2/3rds of the Class B Stock, Margaret Cotter will be able to unilaterally elect or remove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related party transactions, and the payment of dividends on common stock. Margaret Cotter will also have the unilateral power to prevent or cause a change in control and could take other actions that might be desirable to her and/or other members of her family, but not to other stockholders.</w:t>
      </w:r>
    </w:p>
    <w:p>
      <w:pPr>
        <w:spacing w:after="0" w:line="20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For as long as Margaret Cotter continues to have voting power over more than 2/3rds of the Class B Stock, Margaret will have the power to sell the control of our Company to a purchaser or purchasers of her choosing without any approval of our Company’s Board or any other stockholder. To the extent that Margaret Cotter controls more than two-thirds of our outstanding Class B Stock, she will have the power under Nevada law at any time, with or without cause, to remove any one or more Directors (up to and including the entire Board of Directors) by written consent taken without a meeting of the stockholders.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legislation signed into law in 2025, controlling stockholders of Nevada corporations owe only a limited duty to refrain from using undue influence to induce a director breach of fiduciary duties for personal gain. No assurances can be given that Margaret Cotter, alone or in conjunction with Ellen Cotter, will not take action that, while beneficial to her and members of her family (including Ellen Cotter) and legally enforceable, would not necessarily be in the best interests of our Company and/or our stockholders generally. Margaret Cotter holds her beneficial ownership of 409,552 shares of our Class B Stock ultimately as the trustee of the DMC Trust, under which she owes fiduciary duties to her children which may conflict with her obligations as a controlling stockholder of our Company.</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51</w:t>
      </w:r>
    </w:p>
    <w:p>
      <w:pPr>
        <w:sectPr>
          <w:pgSz w:w="11900" w:h="16838" w:orient="portrait"/>
          <w:cols w:equalWidth="0" w:num="1">
            <w:col w:w="9400"/>
          </w:cols>
          <w:pgMar w:left="1260" w:top="1347" w:right="1246" w:bottom="0" w:gutter="0" w:footer="0" w:header="0"/>
          <w:type w:val="continuous"/>
        </w:sectPr>
      </w:pPr>
    </w:p>
    <w:bookmarkStart w:id="46" w:name="page47"/>
    <w:bookmarkEnd w:id="46"/>
    <w:p>
      <w:pPr>
        <w:jc w:val="both"/>
        <w:spacing w:after="0" w:line="226" w:lineRule="auto"/>
        <w:rPr>
          <w:sz w:val="20"/>
          <w:szCs w:val="20"/>
          <w:color w:val="auto"/>
        </w:rPr>
      </w:pPr>
      <w:r>
        <w:rPr>
          <w:rFonts w:ascii="Arial" w:cs="Arial" w:eastAsia="Arial" w:hAnsi="Arial"/>
          <w:sz w:val="20"/>
          <w:szCs w:val="20"/>
          <w:color w:val="auto"/>
        </w:rPr>
        <w:t>Reference is made to the Cotter Schedule 13D for more detailed information of the scope and extent of the holdings of Margaret Cotter and Ellen Cotter. Our Class A Stock is non-voting and accordingly our Class B Stock represents all of the voting power of our Company.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 / 51</w:t>
      </w:r>
    </w:p>
    <w:p>
      <w:pPr>
        <w:sectPr>
          <w:pgSz w:w="11900" w:h="16838" w:orient="portrait"/>
          <w:cols w:equalWidth="0" w:num="1">
            <w:col w:w="9360"/>
          </w:cols>
          <w:pgMar w:left="1260" w:top="1131" w:right="1286" w:bottom="0" w:gutter="0" w:footer="0" w:header="0"/>
          <w:type w:val="continuous"/>
        </w:sectPr>
      </w:pPr>
    </w:p>
    <w:bookmarkStart w:id="47" w:name="page48"/>
    <w:bookmarkEnd w:id="47"/>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9"/>
          <w:szCs w:val="19"/>
          <w:color w:val="auto"/>
        </w:rPr>
        <w:t>Generally speaking, Nasdaq 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and the entirety of our Compensation Committee are nevertheless currently comprised of independent Directors. As a practical matter, subject to her fiduciary duties as a controlling stockholder, Margaret Cotter controls the composition of our Board of Directors.</w:t>
      </w:r>
    </w:p>
    <w:p>
      <w:pPr>
        <w:spacing w:after="0" w:line="205" w:lineRule="exact"/>
        <w:rPr>
          <w:sz w:val="20"/>
          <w:szCs w:val="20"/>
          <w:color w:val="auto"/>
        </w:rPr>
      </w:pPr>
    </w:p>
    <w:p>
      <w:pPr>
        <w:spacing w:after="0"/>
        <w:tabs>
          <w:tab w:leader="none" w:pos="580" w:val="left"/>
          <w:tab w:leader="none" w:pos="1520" w:val="left"/>
          <w:tab w:leader="none" w:pos="2080" w:val="left"/>
          <w:tab w:leader="none" w:pos="2700" w:val="left"/>
          <w:tab w:leader="none" w:pos="3860" w:val="left"/>
          <w:tab w:leader="none" w:pos="4460" w:val="left"/>
          <w:tab w:leader="none" w:pos="5080" w:val="left"/>
          <w:tab w:leader="none" w:pos="6040" w:val="left"/>
          <w:tab w:leader="none" w:pos="6700" w:val="left"/>
          <w:tab w:leader="none" w:pos="7560" w:val="left"/>
        </w:tabs>
        <w:rPr>
          <w:sz w:val="20"/>
          <w:szCs w:val="20"/>
          <w:color w:val="auto"/>
        </w:rPr>
      </w:pPr>
      <w:r>
        <w:rPr>
          <w:rFonts w:ascii="Arial" w:cs="Arial" w:eastAsia="Arial" w:hAnsi="Arial"/>
          <w:sz w:val="20"/>
          <w:szCs w:val="20"/>
          <w:b w:val="1"/>
          <w:bCs w:val="1"/>
          <w:i w:val="1"/>
          <w:iCs w:val="1"/>
          <w:color w:val="auto"/>
        </w:rPr>
        <w:t>We</w:t>
      </w:r>
      <w:r>
        <w:rPr>
          <w:sz w:val="20"/>
          <w:szCs w:val="20"/>
          <w:color w:val="auto"/>
        </w:rPr>
        <w:tab/>
      </w:r>
      <w:r>
        <w:rPr>
          <w:rFonts w:ascii="Arial" w:cs="Arial" w:eastAsia="Arial" w:hAnsi="Arial"/>
          <w:sz w:val="20"/>
          <w:szCs w:val="20"/>
          <w:b w:val="1"/>
          <w:bCs w:val="1"/>
          <w:i w:val="1"/>
          <w:iCs w:val="1"/>
          <w:color w:val="auto"/>
        </w:rPr>
        <w:t>depend</w:t>
      </w:r>
      <w:r>
        <w:rPr>
          <w:sz w:val="20"/>
          <w:szCs w:val="20"/>
          <w:color w:val="auto"/>
        </w:rPr>
        <w:tab/>
      </w:r>
      <w:r>
        <w:rPr>
          <w:rFonts w:ascii="Arial" w:cs="Arial" w:eastAsia="Arial" w:hAnsi="Arial"/>
          <w:sz w:val="20"/>
          <w:szCs w:val="20"/>
          <w:b w:val="1"/>
          <w:bCs w:val="1"/>
          <w:i w:val="1"/>
          <w:iCs w:val="1"/>
          <w:color w:val="auto"/>
        </w:rPr>
        <w:t>on</w:t>
      </w:r>
      <w:r>
        <w:rPr>
          <w:sz w:val="20"/>
          <w:szCs w:val="20"/>
          <w:color w:val="auto"/>
        </w:rPr>
        <w:tab/>
      </w:r>
      <w:r>
        <w:rPr>
          <w:rFonts w:ascii="Arial" w:cs="Arial" w:eastAsia="Arial" w:hAnsi="Arial"/>
          <w:sz w:val="20"/>
          <w:szCs w:val="20"/>
          <w:b w:val="1"/>
          <w:bCs w:val="1"/>
          <w:i w:val="1"/>
          <w:iCs w:val="1"/>
          <w:color w:val="auto"/>
        </w:rPr>
        <w:t>key</w:t>
      </w:r>
      <w:r>
        <w:rPr>
          <w:sz w:val="20"/>
          <w:szCs w:val="20"/>
          <w:color w:val="auto"/>
        </w:rPr>
        <w:tab/>
      </w:r>
      <w:r>
        <w:rPr>
          <w:rFonts w:ascii="Arial" w:cs="Arial" w:eastAsia="Arial" w:hAnsi="Arial"/>
          <w:sz w:val="20"/>
          <w:szCs w:val="20"/>
          <w:b w:val="1"/>
          <w:bCs w:val="1"/>
          <w:i w:val="1"/>
          <w:iCs w:val="1"/>
          <w:color w:val="auto"/>
        </w:rPr>
        <w:t>personnel</w:t>
      </w:r>
      <w:r>
        <w:rPr>
          <w:sz w:val="20"/>
          <w:szCs w:val="20"/>
          <w:color w:val="auto"/>
        </w:rPr>
        <w:tab/>
      </w:r>
      <w:r>
        <w:rPr>
          <w:rFonts w:ascii="Arial" w:cs="Arial" w:eastAsia="Arial" w:hAnsi="Arial"/>
          <w:sz w:val="20"/>
          <w:szCs w:val="20"/>
          <w:b w:val="1"/>
          <w:bCs w:val="1"/>
          <w:i w:val="1"/>
          <w:iCs w:val="1"/>
          <w:color w:val="auto"/>
        </w:rPr>
        <w:t>for</w:t>
      </w:r>
      <w:r>
        <w:rPr>
          <w:sz w:val="20"/>
          <w:szCs w:val="20"/>
          <w:color w:val="auto"/>
        </w:rPr>
        <w:tab/>
      </w:r>
      <w:r>
        <w:rPr>
          <w:rFonts w:ascii="Arial" w:cs="Arial" w:eastAsia="Arial" w:hAnsi="Arial"/>
          <w:sz w:val="20"/>
          <w:szCs w:val="20"/>
          <w:b w:val="1"/>
          <w:bCs w:val="1"/>
          <w:i w:val="1"/>
          <w:iCs w:val="1"/>
          <w:color w:val="auto"/>
        </w:rPr>
        <w:t>our</w:t>
      </w:r>
      <w:r>
        <w:rPr>
          <w:sz w:val="20"/>
          <w:szCs w:val="20"/>
          <w:color w:val="auto"/>
        </w:rPr>
        <w:tab/>
      </w:r>
      <w:r>
        <w:rPr>
          <w:rFonts w:ascii="Arial" w:cs="Arial" w:eastAsia="Arial" w:hAnsi="Arial"/>
          <w:sz w:val="20"/>
          <w:szCs w:val="20"/>
          <w:b w:val="1"/>
          <w:bCs w:val="1"/>
          <w:i w:val="1"/>
          <w:iCs w:val="1"/>
          <w:color w:val="auto"/>
        </w:rPr>
        <w:t>current</w:t>
      </w:r>
      <w:r>
        <w:rPr>
          <w:sz w:val="20"/>
          <w:szCs w:val="20"/>
          <w:color w:val="auto"/>
        </w:rPr>
        <w:tab/>
      </w:r>
      <w:r>
        <w:rPr>
          <w:rFonts w:ascii="Arial" w:cs="Arial" w:eastAsia="Arial" w:hAnsi="Arial"/>
          <w:sz w:val="20"/>
          <w:szCs w:val="20"/>
          <w:b w:val="1"/>
          <w:bCs w:val="1"/>
          <w:i w:val="1"/>
          <w:iCs w:val="1"/>
          <w:color w:val="auto"/>
        </w:rPr>
        <w:t>and</w:t>
      </w:r>
      <w:r>
        <w:rPr>
          <w:sz w:val="20"/>
          <w:szCs w:val="20"/>
          <w:color w:val="auto"/>
        </w:rPr>
        <w:tab/>
      </w:r>
      <w:r>
        <w:rPr>
          <w:rFonts w:ascii="Arial" w:cs="Arial" w:eastAsia="Arial" w:hAnsi="Arial"/>
          <w:sz w:val="20"/>
          <w:szCs w:val="20"/>
          <w:b w:val="1"/>
          <w:bCs w:val="1"/>
          <w:i w:val="1"/>
          <w:iCs w:val="1"/>
          <w:color w:val="auto"/>
        </w:rPr>
        <w:t>future</w:t>
      </w:r>
      <w:r>
        <w:rPr>
          <w:sz w:val="20"/>
          <w:szCs w:val="20"/>
          <w:color w:val="auto"/>
        </w:rPr>
        <w:tab/>
      </w:r>
      <w:r>
        <w:rPr>
          <w:rFonts w:ascii="Arial" w:cs="Arial" w:eastAsia="Arial" w:hAnsi="Arial"/>
          <w:sz w:val="17"/>
          <w:szCs w:val="17"/>
          <w:b w:val="1"/>
          <w:bCs w:val="1"/>
          <w:i w:val="1"/>
          <w:iCs w:val="1"/>
          <w:color w:val="auto"/>
        </w:rPr>
        <w:t>performance.</w:t>
      </w:r>
    </w:p>
    <w:p>
      <w:pPr>
        <w:jc w:val="both"/>
        <w:ind w:right="20"/>
        <w:spacing w:after="0" w:line="237" w:lineRule="auto"/>
        <w:rPr>
          <w:sz w:val="20"/>
          <w:szCs w:val="20"/>
          <w:color w:val="auto"/>
        </w:rPr>
      </w:pPr>
      <w:r>
        <w:rPr>
          <w:rFonts w:ascii="Arial" w:cs="Arial" w:eastAsia="Arial" w:hAnsi="Arial"/>
          <w:sz w:val="19"/>
          <w:szCs w:val="19"/>
          <w:color w:val="auto"/>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 Recent action by the Securities Exchange Commission with respect to the claw back of executive bonuses under certain circumstances may, in our view, put us at a competitive disadvantage compared to private companies in recruiting talented executives.</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1B – Unresolved Staff Comments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1C – Cybersecurity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MANAGEMENT AND STRATEGY</w:t>
      </w:r>
    </w:p>
    <w:p>
      <w:pPr>
        <w:spacing w:after="0" w:line="212" w:lineRule="exact"/>
        <w:rPr>
          <w:sz w:val="20"/>
          <w:szCs w:val="20"/>
          <w:color w:val="auto"/>
        </w:rPr>
      </w:pPr>
    </w:p>
    <w:p>
      <w:pPr>
        <w:jc w:val="both"/>
        <w:ind w:right="60"/>
        <w:spacing w:after="0" w:line="237" w:lineRule="auto"/>
        <w:rPr>
          <w:sz w:val="20"/>
          <w:szCs w:val="20"/>
          <w:color w:val="auto"/>
        </w:rPr>
      </w:pPr>
      <w:r>
        <w:rPr>
          <w:rFonts w:ascii="Arial" w:cs="Arial" w:eastAsia="Arial" w:hAnsi="Arial"/>
          <w:sz w:val="19"/>
          <w:szCs w:val="19"/>
          <w:color w:val="auto"/>
        </w:rPr>
        <w:t>We have implemented a cybersecurity program to address cybersecurity threats based on our determination of the risk level. Our program includes policies and procedures that dictate the method in which we develop, deploy, and maintain security measures and controls. We use a cybersecurity framework to select security controls to protect against identified risks. When designing the controls, we consider the severity of risk and its impact on the Company, including the cost of the control and the impact it may have on the Company operations. We use various combinations of controls and tools to mitigate the risk to the Company such as firewalls and intrusion devices, endpoint threat detection systems, multi-factor authentication systems, endpoint threat detection systems as well patch management to prevent exploitable vulnerabilities.</w:t>
      </w:r>
    </w:p>
    <w:p>
      <w:pPr>
        <w:spacing w:after="0" w:line="218"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We utilize third-party cybersecurity firms in various capacities to operate some of these controls, including remote monitoring, cloud-based platforms and services as well as on-premises services. For example, we use third parties to perform a variety of functions for the Company, including, but not limited to cybersecurity audits, targeted ransomware assessment and table-top exercises, internal penetration tests and other internal and external audits. These expert services enable us to leverage specialized knowledge and insights into our cybersecurity strategies and processes.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written incident response plan and carry out periodic tabletop exercises to improve incident response readiness. Employees undergo security awareness training when hired and periodically thereafter; the scope of this training is continually updated to address newly identified threats. We utilize a risk-based approach and analysis to determine the cybersecurity controls to implement, and hence, there is a possibility that these controls may not adequately address every risk if we do not identify or place a high enough risk factor on a given threat. We are at risk of zero-day attacks and other vulnerabilities that may have been placed at a very low risk. In addition, even well-designed and properly deployed controls may not fully eliminate a given risk.</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CYBERSECURITY THREATS</w:t>
      </w:r>
    </w:p>
    <w:p>
      <w:pPr>
        <w:spacing w:after="0" w:line="198" w:lineRule="exact"/>
        <w:rPr>
          <w:sz w:val="20"/>
          <w:szCs w:val="20"/>
          <w:color w:val="auto"/>
        </w:rPr>
      </w:pPr>
    </w:p>
    <w:p>
      <w:pPr>
        <w:spacing w:after="0"/>
        <w:tabs>
          <w:tab w:leader="none" w:pos="4620" w:val="left"/>
        </w:tabs>
        <w:rPr>
          <w:sz w:val="20"/>
          <w:szCs w:val="20"/>
          <w:color w:val="auto"/>
        </w:rPr>
      </w:pPr>
      <w:r>
        <w:rPr>
          <w:rFonts w:ascii="Arial" w:cs="Arial" w:eastAsia="Arial" w:hAnsi="Arial"/>
          <w:sz w:val="20"/>
          <w:szCs w:val="20"/>
          <w:color w:val="auto"/>
        </w:rPr>
        <w:t>We</w:t>
      </w:r>
      <w:r>
        <w:rPr>
          <w:sz w:val="20"/>
          <w:szCs w:val="20"/>
          <w:color w:val="auto"/>
        </w:rPr>
        <w:tab/>
      </w:r>
      <w:r>
        <w:rPr>
          <w:rFonts w:ascii="Arial" w:cs="Arial" w:eastAsia="Arial" w:hAnsi="Arial"/>
          <w:sz w:val="20"/>
          <w:szCs w:val="20"/>
          <w:color w:val="auto"/>
        </w:rPr>
        <w:t>have</w:t>
      </w:r>
    </w:p>
    <w:p>
      <w:pPr>
        <w:jc w:val="both"/>
        <w:ind w:right="80"/>
        <w:spacing w:after="0" w:line="227" w:lineRule="auto"/>
        <w:rPr>
          <w:sz w:val="20"/>
          <w:szCs w:val="20"/>
          <w:color w:val="auto"/>
        </w:rPr>
      </w:pPr>
      <w:r>
        <w:rPr>
          <w:rFonts w:ascii="Arial" w:cs="Arial" w:eastAsia="Arial" w:hAnsi="Arial"/>
          <w:sz w:val="20"/>
          <w:szCs w:val="20"/>
          <w:color w:val="auto"/>
        </w:rPr>
        <w:t>not had any cybersecurity incidents that we believe have materially affected or are likely to materially affect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GOVERNANCE</w:t>
      </w:r>
      <w:r>
        <w:rPr>
          <w:rFonts w:ascii="Arial" w:cs="Arial" w:eastAsia="Arial" w:hAnsi="Arial"/>
          <w:sz w:val="20"/>
          <w:szCs w:val="20"/>
          <w:color w:val="auto"/>
        </w:rPr>
        <w:t>.</w:t>
      </w:r>
    </w:p>
    <w:p>
      <w:pPr>
        <w:spacing w:after="0" w:line="212"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Board Member Guy W. Adams serves as our Lead Technology and Cyber Risk Director. In December 2017, Mr. Adams was recognized as a Governance Fellow for the National Association of Corporate Directors, The Gold Standard Director Credential®. In 2018, Director Adams completed the Cyber-Risk Oversight course presented by</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51</w:t>
      </w:r>
    </w:p>
    <w:p>
      <w:pPr>
        <w:sectPr>
          <w:pgSz w:w="11900" w:h="16838" w:orient="portrait"/>
          <w:cols w:equalWidth="0" w:num="1">
            <w:col w:w="9400"/>
          </w:cols>
          <w:pgMar w:left="1260" w:top="1347" w:right="1246" w:bottom="0" w:gutter="0" w:footer="0" w:header="0"/>
          <w:type w:val="continuous"/>
        </w:sectPr>
      </w:pPr>
    </w:p>
    <w:bookmarkStart w:id="48" w:name="page49"/>
    <w:bookmarkEnd w:id="48"/>
    <w:p>
      <w:pPr>
        <w:jc w:val="both"/>
        <w:spacing w:after="0" w:line="226" w:lineRule="auto"/>
        <w:rPr>
          <w:sz w:val="20"/>
          <w:szCs w:val="20"/>
          <w:color w:val="auto"/>
        </w:rPr>
      </w:pPr>
      <w:r>
        <w:rPr>
          <w:rFonts w:ascii="Arial" w:cs="Arial" w:eastAsia="Arial" w:hAnsi="Arial"/>
          <w:sz w:val="20"/>
          <w:szCs w:val="20"/>
          <w:color w:val="auto"/>
        </w:rPr>
        <w:t>the National Association of Corporate Directors. At the present time, we have a 10-member Information Technology group, overseen by an Executive Vice President, which is responsible for ongoing testing and threat assessment and reports to the Board at every regularly scheduled Board Meeting.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 / 51</w:t>
      </w:r>
    </w:p>
    <w:p>
      <w:pPr>
        <w:sectPr>
          <w:pgSz w:w="11900" w:h="16838" w:orient="portrait"/>
          <w:cols w:equalWidth="0" w:num="1">
            <w:col w:w="9340"/>
          </w:cols>
          <w:pgMar w:left="1260" w:top="1131" w:right="1306" w:bottom="0" w:gutter="0" w:footer="0" w:header="0"/>
          <w:type w:val="continuous"/>
        </w:sectPr>
      </w:pPr>
    </w:p>
    <w:bookmarkStart w:id="49" w:name="page50"/>
    <w:bookmarkEnd w:id="49"/>
    <w:p>
      <w:pPr>
        <w:spacing w:after="0"/>
        <w:rPr>
          <w:sz w:val="20"/>
          <w:szCs w:val="20"/>
          <w:color w:val="auto"/>
        </w:rPr>
      </w:pPr>
      <w:r>
        <w:rPr>
          <w:rFonts w:ascii="Arial" w:cs="Arial" w:eastAsia="Arial" w:hAnsi="Arial"/>
          <w:sz w:val="24"/>
          <w:szCs w:val="24"/>
          <w:b w:val="1"/>
          <w:bCs w:val="1"/>
          <w:u w:val="single" w:color="auto"/>
          <w:color w:val="auto"/>
        </w:rPr>
        <w:t>Item 2 – Properties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PROPERTY</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As of December 31, 2025, we own fee interests across our two operating segments in approximately 429,000 square feet of income-producing properties (including certain properties principally occupied by our cinemas)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Square Feet of</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20"/>
              <w:spacing w:after="0" w:line="173" w:lineRule="exact"/>
              <w:rPr>
                <w:sz w:val="20"/>
                <w:szCs w:val="20"/>
                <w:color w:val="auto"/>
              </w:rPr>
            </w:pPr>
            <w:r>
              <w:rPr>
                <w:rFonts w:ascii="Arial" w:cs="Arial" w:eastAsia="Arial" w:hAnsi="Arial"/>
                <w:sz w:val="16"/>
                <w:szCs w:val="16"/>
                <w:b w:val="1"/>
                <w:bCs w:val="1"/>
                <w:color w:val="auto"/>
                <w:w w:val="91"/>
              </w:rPr>
              <w:t>Improvements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61"/>
              <w:spacing w:after="0" w:line="173" w:lineRule="exact"/>
              <w:rPr>
                <w:sz w:val="20"/>
                <w:szCs w:val="20"/>
                <w:color w:val="auto"/>
              </w:rPr>
            </w:pPr>
            <w:r>
              <w:rPr>
                <w:rFonts w:ascii="Arial" w:cs="Arial" w:eastAsia="Arial" w:hAnsi="Arial"/>
                <w:sz w:val="16"/>
                <w:szCs w:val="16"/>
                <w:b w:val="1"/>
                <w:bCs w:val="1"/>
                <w:color w:val="auto"/>
                <w:w w:val="88"/>
              </w:rPr>
              <w:t>Net Book</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20"/>
              <w:spacing w:after="0" w:line="177" w:lineRule="exact"/>
              <w:rPr>
                <w:sz w:val="20"/>
                <w:szCs w:val="20"/>
                <w:color w:val="auto"/>
              </w:rPr>
            </w:pPr>
            <w:r>
              <w:rPr>
                <w:rFonts w:ascii="Arial" w:cs="Arial" w:eastAsia="Arial" w:hAnsi="Arial"/>
                <w:sz w:val="16"/>
                <w:szCs w:val="16"/>
                <w:b w:val="1"/>
                <w:bCs w:val="1"/>
                <w:color w:val="auto"/>
                <w:w w:val="97"/>
              </w:rPr>
              <w:t>(rental/</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ind w:right="101"/>
              <w:spacing w:after="0" w:line="202"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23"/>
                <w:szCs w:val="23"/>
                <w:b w:val="1"/>
                <w:bCs w:val="1"/>
                <w:color w:val="auto"/>
                <w:w w:val="96"/>
                <w:vertAlign w:val="superscript"/>
              </w:rPr>
              <w:t>(3)</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
              <w:spacing w:after="0" w:line="145" w:lineRule="exact"/>
              <w:rPr>
                <w:sz w:val="20"/>
                <w:szCs w:val="20"/>
                <w:color w:val="auto"/>
              </w:rPr>
            </w:pPr>
            <w:r>
              <w:rPr>
                <w:rFonts w:ascii="Arial" w:cs="Arial" w:eastAsia="Arial" w:hAnsi="Arial"/>
                <w:sz w:val="16"/>
                <w:szCs w:val="16"/>
                <w:b w:val="1"/>
                <w:bCs w:val="1"/>
                <w:color w:val="auto"/>
                <w:w w:val="90"/>
              </w:rPr>
              <w:t>entertainment/</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
              <w:spacing w:after="0"/>
              <w:rPr>
                <w:sz w:val="20"/>
                <w:szCs w:val="20"/>
                <w:color w:val="auto"/>
              </w:rPr>
            </w:pPr>
            <w:r>
              <w:rPr>
                <w:rFonts w:ascii="Arial" w:cs="Arial" w:eastAsia="Arial" w:hAnsi="Arial"/>
                <w:sz w:val="16"/>
                <w:szCs w:val="16"/>
                <w:i w:val="1"/>
                <w:iCs w:val="1"/>
                <w:color w:val="auto"/>
                <w:w w:val="95"/>
              </w:rPr>
              <w:t>(US Dollars</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Reporting</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jc w:val="center"/>
              <w:ind w:right="20"/>
              <w:spacing w:after="0" w:line="232" w:lineRule="exact"/>
              <w:rPr>
                <w:sz w:val="20"/>
                <w:szCs w:val="20"/>
                <w:color w:val="auto"/>
              </w:rPr>
            </w:pPr>
            <w:r>
              <w:rPr>
                <w:rFonts w:ascii="Arial" w:cs="Arial" w:eastAsia="Arial" w:hAnsi="Arial"/>
                <w:sz w:val="15"/>
                <w:szCs w:val="15"/>
                <w:b w:val="1"/>
                <w:bCs w:val="1"/>
                <w:color w:val="auto"/>
                <w:w w:val="90"/>
              </w:rPr>
              <w:t>office)</w:t>
            </w:r>
            <w:r>
              <w:rPr>
                <w:rFonts w:ascii="Arial" w:cs="Arial" w:eastAsia="Arial" w:hAnsi="Arial"/>
                <w:sz w:val="26"/>
                <w:szCs w:val="26"/>
                <w:b w:val="1"/>
                <w:bCs w:val="1"/>
                <w:color w:val="auto"/>
                <w:w w:val="90"/>
                <w:vertAlign w:val="superscript"/>
              </w:rPr>
              <w:t>(1)</w:t>
            </w:r>
          </w:p>
        </w:tc>
        <w:tc>
          <w:tcPr>
            <w:tcW w:w="860" w:type="dxa"/>
            <w:vAlign w:val="bottom"/>
            <w:vMerge w:val="restart"/>
          </w:tcPr>
          <w:p>
            <w:pPr>
              <w:jc w:val="center"/>
              <w:spacing w:after="0" w:line="232" w:lineRule="exact"/>
              <w:rPr>
                <w:sz w:val="20"/>
                <w:szCs w:val="20"/>
                <w:color w:val="auto"/>
              </w:rPr>
            </w:pPr>
            <w:r>
              <w:rPr>
                <w:rFonts w:ascii="Arial" w:cs="Arial" w:eastAsia="Arial" w:hAnsi="Arial"/>
                <w:sz w:val="15"/>
                <w:szCs w:val="15"/>
                <w:b w:val="1"/>
                <w:bCs w:val="1"/>
                <w:color w:val="auto"/>
                <w:w w:val="90"/>
              </w:rPr>
              <w:t>Leased</w:t>
            </w:r>
            <w:r>
              <w:rPr>
                <w:rFonts w:ascii="Arial" w:cs="Arial" w:eastAsia="Arial" w:hAnsi="Arial"/>
                <w:sz w:val="26"/>
                <w:szCs w:val="26"/>
                <w:b w:val="1"/>
                <w:bCs w:val="1"/>
                <w:color w:val="auto"/>
                <w:w w:val="90"/>
                <w:vertAlign w:val="superscript"/>
              </w:rPr>
              <w:t>(2)</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86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Property</w:t>
            </w:r>
          </w:p>
        </w:tc>
        <w:tc>
          <w:tcPr>
            <w:tcW w:w="14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spacing w:after="0" w:line="175" w:lineRule="exact"/>
              <w:rPr>
                <w:sz w:val="20"/>
                <w:szCs w:val="20"/>
                <w:color w:val="auto"/>
              </w:rPr>
            </w:pPr>
            <w:r>
              <w:rPr>
                <w:rFonts w:ascii="Arial" w:cs="Arial" w:eastAsia="Arial" w:hAnsi="Arial"/>
                <w:sz w:val="16"/>
                <w:szCs w:val="16"/>
                <w:i w:val="1"/>
                <w:iCs w:val="1"/>
                <w:color w:val="auto"/>
                <w:w w:val="89"/>
              </w:rPr>
              <w:t>in thousands)</w:t>
            </w:r>
          </w:p>
        </w:tc>
        <w:tc>
          <w:tcPr>
            <w:tcW w:w="100" w:type="dxa"/>
            <w:vAlign w:val="bottom"/>
          </w:tcPr>
          <w:p>
            <w:pPr>
              <w:spacing w:after="0"/>
              <w:rPr>
                <w:sz w:val="16"/>
                <w:szCs w:val="16"/>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5"/>
              </w:rPr>
              <w:t>Segment</w:t>
            </w:r>
          </w:p>
        </w:tc>
        <w:tc>
          <w:tcPr>
            <w:tcW w:w="260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Address</w:t>
            </w:r>
          </w:p>
        </w:tc>
        <w:tc>
          <w:tcPr>
            <w:tcW w:w="0" w:type="dxa"/>
            <w:vAlign w:val="bottom"/>
          </w:tcPr>
          <w:p>
            <w:pPr>
              <w:spacing w:after="0"/>
              <w:rPr>
                <w:sz w:val="1"/>
                <w:szCs w:val="1"/>
                <w:color w:val="auto"/>
              </w:rPr>
            </w:pPr>
          </w:p>
        </w:tc>
      </w:tr>
      <w:tr>
        <w:trPr>
          <w:trHeight w:val="178"/>
        </w:trPr>
        <w:tc>
          <w:tcPr>
            <w:tcW w:w="1780" w:type="dxa"/>
            <w:vAlign w:val="bottom"/>
            <w:tcBorders>
              <w:top w:val="single" w:sz="8" w:color="auto"/>
            </w:tcBorders>
            <w:gridSpan w:val="6"/>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United States</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 w:type="dxa"/>
            <w:vAlign w:val="bottom"/>
            <w:tcBorders>
              <w:top w:val="single" w:sz="8" w:color="auto"/>
            </w:tcBorders>
          </w:tcPr>
          <w:p>
            <w:pPr>
              <w:ind w:left="100"/>
              <w:spacing w:after="0" w:line="148" w:lineRule="exact"/>
              <w:rPr>
                <w:sz w:val="20"/>
                <w:szCs w:val="20"/>
                <w:color w:val="auto"/>
              </w:rPr>
            </w:pPr>
            <w:r>
              <w:rPr>
                <w:rFonts w:ascii="Arial" w:cs="Arial" w:eastAsia="Arial" w:hAnsi="Arial"/>
                <w:sz w:val="16"/>
                <w:szCs w:val="16"/>
                <w:color w:val="auto"/>
                <w:w w:val="89"/>
              </w:rPr>
              <w:t>1.</w:t>
            </w:r>
          </w:p>
        </w:tc>
        <w:tc>
          <w:tcPr>
            <w:tcW w:w="680" w:type="dxa"/>
            <w:vAlign w:val="bottom"/>
            <w:tcBorders>
              <w:top w:val="single" w:sz="8" w:color="auto"/>
            </w:tcBorders>
            <w:gridSpan w:val="4"/>
          </w:tcPr>
          <w:p>
            <w:pPr>
              <w:ind w:left="20"/>
              <w:spacing w:after="0" w:line="148" w:lineRule="exact"/>
              <w:rPr>
                <w:sz w:val="20"/>
                <w:szCs w:val="20"/>
                <w:color w:val="auto"/>
              </w:rPr>
            </w:pPr>
            <w:r>
              <w:rPr>
                <w:rFonts w:ascii="Arial" w:cs="Arial" w:eastAsia="Arial" w:hAnsi="Arial"/>
                <w:sz w:val="16"/>
                <w:szCs w:val="16"/>
                <w:color w:val="auto"/>
              </w:rPr>
              <w:t>Cinemas</w:t>
            </w:r>
          </w:p>
        </w:tc>
        <w:tc>
          <w:tcPr>
            <w:tcW w:w="940" w:type="dxa"/>
            <w:vAlign w:val="bottom"/>
            <w:tcBorders>
              <w:top w:val="single" w:sz="8" w:color="CCEEFF"/>
            </w:tcBorders>
            <w:gridSpan w:val="2"/>
          </w:tcPr>
          <w:p>
            <w:pPr>
              <w:spacing w:after="0" w:line="148" w:lineRule="exact"/>
              <w:rPr>
                <w:sz w:val="20"/>
                <w:szCs w:val="20"/>
                <w:color w:val="auto"/>
              </w:rPr>
            </w:pPr>
            <w:r>
              <w:rPr>
                <w:rFonts w:ascii="Arial" w:cs="Arial" w:eastAsia="Arial" w:hAnsi="Arial"/>
                <w:sz w:val="16"/>
                <w:szCs w:val="16"/>
                <w:color w:val="auto"/>
              </w:rPr>
              <w:t>1,2,3</w:t>
            </w:r>
          </w:p>
        </w:tc>
        <w:tc>
          <w:tcPr>
            <w:tcW w:w="144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6"/>
                <w:szCs w:val="16"/>
                <w:color w:val="auto"/>
                <w:w w:val="89"/>
              </w:rPr>
              <w:t>0 / 24,000</w:t>
            </w:r>
          </w:p>
        </w:tc>
        <w:tc>
          <w:tcPr>
            <w:tcW w:w="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6"/>
                <w:szCs w:val="16"/>
                <w:i w:val="1"/>
                <w:iCs w:val="1"/>
                <w:color w:val="auto"/>
                <w:w w:val="98"/>
              </w:rPr>
              <w:t>n/a</w:t>
            </w:r>
          </w:p>
        </w:tc>
        <w:tc>
          <w:tcPr>
            <w:tcW w:w="180" w:type="dxa"/>
            <w:vAlign w:val="bottom"/>
            <w:tcBorders>
              <w:top w:val="single" w:sz="8" w:color="CCEEFF"/>
            </w:tcBorders>
            <w:gridSpan w:val="2"/>
          </w:tcPr>
          <w:p>
            <w:pPr>
              <w:jc w:val="right"/>
              <w:spacing w:after="0" w:line="148"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6"/>
                <w:szCs w:val="16"/>
                <w:color w:val="auto"/>
              </w:rPr>
              <w:t>24,085</w:t>
            </w:r>
          </w:p>
        </w:tc>
        <w:tc>
          <w:tcPr>
            <w:tcW w:w="10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6"/>
                <w:szCs w:val="16"/>
                <w:color w:val="auto"/>
                <w:w w:val="94"/>
              </w:rPr>
              <w:t>Cinema Exhibition</w:t>
            </w:r>
          </w:p>
        </w:tc>
        <w:tc>
          <w:tcPr>
            <w:tcW w:w="2600" w:type="dxa"/>
            <w:vAlign w:val="bottom"/>
            <w:tcBorders>
              <w:top w:val="single" w:sz="8" w:color="CCEEFF"/>
            </w:tcBorders>
            <w:gridSpan w:val="2"/>
          </w:tcPr>
          <w:p>
            <w:pPr>
              <w:ind w:left="80"/>
              <w:spacing w:after="0" w:line="148" w:lineRule="exact"/>
              <w:rPr>
                <w:sz w:val="20"/>
                <w:szCs w:val="20"/>
                <w:color w:val="auto"/>
              </w:rPr>
            </w:pPr>
            <w:r>
              <w:rPr>
                <w:rFonts w:ascii="Arial" w:cs="Arial" w:eastAsia="Arial" w:hAnsi="Arial"/>
                <w:sz w:val="16"/>
                <w:szCs w:val="16"/>
                <w:color w:val="auto"/>
                <w:w w:val="99"/>
              </w:rPr>
              <w:t>1003 Third Avenue, Manhattan, NY</w:t>
            </w:r>
          </w:p>
        </w:tc>
        <w:tc>
          <w:tcPr>
            <w:tcW w:w="0" w:type="dxa"/>
            <w:vAlign w:val="bottom"/>
          </w:tcPr>
          <w:p>
            <w:pPr>
              <w:spacing w:after="0"/>
              <w:rPr>
                <w:sz w:val="1"/>
                <w:szCs w:val="1"/>
                <w:color w:val="auto"/>
              </w:rPr>
            </w:pPr>
          </w:p>
        </w:tc>
      </w:tr>
      <w:tr>
        <w:trPr>
          <w:trHeight w:val="173"/>
        </w:trPr>
        <w:tc>
          <w:tcPr>
            <w:tcW w:w="24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w w:val="89"/>
              </w:rPr>
              <w:t>2.</w:t>
            </w:r>
          </w:p>
        </w:tc>
        <w:tc>
          <w:tcPr>
            <w:tcW w:w="1620" w:type="dxa"/>
            <w:vAlign w:val="bottom"/>
            <w:gridSpan w:val="6"/>
            <w:shd w:val="clear" w:color="auto" w:fill="CCEEFF"/>
          </w:tcPr>
          <w:p>
            <w:pPr>
              <w:ind w:left="20"/>
              <w:spacing w:after="0" w:line="173" w:lineRule="exact"/>
              <w:rPr>
                <w:sz w:val="20"/>
                <w:szCs w:val="20"/>
                <w:color w:val="auto"/>
              </w:rPr>
            </w:pPr>
            <w:r>
              <w:rPr>
                <w:rFonts w:ascii="Arial" w:cs="Arial" w:eastAsia="Arial" w:hAnsi="Arial"/>
                <w:sz w:val="16"/>
                <w:szCs w:val="16"/>
                <w:color w:val="auto"/>
              </w:rPr>
              <w:t>Minetta Lane Theatre</w:t>
            </w:r>
          </w:p>
        </w:tc>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0 / 9,000</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i w:val="1"/>
                <w:iCs w:val="1"/>
                <w:color w:val="auto"/>
                <w:w w:val="98"/>
              </w:rPr>
              <w:t>n/a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2,184</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6"/>
              </w:rPr>
              <w:t>Real Estate</w:t>
            </w:r>
          </w:p>
        </w:tc>
        <w:tc>
          <w:tcPr>
            <w:tcW w:w="2600" w:type="dxa"/>
            <w:vAlign w:val="bottom"/>
            <w:gridSpan w:val="2"/>
            <w:shd w:val="clear" w:color="auto" w:fill="CCEEFF"/>
          </w:tcPr>
          <w:p>
            <w:pPr>
              <w:ind w:left="80"/>
              <w:spacing w:after="0" w:line="173" w:lineRule="exact"/>
              <w:rPr>
                <w:sz w:val="20"/>
                <w:szCs w:val="20"/>
                <w:color w:val="auto"/>
              </w:rPr>
            </w:pPr>
            <w:r>
              <w:rPr>
                <w:rFonts w:ascii="Arial" w:cs="Arial" w:eastAsia="Arial" w:hAnsi="Arial"/>
                <w:sz w:val="16"/>
                <w:szCs w:val="16"/>
                <w:color w:val="auto"/>
              </w:rPr>
              <w:t>18 Minetta Lane, Manhattan, NY</w:t>
            </w:r>
          </w:p>
        </w:tc>
        <w:tc>
          <w:tcPr>
            <w:tcW w:w="0" w:type="dxa"/>
            <w:vAlign w:val="bottom"/>
          </w:tcPr>
          <w:p>
            <w:pPr>
              <w:spacing w:after="0"/>
              <w:rPr>
                <w:sz w:val="1"/>
                <w:szCs w:val="1"/>
                <w:color w:val="auto"/>
              </w:rPr>
            </w:pPr>
          </w:p>
        </w:tc>
      </w:tr>
      <w:tr>
        <w:trPr>
          <w:trHeight w:val="173"/>
        </w:trPr>
        <w:tc>
          <w:tcPr>
            <w:tcW w:w="240" w:type="dxa"/>
            <w:vAlign w:val="bottom"/>
          </w:tcPr>
          <w:p>
            <w:pPr>
              <w:ind w:left="100"/>
              <w:spacing w:after="0" w:line="173" w:lineRule="exact"/>
              <w:rPr>
                <w:sz w:val="20"/>
                <w:szCs w:val="20"/>
                <w:color w:val="auto"/>
              </w:rPr>
            </w:pPr>
            <w:r>
              <w:rPr>
                <w:rFonts w:ascii="Arial" w:cs="Arial" w:eastAsia="Arial" w:hAnsi="Arial"/>
                <w:sz w:val="16"/>
                <w:szCs w:val="16"/>
                <w:color w:val="auto"/>
                <w:w w:val="89"/>
              </w:rPr>
              <w:t>3.</w:t>
            </w:r>
          </w:p>
        </w:tc>
        <w:tc>
          <w:tcPr>
            <w:tcW w:w="1620" w:type="dxa"/>
            <w:vAlign w:val="bottom"/>
            <w:gridSpan w:val="6"/>
          </w:tcPr>
          <w:p>
            <w:pPr>
              <w:ind w:left="20"/>
              <w:spacing w:after="0" w:line="173" w:lineRule="exact"/>
              <w:rPr>
                <w:sz w:val="20"/>
                <w:szCs w:val="20"/>
                <w:color w:val="auto"/>
              </w:rPr>
            </w:pPr>
            <w:r>
              <w:rPr>
                <w:rFonts w:ascii="Arial" w:cs="Arial" w:eastAsia="Arial" w:hAnsi="Arial"/>
                <w:sz w:val="16"/>
                <w:szCs w:val="16"/>
                <w:color w:val="auto"/>
              </w:rPr>
              <w:t>Orpheum Theatre</w:t>
            </w:r>
          </w:p>
        </w:tc>
        <w:tc>
          <w:tcPr>
            <w:tcW w:w="1440" w:type="dxa"/>
            <w:vAlign w:val="bottom"/>
          </w:tcPr>
          <w:p>
            <w:pPr>
              <w:jc w:val="center"/>
              <w:spacing w:after="0" w:line="173" w:lineRule="exact"/>
              <w:rPr>
                <w:sz w:val="20"/>
                <w:szCs w:val="20"/>
                <w:color w:val="auto"/>
              </w:rPr>
            </w:pPr>
            <w:r>
              <w:rPr>
                <w:rFonts w:ascii="Arial" w:cs="Arial" w:eastAsia="Arial" w:hAnsi="Arial"/>
                <w:sz w:val="16"/>
                <w:szCs w:val="16"/>
                <w:color w:val="auto"/>
                <w:w w:val="89"/>
              </w:rPr>
              <w:t>0 / 5,000</w:t>
            </w:r>
          </w:p>
        </w:tc>
        <w:tc>
          <w:tcPr>
            <w:tcW w:w="2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6"/>
                <w:szCs w:val="16"/>
                <w:i w:val="1"/>
                <w:iCs w:val="1"/>
                <w:color w:val="auto"/>
                <w:w w:val="98"/>
              </w:rPr>
              <w:t>n/a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1,242</w:t>
            </w:r>
          </w:p>
        </w:tc>
        <w:tc>
          <w:tcPr>
            <w:tcW w:w="100" w:type="dxa"/>
            <w:vAlign w:val="bottom"/>
          </w:tcPr>
          <w:p>
            <w:pPr>
              <w:spacing w:after="0"/>
              <w:rPr>
                <w:sz w:val="15"/>
                <w:szCs w:val="15"/>
                <w:color w:val="auto"/>
              </w:rPr>
            </w:pPr>
          </w:p>
        </w:tc>
        <w:tc>
          <w:tcPr>
            <w:tcW w:w="1480" w:type="dxa"/>
            <w:vAlign w:val="bottom"/>
          </w:tcPr>
          <w:p>
            <w:pPr>
              <w:jc w:val="center"/>
              <w:spacing w:after="0" w:line="173" w:lineRule="exact"/>
              <w:rPr>
                <w:sz w:val="20"/>
                <w:szCs w:val="20"/>
                <w:color w:val="auto"/>
              </w:rPr>
            </w:pPr>
            <w:r>
              <w:rPr>
                <w:rFonts w:ascii="Arial" w:cs="Arial" w:eastAsia="Arial" w:hAnsi="Arial"/>
                <w:sz w:val="16"/>
                <w:szCs w:val="16"/>
                <w:color w:val="auto"/>
                <w:w w:val="86"/>
              </w:rPr>
              <w:t>Real Estate</w:t>
            </w:r>
          </w:p>
        </w:tc>
        <w:tc>
          <w:tcPr>
            <w:tcW w:w="2600" w:type="dxa"/>
            <w:vAlign w:val="bottom"/>
            <w:gridSpan w:val="2"/>
          </w:tcPr>
          <w:p>
            <w:pPr>
              <w:ind w:left="80"/>
              <w:spacing w:after="0" w:line="173" w:lineRule="exact"/>
              <w:rPr>
                <w:sz w:val="20"/>
                <w:szCs w:val="20"/>
                <w:color w:val="auto"/>
              </w:rPr>
            </w:pPr>
            <w:r>
              <w:rPr>
                <w:rFonts w:ascii="Arial" w:cs="Arial" w:eastAsia="Arial" w:hAnsi="Arial"/>
                <w:sz w:val="16"/>
                <w:szCs w:val="16"/>
                <w:color w:val="auto"/>
              </w:rPr>
              <w:t>126 2nd Avenue, Manhattan, NY</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w w:val="89"/>
              </w:rPr>
              <w:t>4.</w:t>
            </w:r>
          </w:p>
        </w:tc>
        <w:tc>
          <w:tcPr>
            <w:tcW w:w="1620" w:type="dxa"/>
            <w:vAlign w:val="bottom"/>
            <w:gridSpan w:val="6"/>
            <w:shd w:val="clear" w:color="auto" w:fill="CCEEFF"/>
          </w:tcPr>
          <w:p>
            <w:pPr>
              <w:ind w:left="20"/>
              <w:spacing w:after="0" w:line="171" w:lineRule="exact"/>
              <w:rPr>
                <w:sz w:val="20"/>
                <w:szCs w:val="20"/>
                <w:color w:val="auto"/>
              </w:rPr>
            </w:pPr>
            <w:r>
              <w:rPr>
                <w:rFonts w:ascii="Arial" w:cs="Arial" w:eastAsia="Arial" w:hAnsi="Arial"/>
                <w:sz w:val="16"/>
                <w:szCs w:val="16"/>
                <w:color w:val="auto"/>
              </w:rPr>
              <w:t>44 Union Square</w:t>
            </w:r>
          </w:p>
        </w:tc>
        <w:tc>
          <w:tcPr>
            <w:tcW w:w="144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9"/>
              </w:rPr>
              <w:t>73,000 / 0</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80"/>
              <w:spacing w:after="0" w:line="171" w:lineRule="exact"/>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93,214</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6"/>
              </w:rPr>
              <w:t>Real Estate</w:t>
            </w:r>
          </w:p>
        </w:tc>
        <w:tc>
          <w:tcPr>
            <w:tcW w:w="2600" w:type="dxa"/>
            <w:vAlign w:val="bottom"/>
            <w:gridSpan w:val="2"/>
            <w:shd w:val="clear" w:color="auto" w:fill="CCEEFF"/>
          </w:tcPr>
          <w:p>
            <w:pPr>
              <w:ind w:left="80"/>
              <w:spacing w:after="0" w:line="171" w:lineRule="exact"/>
              <w:rPr>
                <w:sz w:val="20"/>
                <w:szCs w:val="20"/>
                <w:color w:val="auto"/>
              </w:rPr>
            </w:pPr>
            <w:r>
              <w:rPr>
                <w:rFonts w:ascii="Arial" w:cs="Arial" w:eastAsia="Arial" w:hAnsi="Arial"/>
                <w:sz w:val="16"/>
                <w:szCs w:val="16"/>
                <w:color w:val="auto"/>
              </w:rPr>
              <w:t>44 Union Square E, New York, NY</w:t>
            </w: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10003</w:t>
            </w:r>
          </w:p>
        </w:tc>
        <w:tc>
          <w:tcPr>
            <w:tcW w:w="0" w:type="dxa"/>
            <w:vAlign w:val="bottom"/>
          </w:tcPr>
          <w:p>
            <w:pPr>
              <w:spacing w:after="0"/>
              <w:rPr>
                <w:sz w:val="1"/>
                <w:szCs w:val="1"/>
                <w:color w:val="auto"/>
              </w:rPr>
            </w:pPr>
          </w:p>
        </w:tc>
      </w:tr>
      <w:tr>
        <w:trPr>
          <w:trHeight w:val="158"/>
        </w:trPr>
        <w:tc>
          <w:tcPr>
            <w:tcW w:w="640" w:type="dxa"/>
            <w:vAlign w:val="bottom"/>
            <w:tcBorders>
              <w:bottom w:val="single" w:sz="8" w:color="auto"/>
            </w:tcBorders>
            <w:gridSpan w:val="3"/>
          </w:tcPr>
          <w:p>
            <w:pPr>
              <w:spacing w:after="0" w:line="158" w:lineRule="exact"/>
              <w:rPr>
                <w:sz w:val="20"/>
                <w:szCs w:val="20"/>
                <w:color w:val="auto"/>
              </w:rPr>
            </w:pPr>
            <w:r>
              <w:rPr>
                <w:rFonts w:ascii="Arial" w:cs="Arial" w:eastAsia="Arial" w:hAnsi="Arial"/>
                <w:sz w:val="16"/>
                <w:szCs w:val="16"/>
                <w:b w:val="1"/>
                <w:bCs w:val="1"/>
                <w:color w:val="auto"/>
                <w:w w:val="90"/>
              </w:rPr>
              <w:t>Australia</w:t>
            </w:r>
          </w:p>
        </w:tc>
        <w:tc>
          <w:tcPr>
            <w:tcW w:w="1220" w:type="dxa"/>
            <w:vAlign w:val="bottom"/>
            <w:tcBorders>
              <w:bottom w:val="single" w:sz="8" w:color="CCEEFF"/>
            </w:tcBorders>
            <w:gridSpan w:val="4"/>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0" w:type="dxa"/>
            <w:vAlign w:val="bottom"/>
            <w:shd w:val="clear" w:color="auto" w:fill="CCEEFF"/>
          </w:tcPr>
          <w:p>
            <w:pPr>
              <w:ind w:left="100"/>
              <w:spacing w:after="0" w:line="166" w:lineRule="exact"/>
              <w:rPr>
                <w:sz w:val="20"/>
                <w:szCs w:val="20"/>
                <w:color w:val="auto"/>
              </w:rPr>
            </w:pPr>
            <w:r>
              <w:rPr>
                <w:rFonts w:ascii="Arial" w:cs="Arial" w:eastAsia="Arial" w:hAnsi="Arial"/>
                <w:sz w:val="16"/>
                <w:szCs w:val="16"/>
                <w:color w:val="auto"/>
                <w:w w:val="89"/>
              </w:rPr>
              <w:t>1.</w:t>
            </w:r>
          </w:p>
        </w:tc>
        <w:tc>
          <w:tcPr>
            <w:tcW w:w="1540" w:type="dxa"/>
            <w:vAlign w:val="bottom"/>
            <w:gridSpan w:val="5"/>
            <w:shd w:val="clear" w:color="auto" w:fill="CCEEFF"/>
          </w:tcPr>
          <w:p>
            <w:pPr>
              <w:ind w:left="20"/>
              <w:spacing w:after="0" w:line="166" w:lineRule="exact"/>
              <w:rPr>
                <w:sz w:val="20"/>
                <w:szCs w:val="20"/>
                <w:color w:val="auto"/>
              </w:rPr>
            </w:pPr>
            <w:r>
              <w:rPr>
                <w:rFonts w:ascii="Arial" w:cs="Arial" w:eastAsia="Arial" w:hAnsi="Arial"/>
                <w:sz w:val="16"/>
                <w:szCs w:val="16"/>
                <w:color w:val="auto"/>
              </w:rPr>
              <w:t>Newmarket Village</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9"/>
              </w:rPr>
              <w:t>102,000 / 42,000</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4"/>
              </w:rPr>
              <w:t>Cinema Exhibition /</w:t>
            </w:r>
          </w:p>
        </w:tc>
        <w:tc>
          <w:tcPr>
            <w:tcW w:w="2600" w:type="dxa"/>
            <w:vAlign w:val="bottom"/>
            <w:gridSpan w:val="2"/>
            <w:shd w:val="clear" w:color="auto" w:fill="CCEEFF"/>
          </w:tcPr>
          <w:p>
            <w:pPr>
              <w:ind w:left="80"/>
              <w:spacing w:after="0" w:line="166" w:lineRule="exact"/>
              <w:rPr>
                <w:sz w:val="20"/>
                <w:szCs w:val="20"/>
                <w:color w:val="auto"/>
              </w:rPr>
            </w:pPr>
            <w:r>
              <w:rPr>
                <w:rFonts w:ascii="Arial" w:cs="Arial" w:eastAsia="Arial" w:hAnsi="Arial"/>
                <w:sz w:val="16"/>
                <w:szCs w:val="16"/>
                <w:color w:val="auto"/>
              </w:rPr>
              <w:t>400 Newmarket Road, Newmarket,</w:t>
            </w: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plus 576 parking</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1"/>
              <w:spacing w:after="0" w:line="175" w:lineRule="exact"/>
              <w:rPr>
                <w:sz w:val="20"/>
                <w:szCs w:val="20"/>
                <w:color w:val="auto"/>
              </w:rPr>
            </w:pPr>
            <w:r>
              <w:rPr>
                <w:rFonts w:ascii="Arial" w:cs="Arial" w:eastAsia="Arial" w:hAnsi="Arial"/>
                <w:sz w:val="16"/>
                <w:szCs w:val="16"/>
                <w:color w:val="auto"/>
              </w:rPr>
              <w:t>35,741</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6"/>
              </w:rPr>
              <w:t>Real Estate</w:t>
            </w:r>
          </w:p>
        </w:tc>
        <w:tc>
          <w:tcPr>
            <w:tcW w:w="26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QLD</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2"/>
              </w:rPr>
              <w:t>spaces</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0" w:type="dxa"/>
            <w:vAlign w:val="bottom"/>
          </w:tcPr>
          <w:p>
            <w:pPr>
              <w:ind w:left="100"/>
              <w:spacing w:after="0" w:line="171" w:lineRule="exact"/>
              <w:rPr>
                <w:sz w:val="20"/>
                <w:szCs w:val="20"/>
                <w:color w:val="auto"/>
              </w:rPr>
            </w:pPr>
            <w:r>
              <w:rPr>
                <w:rFonts w:ascii="Arial" w:cs="Arial" w:eastAsia="Arial" w:hAnsi="Arial"/>
                <w:sz w:val="16"/>
                <w:szCs w:val="16"/>
                <w:color w:val="auto"/>
                <w:w w:val="89"/>
              </w:rPr>
              <w:t>2.</w:t>
            </w:r>
          </w:p>
        </w:tc>
        <w:tc>
          <w:tcPr>
            <w:tcW w:w="1540" w:type="dxa"/>
            <w:vAlign w:val="bottom"/>
            <w:gridSpan w:val="5"/>
          </w:tcPr>
          <w:p>
            <w:pPr>
              <w:ind w:left="20"/>
              <w:spacing w:after="0" w:line="171" w:lineRule="exact"/>
              <w:rPr>
                <w:sz w:val="20"/>
                <w:szCs w:val="20"/>
                <w:color w:val="auto"/>
              </w:rPr>
            </w:pPr>
            <w:r>
              <w:rPr>
                <w:rFonts w:ascii="Arial" w:cs="Arial" w:eastAsia="Arial" w:hAnsi="Arial"/>
                <w:sz w:val="16"/>
                <w:szCs w:val="16"/>
                <w:color w:val="auto"/>
              </w:rPr>
              <w:t>Newmarket Office</w:t>
            </w:r>
          </w:p>
        </w:tc>
        <w:tc>
          <w:tcPr>
            <w:tcW w:w="80" w:type="dxa"/>
            <w:vAlign w:val="bottom"/>
          </w:tcPr>
          <w:p>
            <w:pPr>
              <w:spacing w:after="0"/>
              <w:rPr>
                <w:sz w:val="14"/>
                <w:szCs w:val="14"/>
                <w:color w:val="auto"/>
              </w:rPr>
            </w:pPr>
          </w:p>
        </w:tc>
        <w:tc>
          <w:tcPr>
            <w:tcW w:w="1440" w:type="dxa"/>
            <w:vAlign w:val="bottom"/>
          </w:tcPr>
          <w:p>
            <w:pPr>
              <w:jc w:val="center"/>
              <w:spacing w:after="0" w:line="171" w:lineRule="exact"/>
              <w:rPr>
                <w:sz w:val="20"/>
                <w:szCs w:val="20"/>
                <w:color w:val="auto"/>
              </w:rPr>
            </w:pPr>
            <w:r>
              <w:rPr>
                <w:rFonts w:ascii="Arial" w:cs="Arial" w:eastAsia="Arial" w:hAnsi="Arial"/>
                <w:sz w:val="16"/>
                <w:szCs w:val="16"/>
                <w:color w:val="auto"/>
                <w:w w:val="89"/>
              </w:rPr>
              <w:t>21,000 / 1,000</w:t>
            </w:r>
          </w:p>
        </w:tc>
        <w:tc>
          <w:tcPr>
            <w:tcW w:w="20" w:type="dxa"/>
            <w:vAlign w:val="bottom"/>
          </w:tcPr>
          <w:p>
            <w:pPr>
              <w:spacing w:after="0"/>
              <w:rPr>
                <w:sz w:val="14"/>
                <w:szCs w:val="14"/>
                <w:color w:val="auto"/>
              </w:rPr>
            </w:pPr>
          </w:p>
        </w:tc>
        <w:tc>
          <w:tcPr>
            <w:tcW w:w="860" w:type="dxa"/>
            <w:vAlign w:val="bottom"/>
          </w:tcPr>
          <w:p>
            <w:pPr>
              <w:jc w:val="center"/>
              <w:spacing w:after="0" w:line="171" w:lineRule="exact"/>
              <w:rPr>
                <w:sz w:val="20"/>
                <w:szCs w:val="20"/>
                <w:color w:val="auto"/>
              </w:rPr>
            </w:pPr>
            <w:r>
              <w:rPr>
                <w:rFonts w:ascii="Arial" w:cs="Arial" w:eastAsia="Arial" w:hAnsi="Arial"/>
                <w:sz w:val="16"/>
                <w:szCs w:val="16"/>
                <w:color w:val="auto"/>
                <w:w w:val="92"/>
              </w:rPr>
              <w:t>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6"/>
                <w:szCs w:val="16"/>
                <w:color w:val="auto"/>
              </w:rPr>
              <w:t>4,899</w:t>
            </w:r>
          </w:p>
        </w:tc>
        <w:tc>
          <w:tcPr>
            <w:tcW w:w="100" w:type="dxa"/>
            <w:vAlign w:val="bottom"/>
          </w:tcPr>
          <w:p>
            <w:pPr>
              <w:spacing w:after="0"/>
              <w:rPr>
                <w:sz w:val="14"/>
                <w:szCs w:val="14"/>
                <w:color w:val="auto"/>
              </w:rPr>
            </w:pPr>
          </w:p>
        </w:tc>
        <w:tc>
          <w:tcPr>
            <w:tcW w:w="1480" w:type="dxa"/>
            <w:vAlign w:val="bottom"/>
          </w:tcPr>
          <w:p>
            <w:pPr>
              <w:jc w:val="center"/>
              <w:spacing w:after="0" w:line="171" w:lineRule="exact"/>
              <w:rPr>
                <w:sz w:val="20"/>
                <w:szCs w:val="20"/>
                <w:color w:val="auto"/>
              </w:rPr>
            </w:pPr>
            <w:r>
              <w:rPr>
                <w:rFonts w:ascii="Arial" w:cs="Arial" w:eastAsia="Arial" w:hAnsi="Arial"/>
                <w:sz w:val="16"/>
                <w:szCs w:val="16"/>
                <w:color w:val="auto"/>
                <w:w w:val="86"/>
              </w:rPr>
              <w:t>Real Estate</w:t>
            </w:r>
          </w:p>
        </w:tc>
        <w:tc>
          <w:tcPr>
            <w:tcW w:w="2600" w:type="dxa"/>
            <w:vAlign w:val="bottom"/>
            <w:gridSpan w:val="2"/>
          </w:tcPr>
          <w:p>
            <w:pPr>
              <w:ind w:left="80"/>
              <w:spacing w:after="0" w:line="171" w:lineRule="exact"/>
              <w:rPr>
                <w:sz w:val="20"/>
                <w:szCs w:val="20"/>
                <w:color w:val="auto"/>
              </w:rPr>
            </w:pPr>
            <w:r>
              <w:rPr>
                <w:rFonts w:ascii="Arial" w:cs="Arial" w:eastAsia="Arial" w:hAnsi="Arial"/>
                <w:sz w:val="16"/>
                <w:szCs w:val="16"/>
                <w:color w:val="auto"/>
              </w:rPr>
              <w:t>16-20 Edmondstone Street,</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Newmarket, QLD</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w w:val="89"/>
              </w:rPr>
              <w:t>4.</w:t>
            </w:r>
          </w:p>
        </w:tc>
        <w:tc>
          <w:tcPr>
            <w:tcW w:w="1620" w:type="dxa"/>
            <w:vAlign w:val="bottom"/>
            <w:gridSpan w:val="6"/>
            <w:shd w:val="clear" w:color="auto" w:fill="CCEEFF"/>
          </w:tcPr>
          <w:p>
            <w:pPr>
              <w:ind w:left="20"/>
              <w:spacing w:after="0" w:line="171" w:lineRule="exact"/>
              <w:rPr>
                <w:sz w:val="20"/>
                <w:szCs w:val="20"/>
                <w:color w:val="auto"/>
              </w:rPr>
            </w:pPr>
            <w:r>
              <w:rPr>
                <w:rFonts w:ascii="Arial" w:cs="Arial" w:eastAsia="Arial" w:hAnsi="Arial"/>
                <w:sz w:val="16"/>
                <w:szCs w:val="16"/>
                <w:color w:val="auto"/>
              </w:rPr>
              <w:t>Belmont</w:t>
            </w:r>
          </w:p>
        </w:tc>
        <w:tc>
          <w:tcPr>
            <w:tcW w:w="144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9"/>
              </w:rPr>
              <w:t>15,000 / 45,000</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2"/>
              </w:rPr>
              <w:t>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4,254</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4"/>
              </w:rPr>
              <w:t>Cinema Exhibition</w:t>
            </w:r>
          </w:p>
        </w:tc>
        <w:tc>
          <w:tcPr>
            <w:tcW w:w="2600" w:type="dxa"/>
            <w:vAlign w:val="bottom"/>
            <w:gridSpan w:val="2"/>
            <w:shd w:val="clear" w:color="auto" w:fill="CCEEFF"/>
          </w:tcPr>
          <w:p>
            <w:pPr>
              <w:ind w:left="80"/>
              <w:spacing w:after="0" w:line="171" w:lineRule="exact"/>
              <w:rPr>
                <w:sz w:val="20"/>
                <w:szCs w:val="20"/>
                <w:color w:val="auto"/>
              </w:rPr>
            </w:pPr>
            <w:r>
              <w:rPr>
                <w:rFonts w:ascii="Arial" w:cs="Arial" w:eastAsia="Arial" w:hAnsi="Arial"/>
                <w:sz w:val="16"/>
                <w:szCs w:val="16"/>
                <w:color w:val="auto"/>
                <w:w w:val="93"/>
              </w:rPr>
              <w:t>Knutsford Avenue and Fulham Street,</w:t>
            </w: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Belmont, WA</w:t>
            </w:r>
          </w:p>
        </w:tc>
        <w:tc>
          <w:tcPr>
            <w:tcW w:w="0" w:type="dxa"/>
            <w:vAlign w:val="bottom"/>
          </w:tcPr>
          <w:p>
            <w:pPr>
              <w:spacing w:after="0"/>
              <w:rPr>
                <w:sz w:val="1"/>
                <w:szCs w:val="1"/>
                <w:color w:val="auto"/>
              </w:rPr>
            </w:pPr>
          </w:p>
        </w:tc>
      </w:tr>
      <w:tr>
        <w:trPr>
          <w:trHeight w:val="173"/>
        </w:trPr>
        <w:tc>
          <w:tcPr>
            <w:tcW w:w="1860" w:type="dxa"/>
            <w:vAlign w:val="bottom"/>
            <w:gridSpan w:val="7"/>
          </w:tcPr>
          <w:p>
            <w:pPr>
              <w:ind w:left="100"/>
              <w:spacing w:after="0" w:line="173" w:lineRule="exact"/>
              <w:rPr>
                <w:sz w:val="20"/>
                <w:szCs w:val="20"/>
                <w:color w:val="auto"/>
              </w:rPr>
            </w:pPr>
            <w:r>
              <w:rPr>
                <w:rFonts w:ascii="Arial" w:cs="Arial" w:eastAsia="Arial" w:hAnsi="Arial"/>
                <w:sz w:val="16"/>
                <w:szCs w:val="16"/>
                <w:color w:val="auto"/>
              </w:rPr>
              <w:t>5. York Street Office</w:t>
            </w:r>
          </w:p>
        </w:tc>
        <w:tc>
          <w:tcPr>
            <w:tcW w:w="1440" w:type="dxa"/>
            <w:vAlign w:val="bottom"/>
          </w:tcPr>
          <w:p>
            <w:pPr>
              <w:jc w:val="center"/>
              <w:spacing w:after="0" w:line="173" w:lineRule="exact"/>
              <w:rPr>
                <w:sz w:val="20"/>
                <w:szCs w:val="20"/>
                <w:color w:val="auto"/>
              </w:rPr>
            </w:pPr>
            <w:r>
              <w:rPr>
                <w:rFonts w:ascii="Arial" w:cs="Arial" w:eastAsia="Arial" w:hAnsi="Arial"/>
                <w:sz w:val="16"/>
                <w:szCs w:val="16"/>
                <w:color w:val="auto"/>
                <w:w w:val="89"/>
              </w:rPr>
              <w:t>3,000 / 5,000</w:t>
            </w:r>
          </w:p>
        </w:tc>
        <w:tc>
          <w:tcPr>
            <w:tcW w:w="2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6"/>
                <w:szCs w:val="16"/>
                <w:color w:val="auto"/>
                <w:w w:val="92"/>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1,327</w:t>
            </w:r>
          </w:p>
        </w:tc>
        <w:tc>
          <w:tcPr>
            <w:tcW w:w="100" w:type="dxa"/>
            <w:vAlign w:val="bottom"/>
          </w:tcPr>
          <w:p>
            <w:pPr>
              <w:spacing w:after="0"/>
              <w:rPr>
                <w:sz w:val="15"/>
                <w:szCs w:val="15"/>
                <w:color w:val="auto"/>
              </w:rPr>
            </w:pPr>
          </w:p>
        </w:tc>
        <w:tc>
          <w:tcPr>
            <w:tcW w:w="1480" w:type="dxa"/>
            <w:vAlign w:val="bottom"/>
          </w:tcPr>
          <w:p>
            <w:pPr>
              <w:jc w:val="center"/>
              <w:spacing w:after="0" w:line="173" w:lineRule="exact"/>
              <w:rPr>
                <w:sz w:val="20"/>
                <w:szCs w:val="20"/>
                <w:color w:val="auto"/>
              </w:rPr>
            </w:pPr>
            <w:r>
              <w:rPr>
                <w:rFonts w:ascii="Arial" w:cs="Arial" w:eastAsia="Arial" w:hAnsi="Arial"/>
                <w:sz w:val="16"/>
                <w:szCs w:val="16"/>
                <w:color w:val="auto"/>
                <w:w w:val="86"/>
              </w:rPr>
              <w:t>Real Estate</w:t>
            </w:r>
          </w:p>
        </w:tc>
        <w:tc>
          <w:tcPr>
            <w:tcW w:w="2600" w:type="dxa"/>
            <w:vAlign w:val="bottom"/>
            <w:gridSpan w:val="2"/>
          </w:tcPr>
          <w:p>
            <w:pPr>
              <w:ind w:left="80"/>
              <w:spacing w:after="0" w:line="173" w:lineRule="exact"/>
              <w:rPr>
                <w:sz w:val="20"/>
                <w:szCs w:val="20"/>
                <w:color w:val="auto"/>
              </w:rPr>
            </w:pPr>
            <w:r>
              <w:rPr>
                <w:rFonts w:ascii="Arial" w:cs="Arial" w:eastAsia="Arial" w:hAnsi="Arial"/>
                <w:sz w:val="16"/>
                <w:szCs w:val="16"/>
                <w:color w:val="auto"/>
                <w:w w:val="93"/>
              </w:rPr>
              <w:t>98 York Street, South Melbourne, VIC</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w w:val="89"/>
              </w:rPr>
              <w:t>6.</w:t>
            </w:r>
          </w:p>
        </w:tc>
        <w:tc>
          <w:tcPr>
            <w:tcW w:w="1620" w:type="dxa"/>
            <w:vAlign w:val="bottom"/>
            <w:gridSpan w:val="6"/>
            <w:shd w:val="clear" w:color="auto" w:fill="CCEEFF"/>
          </w:tcPr>
          <w:p>
            <w:pPr>
              <w:ind w:left="20"/>
              <w:spacing w:after="0" w:line="171" w:lineRule="exact"/>
              <w:rPr>
                <w:sz w:val="20"/>
                <w:szCs w:val="20"/>
                <w:color w:val="auto"/>
              </w:rPr>
            </w:pPr>
            <w:r>
              <w:rPr>
                <w:rFonts w:ascii="Arial" w:cs="Arial" w:eastAsia="Arial" w:hAnsi="Arial"/>
                <w:sz w:val="16"/>
                <w:szCs w:val="16"/>
                <w:color w:val="auto"/>
              </w:rPr>
              <w:t>Bundaberg Cinema</w:t>
            </w:r>
          </w:p>
        </w:tc>
        <w:tc>
          <w:tcPr>
            <w:tcW w:w="144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9"/>
              </w:rPr>
              <w:t>0 / 14,000</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i w:val="1"/>
                <w:iCs w:val="1"/>
                <w:color w:val="auto"/>
                <w:w w:val="98"/>
              </w:rPr>
              <w:t>n/a</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4"/>
              </w:rPr>
              <w:t>Cinema Exhibition</w:t>
            </w:r>
          </w:p>
        </w:tc>
        <w:tc>
          <w:tcPr>
            <w:tcW w:w="2600" w:type="dxa"/>
            <w:vAlign w:val="bottom"/>
            <w:gridSpan w:val="2"/>
            <w:shd w:val="clear" w:color="auto" w:fill="CCEEFF"/>
          </w:tcPr>
          <w:p>
            <w:pPr>
              <w:ind w:left="80"/>
              <w:spacing w:after="0" w:line="171" w:lineRule="exact"/>
              <w:rPr>
                <w:sz w:val="20"/>
                <w:szCs w:val="20"/>
                <w:color w:val="auto"/>
              </w:rPr>
            </w:pPr>
            <w:r>
              <w:rPr>
                <w:rFonts w:ascii="Arial" w:cs="Arial" w:eastAsia="Arial" w:hAnsi="Arial"/>
                <w:sz w:val="16"/>
                <w:szCs w:val="16"/>
                <w:color w:val="auto"/>
              </w:rPr>
              <w:t>1 Johanna Boulevard, Bundaberg,</w:t>
            </w: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rPr>
              <w:t>QLD</w:t>
            </w:r>
          </w:p>
        </w:tc>
        <w:tc>
          <w:tcPr>
            <w:tcW w:w="0" w:type="dxa"/>
            <w:vAlign w:val="bottom"/>
          </w:tcPr>
          <w:p>
            <w:pPr>
              <w:spacing w:after="0"/>
              <w:rPr>
                <w:sz w:val="1"/>
                <w:szCs w:val="1"/>
                <w:color w:val="auto"/>
              </w:rPr>
            </w:pPr>
          </w:p>
        </w:tc>
      </w:tr>
      <w:tr>
        <w:trPr>
          <w:trHeight w:val="158"/>
        </w:trPr>
        <w:tc>
          <w:tcPr>
            <w:tcW w:w="1860" w:type="dxa"/>
            <w:vAlign w:val="bottom"/>
            <w:gridSpan w:val="7"/>
          </w:tcPr>
          <w:p>
            <w:pPr>
              <w:spacing w:after="0" w:line="158" w:lineRule="exact"/>
              <w:rPr>
                <w:sz w:val="20"/>
                <w:szCs w:val="20"/>
                <w:color w:val="auto"/>
              </w:rPr>
            </w:pPr>
            <w:r>
              <w:rPr>
                <w:rFonts w:ascii="Arial" w:cs="Arial" w:eastAsia="Arial" w:hAnsi="Arial"/>
                <w:sz w:val="16"/>
                <w:szCs w:val="16"/>
                <w:b w:val="1"/>
                <w:bCs w:val="1"/>
                <w:color w:val="auto"/>
              </w:rPr>
              <w:t>New Zealand</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0" w:type="dxa"/>
            <w:vAlign w:val="bottom"/>
            <w:tcBorders>
              <w:top w:val="single" w:sz="8" w:color="auto"/>
            </w:tcBorders>
            <w:shd w:val="clear" w:color="auto" w:fill="CCEEFF"/>
          </w:tcPr>
          <w:p>
            <w:pPr>
              <w:ind w:left="100"/>
              <w:spacing w:after="0" w:line="168" w:lineRule="exact"/>
              <w:rPr>
                <w:sz w:val="20"/>
                <w:szCs w:val="20"/>
                <w:color w:val="auto"/>
              </w:rPr>
            </w:pPr>
            <w:r>
              <w:rPr>
                <w:rFonts w:ascii="Arial" w:cs="Arial" w:eastAsia="Arial" w:hAnsi="Arial"/>
                <w:sz w:val="16"/>
                <w:szCs w:val="16"/>
                <w:color w:val="auto"/>
                <w:w w:val="89"/>
              </w:rPr>
              <w:t>1.</w:t>
            </w:r>
          </w:p>
        </w:tc>
        <w:tc>
          <w:tcPr>
            <w:tcW w:w="660" w:type="dxa"/>
            <w:vAlign w:val="bottom"/>
            <w:tcBorders>
              <w:top w:val="single" w:sz="8" w:color="auto"/>
            </w:tcBorders>
            <w:gridSpan w:val="3"/>
            <w:shd w:val="clear" w:color="auto" w:fill="CCEEFF"/>
          </w:tcPr>
          <w:p>
            <w:pPr>
              <w:ind w:left="20"/>
              <w:spacing w:after="0" w:line="168" w:lineRule="exact"/>
              <w:rPr>
                <w:sz w:val="20"/>
                <w:szCs w:val="20"/>
                <w:color w:val="auto"/>
              </w:rPr>
            </w:pPr>
            <w:r>
              <w:rPr>
                <w:rFonts w:ascii="Arial" w:cs="Arial" w:eastAsia="Arial" w:hAnsi="Arial"/>
                <w:sz w:val="16"/>
                <w:szCs w:val="16"/>
                <w:color w:val="auto"/>
              </w:rPr>
              <w:t>Dunedin</w:t>
            </w:r>
          </w:p>
        </w:tc>
        <w:tc>
          <w:tcPr>
            <w:tcW w:w="960" w:type="dxa"/>
            <w:vAlign w:val="bottom"/>
            <w:tcBorders>
              <w:top w:val="single" w:sz="8" w:color="CCEEFF"/>
            </w:tcBorders>
            <w:gridSpan w:val="3"/>
            <w:shd w:val="clear" w:color="auto" w:fill="CCEEFF"/>
          </w:tcPr>
          <w:p>
            <w:pPr>
              <w:spacing w:after="0" w:line="168" w:lineRule="exact"/>
              <w:rPr>
                <w:sz w:val="20"/>
                <w:szCs w:val="20"/>
                <w:color w:val="auto"/>
              </w:rPr>
            </w:pPr>
            <w:r>
              <w:rPr>
                <w:rFonts w:ascii="Arial" w:cs="Arial" w:eastAsia="Arial" w:hAnsi="Arial"/>
                <w:sz w:val="16"/>
                <w:szCs w:val="16"/>
                <w:color w:val="auto"/>
              </w:rPr>
              <w:t>Cinema</w:t>
            </w:r>
          </w:p>
        </w:tc>
        <w:tc>
          <w:tcPr>
            <w:tcW w:w="144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0 / 25,000</w:t>
            </w: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i w:val="1"/>
                <w:iCs w:val="1"/>
                <w:color w:val="auto"/>
                <w:w w:val="98"/>
              </w:rPr>
              <w:t>n/a</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4,246</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4"/>
              </w:rPr>
              <w:t>Cinema Exhibition</w:t>
            </w:r>
          </w:p>
        </w:tc>
        <w:tc>
          <w:tcPr>
            <w:tcW w:w="2600" w:type="dxa"/>
            <w:vAlign w:val="bottom"/>
            <w:tcBorders>
              <w:top w:val="single" w:sz="8" w:color="CCEEFF"/>
            </w:tcBorders>
            <w:gridSpan w:val="2"/>
            <w:shd w:val="clear" w:color="auto" w:fill="CCEEFF"/>
          </w:tcPr>
          <w:p>
            <w:pPr>
              <w:ind w:left="80"/>
              <w:spacing w:after="0" w:line="168" w:lineRule="exact"/>
              <w:rPr>
                <w:sz w:val="20"/>
                <w:szCs w:val="20"/>
                <w:color w:val="auto"/>
              </w:rPr>
            </w:pPr>
            <w:r>
              <w:rPr>
                <w:rFonts w:ascii="Arial" w:cs="Arial" w:eastAsia="Arial" w:hAnsi="Arial"/>
                <w:sz w:val="16"/>
                <w:szCs w:val="16"/>
                <w:color w:val="auto"/>
              </w:rPr>
              <w:t>33 The Octagon, Dunedin</w:t>
            </w:r>
          </w:p>
        </w:tc>
        <w:tc>
          <w:tcPr>
            <w:tcW w:w="0" w:type="dxa"/>
            <w:vAlign w:val="bottom"/>
          </w:tcPr>
          <w:p>
            <w:pPr>
              <w:spacing w:after="0"/>
              <w:rPr>
                <w:sz w:val="1"/>
                <w:szCs w:val="1"/>
                <w:color w:val="auto"/>
              </w:rPr>
            </w:pPr>
          </w:p>
        </w:tc>
      </w:tr>
      <w:tr>
        <w:trPr>
          <w:trHeight w:val="173"/>
        </w:trPr>
        <w:tc>
          <w:tcPr>
            <w:tcW w:w="240" w:type="dxa"/>
            <w:vAlign w:val="bottom"/>
          </w:tcPr>
          <w:p>
            <w:pPr>
              <w:ind w:left="100"/>
              <w:spacing w:after="0" w:line="173" w:lineRule="exact"/>
              <w:rPr>
                <w:sz w:val="20"/>
                <w:szCs w:val="20"/>
                <w:color w:val="auto"/>
              </w:rPr>
            </w:pPr>
            <w:r>
              <w:rPr>
                <w:rFonts w:ascii="Arial" w:cs="Arial" w:eastAsia="Arial" w:hAnsi="Arial"/>
                <w:sz w:val="16"/>
                <w:szCs w:val="16"/>
                <w:color w:val="auto"/>
                <w:w w:val="89"/>
              </w:rPr>
              <w:t>2.</w:t>
            </w:r>
          </w:p>
        </w:tc>
        <w:tc>
          <w:tcPr>
            <w:tcW w:w="1620" w:type="dxa"/>
            <w:vAlign w:val="bottom"/>
            <w:gridSpan w:val="6"/>
          </w:tcPr>
          <w:p>
            <w:pPr>
              <w:ind w:left="20"/>
              <w:spacing w:after="0" w:line="173" w:lineRule="exact"/>
              <w:rPr>
                <w:sz w:val="20"/>
                <w:szCs w:val="20"/>
                <w:color w:val="auto"/>
              </w:rPr>
            </w:pPr>
            <w:r>
              <w:rPr>
                <w:rFonts w:ascii="Arial" w:cs="Arial" w:eastAsia="Arial" w:hAnsi="Arial"/>
                <w:sz w:val="16"/>
                <w:szCs w:val="16"/>
                <w:color w:val="auto"/>
              </w:rPr>
              <w:t>Napier Cinema</w:t>
            </w:r>
          </w:p>
        </w:tc>
        <w:tc>
          <w:tcPr>
            <w:tcW w:w="1440" w:type="dxa"/>
            <w:vAlign w:val="bottom"/>
          </w:tcPr>
          <w:p>
            <w:pPr>
              <w:jc w:val="center"/>
              <w:spacing w:after="0" w:line="173" w:lineRule="exact"/>
              <w:rPr>
                <w:sz w:val="20"/>
                <w:szCs w:val="20"/>
                <w:color w:val="auto"/>
              </w:rPr>
            </w:pPr>
            <w:r>
              <w:rPr>
                <w:rFonts w:ascii="Arial" w:cs="Arial" w:eastAsia="Arial" w:hAnsi="Arial"/>
                <w:sz w:val="16"/>
                <w:szCs w:val="16"/>
                <w:color w:val="auto"/>
                <w:w w:val="89"/>
              </w:rPr>
              <w:t>8,000 / 18,000</w:t>
            </w:r>
          </w:p>
        </w:tc>
        <w:tc>
          <w:tcPr>
            <w:tcW w:w="2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6"/>
                <w:szCs w:val="16"/>
                <w:color w:val="auto"/>
                <w:w w:val="92"/>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1,277</w:t>
            </w:r>
          </w:p>
        </w:tc>
        <w:tc>
          <w:tcPr>
            <w:tcW w:w="100" w:type="dxa"/>
            <w:vAlign w:val="bottom"/>
          </w:tcPr>
          <w:p>
            <w:pPr>
              <w:spacing w:after="0"/>
              <w:rPr>
                <w:sz w:val="15"/>
                <w:szCs w:val="15"/>
                <w:color w:val="auto"/>
              </w:rPr>
            </w:pPr>
          </w:p>
        </w:tc>
        <w:tc>
          <w:tcPr>
            <w:tcW w:w="1480" w:type="dxa"/>
            <w:vAlign w:val="bottom"/>
          </w:tcPr>
          <w:p>
            <w:pPr>
              <w:jc w:val="center"/>
              <w:spacing w:after="0" w:line="173" w:lineRule="exact"/>
              <w:rPr>
                <w:sz w:val="20"/>
                <w:szCs w:val="20"/>
                <w:color w:val="auto"/>
              </w:rPr>
            </w:pPr>
            <w:r>
              <w:rPr>
                <w:rFonts w:ascii="Arial" w:cs="Arial" w:eastAsia="Arial" w:hAnsi="Arial"/>
                <w:sz w:val="16"/>
                <w:szCs w:val="16"/>
                <w:color w:val="auto"/>
                <w:w w:val="94"/>
              </w:rPr>
              <w:t>Cinema Exhibition</w:t>
            </w:r>
          </w:p>
        </w:tc>
        <w:tc>
          <w:tcPr>
            <w:tcW w:w="2600" w:type="dxa"/>
            <w:vAlign w:val="bottom"/>
            <w:gridSpan w:val="2"/>
          </w:tcPr>
          <w:p>
            <w:pPr>
              <w:ind w:left="80"/>
              <w:spacing w:after="0" w:line="173" w:lineRule="exact"/>
              <w:rPr>
                <w:sz w:val="20"/>
                <w:szCs w:val="20"/>
                <w:color w:val="auto"/>
              </w:rPr>
            </w:pPr>
            <w:r>
              <w:rPr>
                <w:rFonts w:ascii="Arial" w:cs="Arial" w:eastAsia="Arial" w:hAnsi="Arial"/>
                <w:sz w:val="16"/>
                <w:szCs w:val="16"/>
                <w:color w:val="auto"/>
              </w:rPr>
              <w:t>154 Station Street, Napier</w:t>
            </w:r>
          </w:p>
        </w:tc>
        <w:tc>
          <w:tcPr>
            <w:tcW w:w="0" w:type="dxa"/>
            <w:vAlign w:val="bottom"/>
          </w:tcPr>
          <w:p>
            <w:pPr>
              <w:spacing w:after="0"/>
              <w:rPr>
                <w:sz w:val="1"/>
                <w:szCs w:val="1"/>
                <w:color w:val="auto"/>
              </w:rPr>
            </w:pPr>
          </w:p>
        </w:tc>
      </w:tr>
      <w:tr>
        <w:trPr>
          <w:trHeight w:val="193"/>
        </w:trPr>
        <w:tc>
          <w:tcPr>
            <w:tcW w:w="240" w:type="dxa"/>
            <w:vAlign w:val="bottom"/>
            <w:tcBorders>
              <w:bottom w:val="single" w:sz="8" w:color="CCEEFF"/>
            </w:tcBorders>
            <w:shd w:val="clear" w:color="auto" w:fill="CCEEFF"/>
          </w:tcPr>
          <w:p>
            <w:pPr>
              <w:ind w:left="100"/>
              <w:spacing w:after="0" w:line="173" w:lineRule="exact"/>
              <w:rPr>
                <w:sz w:val="20"/>
                <w:szCs w:val="20"/>
                <w:color w:val="auto"/>
              </w:rPr>
            </w:pPr>
            <w:r>
              <w:rPr>
                <w:rFonts w:ascii="Arial" w:cs="Arial" w:eastAsia="Arial" w:hAnsi="Arial"/>
                <w:sz w:val="16"/>
                <w:szCs w:val="16"/>
                <w:color w:val="auto"/>
                <w:w w:val="89"/>
              </w:rPr>
              <w:t>3.</w:t>
            </w:r>
          </w:p>
        </w:tc>
        <w:tc>
          <w:tcPr>
            <w:tcW w:w="1620" w:type="dxa"/>
            <w:vAlign w:val="bottom"/>
            <w:tcBorders>
              <w:bottom w:val="single" w:sz="8" w:color="CCEEFF"/>
            </w:tcBorders>
            <w:gridSpan w:val="6"/>
            <w:shd w:val="clear" w:color="auto" w:fill="CCEEFF"/>
          </w:tcPr>
          <w:p>
            <w:pPr>
              <w:ind w:left="20"/>
              <w:spacing w:after="0" w:line="173" w:lineRule="exact"/>
              <w:rPr>
                <w:sz w:val="20"/>
                <w:szCs w:val="20"/>
                <w:color w:val="auto"/>
              </w:rPr>
            </w:pPr>
            <w:r>
              <w:rPr>
                <w:rFonts w:ascii="Arial" w:cs="Arial" w:eastAsia="Arial" w:hAnsi="Arial"/>
                <w:sz w:val="16"/>
                <w:szCs w:val="16"/>
                <w:color w:val="auto"/>
              </w:rPr>
              <w:t>Rotorua Cinema</w:t>
            </w:r>
          </w:p>
        </w:tc>
        <w:tc>
          <w:tcPr>
            <w:tcW w:w="1440" w:type="dxa"/>
            <w:vAlign w:val="bottom"/>
            <w:tcBorders>
              <w:bottom w:val="single" w:sz="8" w:color="CCEEFF"/>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0 / 19,000</w:t>
            </w:r>
          </w:p>
        </w:tc>
        <w:tc>
          <w:tcPr>
            <w:tcW w:w="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line="173" w:lineRule="exact"/>
              <w:rPr>
                <w:sz w:val="20"/>
                <w:szCs w:val="20"/>
                <w:color w:val="auto"/>
              </w:rPr>
            </w:pPr>
            <w:r>
              <w:rPr>
                <w:rFonts w:ascii="Arial" w:cs="Arial" w:eastAsia="Arial" w:hAnsi="Arial"/>
                <w:sz w:val="16"/>
                <w:szCs w:val="16"/>
                <w:i w:val="1"/>
                <w:iCs w:val="1"/>
                <w:color w:val="auto"/>
                <w:w w:val="98"/>
              </w:rPr>
              <w:t>n/a</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94"/>
              </w:rPr>
              <w:t>Cinema Exhibition</w:t>
            </w:r>
          </w:p>
        </w:tc>
        <w:tc>
          <w:tcPr>
            <w:tcW w:w="2600" w:type="dxa"/>
            <w:vAlign w:val="bottom"/>
            <w:tcBorders>
              <w:bottom w:val="single" w:sz="8" w:color="CCEEFF"/>
            </w:tcBorders>
            <w:gridSpan w:val="2"/>
            <w:shd w:val="clear" w:color="auto" w:fill="CCEEFF"/>
          </w:tcPr>
          <w:p>
            <w:pPr>
              <w:ind w:left="80"/>
              <w:spacing w:after="0" w:line="173" w:lineRule="exact"/>
              <w:rPr>
                <w:sz w:val="20"/>
                <w:szCs w:val="20"/>
                <w:color w:val="auto"/>
              </w:rPr>
            </w:pPr>
            <w:r>
              <w:rPr>
                <w:rFonts w:ascii="Arial" w:cs="Arial" w:eastAsia="Arial" w:hAnsi="Arial"/>
                <w:sz w:val="16"/>
                <w:szCs w:val="16"/>
                <w:color w:val="auto"/>
              </w:rPr>
              <w:t>1281 Eruera Street, Rotorua</w:t>
            </w:r>
          </w:p>
        </w:tc>
        <w:tc>
          <w:tcPr>
            <w:tcW w:w="0" w:type="dxa"/>
            <w:vAlign w:val="bottom"/>
          </w:tcPr>
          <w:p>
            <w:pPr>
              <w:spacing w:after="0"/>
              <w:rPr>
                <w:sz w:val="1"/>
                <w:szCs w:val="1"/>
                <w:color w:val="auto"/>
              </w:rPr>
            </w:pPr>
          </w:p>
        </w:tc>
      </w:tr>
      <w:tr>
        <w:trPr>
          <w:trHeight w:val="157"/>
        </w:trPr>
        <w:tc>
          <w:tcPr>
            <w:tcW w:w="5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7"/>
              </w:rPr>
              <w:t>TOTAL</w:t>
            </w:r>
          </w:p>
        </w:tc>
        <w:tc>
          <w:tcPr>
            <w:tcW w:w="36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81"/>
              </w:rPr>
              <w:t>(4)</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spacing w:after="0" w:line="157" w:lineRule="exact"/>
              <w:rPr>
                <w:sz w:val="20"/>
                <w:szCs w:val="20"/>
                <w:color w:val="auto"/>
              </w:rPr>
            </w:pPr>
            <w:r>
              <w:rPr>
                <w:rFonts w:ascii="Arial" w:cs="Arial" w:eastAsia="Arial" w:hAnsi="Arial"/>
                <w:sz w:val="16"/>
                <w:szCs w:val="16"/>
                <w:b w:val="1"/>
                <w:bCs w:val="1"/>
                <w:color w:val="auto"/>
              </w:rPr>
              <w:t>174,652</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5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720" w:right="80" w:hanging="366"/>
        <w:spacing w:after="0" w:line="225"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Rental square footage refers to the amount of potential area available to be rented to third parties. A number of our real estate holdings include entertainment and office components rented to one or more of our subsidiaries at fair market rent. The rental area to such subsidiaries is noted under the entertainment square footage.</w:t>
      </w:r>
    </w:p>
    <w:p>
      <w:pPr>
        <w:ind w:left="720" w:hanging="366"/>
        <w:spacing w:after="0" w:line="225"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percentage of available rental square footage currently leased or licensed to third parties.</w:t>
      </w:r>
    </w:p>
    <w:p>
      <w:pPr>
        <w:ind w:left="720" w:right="520" w:hanging="366"/>
        <w:spacing w:after="0" w:line="225"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Refers to the net carrying value of the land and buildings of the property presented as “Operating Property” in our Consolidated Balance Sheet as of December 31, 2025 (net of any impairments recorded).</w:t>
      </w:r>
    </w:p>
    <w:p>
      <w:pPr>
        <w:ind w:left="720" w:right="160" w:hanging="366"/>
        <w:spacing w:after="0" w:line="227"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ENTERTAINMENT PROPERTIES</w:t>
      </w:r>
    </w:p>
    <w:p>
      <w:pPr>
        <w:spacing w:after="0" w:line="212" w:lineRule="exact"/>
        <w:rPr>
          <w:sz w:val="20"/>
          <w:szCs w:val="20"/>
          <w:color w:val="auto"/>
        </w:rPr>
      </w:pPr>
    </w:p>
    <w:p>
      <w:pPr>
        <w:ind w:right="160"/>
        <w:spacing w:after="0" w:line="227" w:lineRule="auto"/>
        <w:rPr>
          <w:sz w:val="20"/>
          <w:szCs w:val="20"/>
          <w:color w:val="auto"/>
        </w:rPr>
      </w:pPr>
      <w:r>
        <w:rPr>
          <w:rFonts w:ascii="Arial" w:cs="Arial" w:eastAsia="Arial" w:hAnsi="Arial"/>
          <w:sz w:val="20"/>
          <w:szCs w:val="20"/>
          <w:color w:val="auto"/>
        </w:rPr>
        <w:t>As of December 31, 2025, we leased approximately 2,085,000 square feet of completed cinema space in the United States, Australia, and New Zealand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Range</w:t>
            </w:r>
          </w:p>
        </w:tc>
      </w:tr>
      <w:tr>
        <w:trPr>
          <w:trHeight w:val="173"/>
        </w:trPr>
        <w:tc>
          <w:tcPr>
            <w:tcW w:w="5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0"/>
              </w:rPr>
              <w:t>of Remaining</w:t>
            </w:r>
          </w:p>
        </w:tc>
      </w:tr>
      <w:tr>
        <w:trPr>
          <w:trHeight w:val="173"/>
        </w:trPr>
        <w:tc>
          <w:tcPr>
            <w:tcW w:w="5980" w:type="dxa"/>
            <w:vAlign w:val="bottom"/>
          </w:tcPr>
          <w:p>
            <w:pPr>
              <w:spacing w:after="0"/>
              <w:rPr>
                <w:sz w:val="15"/>
                <w:szCs w:val="15"/>
                <w:color w:val="auto"/>
              </w:rPr>
            </w:pPr>
          </w:p>
        </w:tc>
        <w:tc>
          <w:tcPr>
            <w:tcW w:w="1780" w:type="dxa"/>
            <w:vAlign w:val="bottom"/>
            <w:gridSpan w:val="2"/>
          </w:tcPr>
          <w:p>
            <w:pPr>
              <w:jc w:val="center"/>
              <w:ind w:right="160"/>
              <w:spacing w:after="0" w:line="173" w:lineRule="exact"/>
              <w:rPr>
                <w:sz w:val="20"/>
                <w:szCs w:val="20"/>
                <w:color w:val="auto"/>
              </w:rPr>
            </w:pPr>
            <w:r>
              <w:rPr>
                <w:rFonts w:ascii="Arial" w:cs="Arial" w:eastAsia="Arial" w:hAnsi="Arial"/>
                <w:sz w:val="16"/>
                <w:szCs w:val="16"/>
                <w:b w:val="1"/>
                <w:bCs w:val="1"/>
                <w:color w:val="auto"/>
                <w:w w:val="88"/>
              </w:rPr>
              <w:t>Aggregate</w:t>
            </w:r>
          </w:p>
        </w:tc>
        <w:tc>
          <w:tcPr>
            <w:tcW w:w="1640" w:type="dxa"/>
            <w:vAlign w:val="bottom"/>
          </w:tcPr>
          <w:p>
            <w:pPr>
              <w:ind w:left="360"/>
              <w:spacing w:after="0" w:line="173" w:lineRule="exact"/>
              <w:rPr>
                <w:sz w:val="20"/>
                <w:szCs w:val="20"/>
                <w:color w:val="auto"/>
              </w:rPr>
            </w:pPr>
            <w:r>
              <w:rPr>
                <w:rFonts w:ascii="Arial" w:cs="Arial" w:eastAsia="Arial" w:hAnsi="Arial"/>
                <w:sz w:val="16"/>
                <w:szCs w:val="16"/>
                <w:b w:val="1"/>
                <w:bCs w:val="1"/>
                <w:color w:val="auto"/>
              </w:rPr>
              <w:t>Lease Terms</w:t>
            </w:r>
          </w:p>
        </w:tc>
      </w:tr>
      <w:tr>
        <w:trPr>
          <w:trHeight w:val="185"/>
        </w:trPr>
        <w:tc>
          <w:tcPr>
            <w:tcW w:w="5980" w:type="dxa"/>
            <w:vAlign w:val="bottom"/>
          </w:tcPr>
          <w:p>
            <w:pPr>
              <w:spacing w:after="0"/>
              <w:rPr>
                <w:sz w:val="16"/>
                <w:szCs w:val="16"/>
                <w:color w:val="auto"/>
              </w:rPr>
            </w:pPr>
          </w:p>
        </w:tc>
        <w:tc>
          <w:tcPr>
            <w:tcW w:w="178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87"/>
              </w:rPr>
              <w:t>Square Footage</w:t>
            </w:r>
          </w:p>
        </w:tc>
        <w:tc>
          <w:tcPr>
            <w:tcW w:w="16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(including renewals)</w:t>
            </w:r>
          </w:p>
        </w:tc>
      </w:tr>
      <w:tr>
        <w:trPr>
          <w:trHeight w:val="216"/>
        </w:trPr>
        <w:tc>
          <w:tcPr>
            <w:tcW w:w="598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United States</w:t>
            </w:r>
          </w:p>
        </w:tc>
        <w:tc>
          <w:tcPr>
            <w:tcW w:w="1640" w:type="dxa"/>
            <w:vAlign w:val="bottom"/>
            <w:tcBorders>
              <w:top w:val="single" w:sz="8" w:color="auto"/>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780,000</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89"/>
              </w:rPr>
              <w:t>2026 – 2052</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20"/>
                <w:szCs w:val="20"/>
                <w:color w:val="auto"/>
              </w:rPr>
              <w:t>Australia</w:t>
            </w:r>
          </w:p>
        </w:tc>
        <w:tc>
          <w:tcPr>
            <w:tcW w:w="1640" w:type="dxa"/>
            <w:vAlign w:val="bottom"/>
          </w:tcPr>
          <w:p>
            <w:pPr>
              <w:jc w:val="center"/>
              <w:spacing w:after="0" w:line="216" w:lineRule="exact"/>
              <w:rPr>
                <w:sz w:val="20"/>
                <w:szCs w:val="20"/>
                <w:color w:val="auto"/>
              </w:rPr>
            </w:pPr>
            <w:r>
              <w:rPr>
                <w:rFonts w:ascii="Arial" w:cs="Arial" w:eastAsia="Arial" w:hAnsi="Arial"/>
                <w:sz w:val="20"/>
                <w:szCs w:val="20"/>
                <w:color w:val="auto"/>
                <w:w w:val="89"/>
              </w:rPr>
              <w:t>1,022,000</w:t>
            </w:r>
          </w:p>
        </w:tc>
        <w:tc>
          <w:tcPr>
            <w:tcW w:w="140" w:type="dxa"/>
            <w:vAlign w:val="bottom"/>
          </w:tcPr>
          <w:p>
            <w:pPr>
              <w:spacing w:after="0"/>
              <w:rPr>
                <w:sz w:val="18"/>
                <w:szCs w:val="18"/>
                <w:color w:val="auto"/>
              </w:rPr>
            </w:pPr>
          </w:p>
        </w:tc>
        <w:tc>
          <w:tcPr>
            <w:tcW w:w="1640" w:type="dxa"/>
            <w:vAlign w:val="bottom"/>
          </w:tcPr>
          <w:p>
            <w:pPr>
              <w:jc w:val="center"/>
              <w:spacing w:after="0" w:line="216" w:lineRule="exact"/>
              <w:rPr>
                <w:sz w:val="20"/>
                <w:szCs w:val="20"/>
                <w:color w:val="auto"/>
              </w:rPr>
            </w:pPr>
            <w:r>
              <w:rPr>
                <w:rFonts w:ascii="Arial" w:cs="Arial" w:eastAsia="Arial" w:hAnsi="Arial"/>
                <w:sz w:val="20"/>
                <w:szCs w:val="20"/>
                <w:color w:val="auto"/>
                <w:w w:val="89"/>
              </w:rPr>
              <w:t>2026 – 2066</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New Zealand</w:t>
            </w:r>
          </w:p>
        </w:tc>
        <w:tc>
          <w:tcPr>
            <w:tcW w:w="164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283,000</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9"/>
              </w:rPr>
              <w:t>2026 – 2051</w:t>
            </w:r>
          </w:p>
        </w:tc>
      </w:tr>
    </w:tbl>
    <w:p>
      <w:pPr>
        <w:spacing w:after="0" w:line="213" w:lineRule="exact"/>
        <w:rPr>
          <w:sz w:val="20"/>
          <w:szCs w:val="20"/>
          <w:color w:val="auto"/>
        </w:rPr>
      </w:pPr>
    </w:p>
    <w:p>
      <w:pPr>
        <w:jc w:val="both"/>
        <w:ind w:right="200"/>
        <w:spacing w:after="0" w:line="226" w:lineRule="auto"/>
        <w:rPr>
          <w:sz w:val="20"/>
          <w:szCs w:val="20"/>
          <w:color w:val="auto"/>
        </w:rPr>
      </w:pPr>
      <w:r>
        <w:rPr>
          <w:rFonts w:ascii="Arial" w:cs="Arial" w:eastAsia="Arial" w:hAnsi="Arial"/>
          <w:sz w:val="20"/>
          <w:szCs w:val="20"/>
          <w:color w:val="auto"/>
        </w:rPr>
        <w:t>In certain cases, we have long-term leases that we view more akin to real estate investments than cinema leases. As of 2025, we had approximately 90,000 square feet of space subject to such long-term leases, which are reported as part of our Cinema Exhibition segment, detailed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Square Feet of</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1"/>
              </w:rPr>
              <w:t>Improvements</w:t>
            </w:r>
          </w:p>
        </w:tc>
        <w:tc>
          <w:tcPr>
            <w:tcW w:w="16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center"/>
              <w:spacing w:after="0" w:line="202" w:lineRule="exact"/>
              <w:rPr>
                <w:sz w:val="20"/>
                <w:szCs w:val="20"/>
                <w:color w:val="auto"/>
              </w:rPr>
            </w:pPr>
            <w:r>
              <w:rPr>
                <w:rFonts w:ascii="Arial" w:cs="Arial" w:eastAsia="Arial" w:hAnsi="Arial"/>
                <w:sz w:val="14"/>
                <w:szCs w:val="14"/>
                <w:b w:val="1"/>
                <w:bCs w:val="1"/>
                <w:i w:val="1"/>
                <w:iCs w:val="1"/>
                <w:color w:val="auto"/>
                <w:w w:val="98"/>
              </w:rPr>
              <w:t>Net Book Value</w:t>
            </w:r>
            <w:r>
              <w:rPr>
                <w:rFonts w:ascii="Arial" w:cs="Arial" w:eastAsia="Arial" w:hAnsi="Arial"/>
                <w:sz w:val="23"/>
                <w:szCs w:val="23"/>
                <w:b w:val="1"/>
                <w:bCs w:val="1"/>
                <w:i w:val="1"/>
                <w:iCs w:val="1"/>
                <w:color w:val="auto"/>
                <w:w w:val="98"/>
                <w:vertAlign w:val="superscript"/>
              </w:rPr>
              <w:t>(3)</w:t>
            </w: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7"/>
              </w:rPr>
              <w:t>(rental/</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right="114"/>
              <w:spacing w:after="0"/>
              <w:rPr>
                <w:sz w:val="20"/>
                <w:szCs w:val="20"/>
                <w:color w:val="auto"/>
              </w:rPr>
            </w:pPr>
            <w:r>
              <w:rPr>
                <w:rFonts w:ascii="Arial" w:cs="Arial" w:eastAsia="Arial" w:hAnsi="Arial"/>
                <w:sz w:val="16"/>
                <w:szCs w:val="16"/>
                <w:i w:val="1"/>
                <w:iCs w:val="1"/>
                <w:color w:val="auto"/>
                <w:w w:val="95"/>
              </w:rPr>
              <w:t>(US Dollars in</w:t>
            </w:r>
          </w:p>
        </w:tc>
        <w:tc>
          <w:tcPr>
            <w:tcW w:w="0" w:type="dxa"/>
            <w:vAlign w:val="bottom"/>
          </w:tcPr>
          <w:p>
            <w:pPr>
              <w:spacing w:after="0"/>
              <w:rPr>
                <w:sz w:val="1"/>
                <w:szCs w:val="1"/>
                <w:color w:val="auto"/>
              </w:rPr>
            </w:pPr>
          </w:p>
        </w:tc>
      </w:tr>
      <w:tr>
        <w:trPr>
          <w:trHeight w:val="58"/>
        </w:trPr>
        <w:tc>
          <w:tcPr>
            <w:tcW w:w="4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vMerge w:val="restart"/>
          </w:tcPr>
          <w:p>
            <w:pPr>
              <w:jc w:val="center"/>
              <w:spacing w:after="0" w:line="232" w:lineRule="exact"/>
              <w:rPr>
                <w:sz w:val="20"/>
                <w:szCs w:val="20"/>
                <w:color w:val="auto"/>
              </w:rPr>
            </w:pPr>
            <w:r>
              <w:rPr>
                <w:rFonts w:ascii="Arial" w:cs="Arial" w:eastAsia="Arial" w:hAnsi="Arial"/>
                <w:sz w:val="15"/>
                <w:szCs w:val="15"/>
                <w:b w:val="1"/>
                <w:bCs w:val="1"/>
                <w:color w:val="auto"/>
                <w:w w:val="95"/>
              </w:rPr>
              <w:t>entertainment)</w:t>
            </w:r>
            <w:r>
              <w:rPr>
                <w:rFonts w:ascii="Arial" w:cs="Arial" w:eastAsia="Arial" w:hAnsi="Arial"/>
                <w:sz w:val="26"/>
                <w:szCs w:val="26"/>
                <w:b w:val="1"/>
                <w:bCs w:val="1"/>
                <w:color w:val="auto"/>
                <w:w w:val="95"/>
                <w:vertAlign w:val="superscript"/>
              </w:rPr>
              <w:t>(1)</w:t>
            </w:r>
          </w:p>
        </w:tc>
        <w:tc>
          <w:tcPr>
            <w:tcW w:w="160" w:type="dxa"/>
            <w:vAlign w:val="bottom"/>
          </w:tcPr>
          <w:p>
            <w:pPr>
              <w:spacing w:after="0"/>
              <w:rPr>
                <w:sz w:val="5"/>
                <w:szCs w:val="5"/>
                <w:color w:val="auto"/>
              </w:rPr>
            </w:pPr>
          </w:p>
        </w:tc>
        <w:tc>
          <w:tcPr>
            <w:tcW w:w="1260" w:type="dxa"/>
            <w:vAlign w:val="bottom"/>
            <w:vMerge w:val="restart"/>
          </w:tcPr>
          <w:p>
            <w:pPr>
              <w:jc w:val="center"/>
              <w:spacing w:after="0" w:line="232" w:lineRule="exact"/>
              <w:rPr>
                <w:sz w:val="20"/>
                <w:szCs w:val="20"/>
                <w:color w:val="auto"/>
              </w:rPr>
            </w:pPr>
            <w:r>
              <w:rPr>
                <w:rFonts w:ascii="Arial" w:cs="Arial" w:eastAsia="Arial" w:hAnsi="Arial"/>
                <w:sz w:val="15"/>
                <w:szCs w:val="15"/>
                <w:b w:val="1"/>
                <w:bCs w:val="1"/>
                <w:color w:val="auto"/>
                <w:w w:val="87"/>
              </w:rPr>
              <w:t>Leased</w:t>
            </w:r>
            <w:r>
              <w:rPr>
                <w:rFonts w:ascii="Arial" w:cs="Arial" w:eastAsia="Arial" w:hAnsi="Arial"/>
                <w:sz w:val="26"/>
                <w:szCs w:val="26"/>
                <w:b w:val="1"/>
                <w:bCs w:val="1"/>
                <w:color w:val="auto"/>
                <w:w w:val="87"/>
                <w:vertAlign w:val="superscript"/>
              </w:rPr>
              <w:t>(2)</w:t>
            </w: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92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Property</w:t>
            </w:r>
          </w:p>
        </w:tc>
        <w:tc>
          <w:tcPr>
            <w:tcW w:w="16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line="175" w:lineRule="exact"/>
              <w:rPr>
                <w:sz w:val="20"/>
                <w:szCs w:val="20"/>
                <w:color w:val="auto"/>
              </w:rPr>
            </w:pPr>
            <w:r>
              <w:rPr>
                <w:rFonts w:ascii="Arial" w:cs="Arial" w:eastAsia="Arial" w:hAnsi="Arial"/>
                <w:sz w:val="16"/>
                <w:szCs w:val="16"/>
                <w:i w:val="1"/>
                <w:iCs w:val="1"/>
                <w:color w:val="auto"/>
                <w:w w:val="88"/>
              </w:rPr>
              <w:t>thousands)</w:t>
            </w:r>
          </w:p>
        </w:tc>
        <w:tc>
          <w:tcPr>
            <w:tcW w:w="0" w:type="dxa"/>
            <w:vAlign w:val="bottom"/>
          </w:tcPr>
          <w:p>
            <w:pPr>
              <w:spacing w:after="0"/>
              <w:rPr>
                <w:sz w:val="1"/>
                <w:szCs w:val="1"/>
                <w:color w:val="auto"/>
              </w:rPr>
            </w:pPr>
          </w:p>
        </w:tc>
      </w:tr>
      <w:tr>
        <w:trPr>
          <w:trHeight w:val="194"/>
        </w:trPr>
        <w:tc>
          <w:tcPr>
            <w:tcW w:w="4920" w:type="dxa"/>
            <w:vAlign w:val="bottom"/>
          </w:tcPr>
          <w:p>
            <w:pPr>
              <w:spacing w:after="0" w:line="195" w:lineRule="exact"/>
              <w:rPr>
                <w:sz w:val="20"/>
                <w:szCs w:val="20"/>
                <w:color w:val="auto"/>
              </w:rPr>
            </w:pPr>
            <w:r>
              <w:rPr>
                <w:rFonts w:ascii="Arial" w:cs="Arial" w:eastAsia="Arial" w:hAnsi="Arial"/>
                <w:sz w:val="18"/>
                <w:szCs w:val="18"/>
                <w:b w:val="1"/>
                <w:bCs w:val="1"/>
                <w:color w:val="auto"/>
              </w:rPr>
              <w:t>In United States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rPr>
              <w:t>Manville</w:t>
            </w:r>
          </w:p>
        </w:tc>
        <w:tc>
          <w:tcPr>
            <w:tcW w:w="1600" w:type="dxa"/>
            <w:vAlign w:val="bottom"/>
            <w:gridSpan w:val="2"/>
            <w:shd w:val="clear" w:color="auto" w:fill="CCEEFF"/>
          </w:tcPr>
          <w:p>
            <w:pPr>
              <w:jc w:val="right"/>
              <w:ind w:right="281"/>
              <w:spacing w:after="0" w:line="195" w:lineRule="exact"/>
              <w:rPr>
                <w:sz w:val="20"/>
                <w:szCs w:val="20"/>
                <w:color w:val="auto"/>
              </w:rPr>
            </w:pPr>
            <w:r>
              <w:rPr>
                <w:rFonts w:ascii="Arial" w:cs="Arial" w:eastAsia="Arial" w:hAnsi="Arial"/>
                <w:sz w:val="18"/>
                <w:szCs w:val="18"/>
                <w:color w:val="auto"/>
              </w:rPr>
              <w:t>0 / 46,000</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i w:val="1"/>
                <w:iCs w:val="1"/>
                <w:color w:val="auto"/>
                <w:w w:val="95"/>
              </w:rPr>
              <w:t>n/a</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194"/>
        </w:trPr>
        <w:tc>
          <w:tcPr>
            <w:tcW w:w="4920" w:type="dxa"/>
            <w:vAlign w:val="bottom"/>
          </w:tcPr>
          <w:p>
            <w:pPr>
              <w:spacing w:after="0" w:line="195" w:lineRule="exact"/>
              <w:rPr>
                <w:sz w:val="20"/>
                <w:szCs w:val="20"/>
                <w:color w:val="auto"/>
              </w:rPr>
            </w:pPr>
            <w:r>
              <w:rPr>
                <w:rFonts w:ascii="Arial" w:cs="Arial" w:eastAsia="Arial" w:hAnsi="Arial"/>
                <w:sz w:val="18"/>
                <w:szCs w:val="18"/>
                <w:b w:val="1"/>
                <w:bCs w:val="1"/>
                <w:color w:val="auto"/>
              </w:rPr>
              <w:t>In Australia</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CCEEFF"/>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Waurn Ponds</w:t>
            </w:r>
          </w:p>
        </w:tc>
        <w:tc>
          <w:tcPr>
            <w:tcW w:w="1600" w:type="dxa"/>
            <w:vAlign w:val="bottom"/>
            <w:tcBorders>
              <w:bottom w:val="single" w:sz="8" w:color="CCEEFF"/>
            </w:tcBorders>
            <w:gridSpan w:val="2"/>
            <w:shd w:val="clear" w:color="auto" w:fill="CCEEFF"/>
          </w:tcPr>
          <w:p>
            <w:pPr>
              <w:jc w:val="right"/>
              <w:ind w:right="121"/>
              <w:spacing w:after="0" w:line="195" w:lineRule="exact"/>
              <w:rPr>
                <w:sz w:val="20"/>
                <w:szCs w:val="20"/>
                <w:color w:val="auto"/>
              </w:rPr>
            </w:pPr>
            <w:r>
              <w:rPr>
                <w:rFonts w:ascii="Arial" w:cs="Arial" w:eastAsia="Arial" w:hAnsi="Arial"/>
                <w:sz w:val="18"/>
                <w:szCs w:val="18"/>
                <w:color w:val="auto"/>
              </w:rPr>
              <w:t>6,000 / 38,000</w:t>
            </w:r>
          </w:p>
        </w:tc>
        <w:tc>
          <w:tcPr>
            <w:tcW w:w="1420" w:type="dxa"/>
            <w:vAlign w:val="bottom"/>
            <w:tcBorders>
              <w:bottom w:val="single" w:sz="8" w:color="CCEEFF"/>
            </w:tcBorders>
            <w:gridSpan w:val="2"/>
            <w:shd w:val="clear" w:color="auto" w:fill="CCEEFF"/>
          </w:tcPr>
          <w:p>
            <w:pPr>
              <w:jc w:val="center"/>
              <w:ind w:left="70"/>
              <w:spacing w:after="0" w:line="195" w:lineRule="exact"/>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184"/>
        </w:trPr>
        <w:tc>
          <w:tcPr>
            <w:tcW w:w="4920" w:type="dxa"/>
            <w:vAlign w:val="bottom"/>
          </w:tcPr>
          <w:p>
            <w:pPr>
              <w:spacing w:after="0" w:line="17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8"/>
                <w:szCs w:val="18"/>
                <w:b w:val="1"/>
                <w:bCs w:val="1"/>
                <w:color w:val="auto"/>
              </w:rPr>
              <w:t>16,204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3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51</w:t>
      </w:r>
    </w:p>
    <w:p>
      <w:pPr>
        <w:sectPr>
          <w:pgSz w:w="11900" w:h="16838" w:orient="portrait"/>
          <w:cols w:equalWidth="0" w:num="1">
            <w:col w:w="9400"/>
          </w:cols>
          <w:pgMar w:left="1260" w:top="1334" w:right="1246" w:bottom="0" w:gutter="0" w:footer="0" w:header="0"/>
          <w:type w:val="continuous"/>
        </w:sectPr>
      </w:pPr>
    </w:p>
    <w:bookmarkStart w:id="50" w:name="page51"/>
    <w:bookmarkEnd w:id="50"/>
    <w:p>
      <w:pPr>
        <w:ind w:left="540" w:hanging="366"/>
        <w:spacing w:after="0" w:line="225"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540" w:hanging="366"/>
        <w:spacing w:after="0" w:line="225"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percentage of rental square footage currently leased to third parties.</w:t>
      </w:r>
    </w:p>
    <w:p>
      <w:pPr>
        <w:ind w:left="540" w:right="20" w:hanging="366"/>
        <w:spacing w:after="0" w:line="227"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Refers to the net carrying value of the leasehold property presented as “Operating Property” in our Consolidated Balance Sheet as of December 31, 2025 (net of any impairments recorded).</w:t>
      </w:r>
    </w:p>
    <w:p>
      <w:pPr>
        <w:sectPr>
          <w:pgSz w:w="11900" w:h="16838" w:orient="portrait"/>
          <w:cols w:equalWidth="0" w:num="1">
            <w:col w:w="9040"/>
          </w:cols>
          <w:pgMar w:left="1440" w:top="1131"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51</w:t>
      </w:r>
    </w:p>
    <w:p>
      <w:pPr>
        <w:sectPr>
          <w:pgSz w:w="11900" w:h="16838" w:orient="portrait"/>
          <w:cols w:equalWidth="0" w:num="1">
            <w:col w:w="9040"/>
          </w:cols>
          <w:pgMar w:left="1440" w:top="1131" w:right="1426" w:bottom="0" w:gutter="0" w:footer="0" w:header="0"/>
          <w:type w:val="continuous"/>
        </w:sectPr>
      </w:pPr>
    </w:p>
    <w:bookmarkStart w:id="51" w:name="page52"/>
    <w:bookmarkEnd w:id="51"/>
    <w:p>
      <w:pPr>
        <w:jc w:val="center"/>
        <w:ind w:right="6"/>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026"/>
          </w:cols>
          <w:pgMar w:left="1440" w:top="1251" w:right="1440" w:bottom="0" w:gutter="0" w:footer="0" w:header="0"/>
          <w:type w:val="continuous"/>
        </w:sectPr>
      </w:pPr>
    </w:p>
    <w:bookmarkStart w:id="52" w:name="page53"/>
    <w:bookmarkEnd w:id="52"/>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ADMINISTRATIVE OFFICES</w:t>
      </w:r>
    </w:p>
    <w:p>
      <w:pPr>
        <w:spacing w:after="0" w:line="212"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In the United States, we occupy approximately 3,500 square feet at our Village East leasehold property in New York for administrative purposes and our principal executive offices.</w:t>
      </w:r>
    </w:p>
    <w:p>
      <w:pPr>
        <w:spacing w:after="0" w:line="213"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In Australia, we own an approximately 9,000 square foot office building in Melbourne, Australia, approximately 6,000 square feet of which serve as the administrative office for our Australian and New Zealand operations (the remainder being leased to an unrelated third party).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PROPERTY INTERESTS AND INVESTMENTS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the fee interests in various parcels related to our historic railroad operations, currently comprised of 201-acres principally in Pennsylvania. These are primarily vacant land. With the exception of certain properties located in Philadelphia (including the raised railroad bed near Center City, known as the Reading Viaduct), the properties are principally located in rural areas of Pennsylvania. These properties are unencumbered by any debt.</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3 – Legal Proceedings</w:t>
      </w:r>
    </w:p>
    <w:p>
      <w:pPr>
        <w:spacing w:after="0" w:line="212"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 xml:space="preserve">The information required under </w:t>
      </w:r>
      <w:r>
        <w:rPr>
          <w:rFonts w:ascii="Arial" w:cs="Arial" w:eastAsia="Arial" w:hAnsi="Arial"/>
          <w:sz w:val="18"/>
          <w:szCs w:val="18"/>
          <w:i w:val="1"/>
          <w:iCs w:val="1"/>
          <w:color w:val="auto"/>
        </w:rPr>
        <w:t>Part I, Item 3 – Legal Proceedings</w:t>
      </w:r>
      <w:r>
        <w:rPr>
          <w:rFonts w:ascii="Arial" w:cs="Arial" w:eastAsia="Arial" w:hAnsi="Arial"/>
          <w:sz w:val="18"/>
          <w:szCs w:val="18"/>
          <w:color w:val="auto"/>
        </w:rPr>
        <w:t xml:space="preserve"> is incorporated by reference to the information contained in </w:t>
      </w:r>
      <w:r>
        <w:rPr>
          <w:rFonts w:ascii="Arial" w:cs="Arial" w:eastAsia="Arial" w:hAnsi="Arial"/>
          <w:sz w:val="18"/>
          <w:szCs w:val="18"/>
          <w:i w:val="1"/>
          <w:iCs w:val="1"/>
          <w:color w:val="auto"/>
        </w:rPr>
        <w:t>Note 15 – Commitments and Contingencies</w:t>
      </w:r>
      <w:r>
        <w:rPr>
          <w:rFonts w:ascii="Arial" w:cs="Arial" w:eastAsia="Arial" w:hAnsi="Arial"/>
          <w:sz w:val="18"/>
          <w:szCs w:val="18"/>
          <w:color w:val="auto"/>
        </w:rPr>
        <w:t xml:space="preserve"> to the Consolidated Financial Statements included herein in </w:t>
      </w:r>
      <w:r>
        <w:rPr>
          <w:rFonts w:ascii="Arial" w:cs="Arial" w:eastAsia="Arial" w:hAnsi="Arial"/>
          <w:sz w:val="18"/>
          <w:szCs w:val="18"/>
          <w:i w:val="1"/>
          <w:iCs w:val="1"/>
          <w:color w:val="auto"/>
        </w:rPr>
        <w:t xml:space="preserve">Part II, Item 8 – Financial Statements and Supplementary Data </w:t>
      </w:r>
      <w:r>
        <w:rPr>
          <w:rFonts w:ascii="Arial" w:cs="Arial" w:eastAsia="Arial" w:hAnsi="Arial"/>
          <w:sz w:val="18"/>
          <w:szCs w:val="18"/>
          <w:color w:val="auto"/>
        </w:rPr>
        <w:t>on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4 –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PART II</w:t>
      </w:r>
    </w:p>
    <w:p>
      <w:pPr>
        <w:spacing w:after="0" w:line="296" w:lineRule="exact"/>
        <w:rPr>
          <w:sz w:val="20"/>
          <w:szCs w:val="20"/>
          <w:color w:val="auto"/>
        </w:rPr>
      </w:pPr>
    </w:p>
    <w:p>
      <w:pPr>
        <w:ind w:right="120"/>
        <w:spacing w:after="0" w:line="227" w:lineRule="auto"/>
        <w:rPr>
          <w:sz w:val="20"/>
          <w:szCs w:val="20"/>
          <w:color w:val="auto"/>
        </w:rPr>
      </w:pPr>
      <w:r>
        <w:rPr>
          <w:rFonts w:ascii="Arial" w:cs="Arial" w:eastAsia="Arial" w:hAnsi="Arial"/>
          <w:sz w:val="24"/>
          <w:szCs w:val="24"/>
          <w:b w:val="1"/>
          <w:bCs w:val="1"/>
          <w:u w:val="single" w:color="auto"/>
          <w:color w:val="auto"/>
        </w:rPr>
        <w:t>Item 5 – Market for Registrant’s Common Equity, Related Stockholder Matters and Issuer Purchases of Equity Securities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traded on the Nasdaq under the symbols RDI (Class A Stock) and RDIB (Class B Stock).</w:t>
      </w:r>
    </w:p>
    <w:p>
      <w:pPr>
        <w:spacing w:after="0" w:line="214"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As of March 30, 2026, the approximate number of common stockholders of record was 305 for Class A Stock and 44 for Class B Stock.</w:t>
      </w:r>
    </w:p>
    <w:p>
      <w:pPr>
        <w:spacing w:after="0" w:line="213"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We have never declared a cash dividend on either class of our common stock, and we have no current plans to declare a dividend.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line graph compares the cumulative total stockholder return on RDI’s Class A Stock for the five-year period ended December 31, 2025,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2025. The graph assumes that $100 was invested on December 31, 2020, in our Class A Stock, the Nasdaq composite and the noted peer groups, and assumes reinvestment of any dividends. The stock price performance on the following graph is not necessarily indicative of future stock price performance.</w:t>
      </w:r>
    </w:p>
    <w:p>
      <w:pPr>
        <w:spacing w:after="0" w:line="201"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0"/>
          </w:cols>
          <w:pgMar w:left="1260" w:top="1440" w:right="1246" w:bottom="0" w:gutter="0" w:footer="0" w:header="0"/>
          <w:type w:val="continuous"/>
        </w:sectPr>
      </w:pPr>
    </w:p>
    <w:bookmarkStart w:id="53" w:name="page54"/>
    <w:bookmarkEnd w:id="53"/>
    <w:p>
      <w:pPr>
        <w:jc w:val="both"/>
        <w:spacing w:after="0" w:line="226" w:lineRule="auto"/>
        <w:rPr>
          <w:sz w:val="20"/>
          <w:szCs w:val="20"/>
          <w:color w:val="auto"/>
        </w:rPr>
      </w:pPr>
      <w:r>
        <w:rPr>
          <w:rFonts w:ascii="Arial" w:cs="Arial" w:eastAsia="Arial" w:hAnsi="Arial"/>
          <w:sz w:val="20"/>
          <w:szCs w:val="20"/>
          <w:color w:val="auto"/>
        </w:rPr>
        <w:t>Reading underperformed in 2025 compared to the market due to the aftermath of COVID-19 pandemic and Hollywood strikes, delayed releases of movies, weaker movie slate and/or movies going straight to streaming or PVOD, and a weakening foreign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137795</wp:posOffset>
            </wp:positionV>
            <wp:extent cx="5581015" cy="5019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5581015" cy="501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REPURCHASE OF EQUITY SECURITIES BY THE ISSUER AND AFFILIATED PURCHASERS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6 – [RESERVED]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34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320"/>
          </w:cols>
          <w:pgMar w:left="1260" w:top="1347" w:right="1326" w:bottom="0" w:gutter="0" w:footer="0" w:header="0"/>
          <w:type w:val="continuous"/>
        </w:sectPr>
      </w:pPr>
    </w:p>
    <w:bookmarkStart w:id="54" w:name="page55"/>
    <w:bookmarkEnd w:id="54"/>
    <w:p>
      <w:pPr>
        <w:ind w:right="240"/>
        <w:spacing w:after="0" w:line="227" w:lineRule="auto"/>
        <w:rPr>
          <w:sz w:val="20"/>
          <w:szCs w:val="20"/>
          <w:color w:val="auto"/>
        </w:rPr>
      </w:pPr>
      <w:r>
        <w:rPr>
          <w:rFonts w:ascii="Arial" w:cs="Arial" w:eastAsia="Arial" w:hAnsi="Arial"/>
          <w:sz w:val="22"/>
          <w:szCs w:val="22"/>
          <w:b w:val="1"/>
          <w:bCs w:val="1"/>
          <w:u w:val="single" w:color="auto"/>
          <w:color w:val="auto"/>
        </w:rPr>
        <w:t>Item 7 – Management’s Discussion and Analysis of Financial Condition and Results of Operations (“MD&amp;A”)</w:t>
      </w:r>
    </w:p>
    <w:p>
      <w:pPr>
        <w:spacing w:after="0" w:line="253" w:lineRule="exact"/>
        <w:rPr>
          <w:sz w:val="20"/>
          <w:szCs w:val="20"/>
          <w:color w:val="auto"/>
        </w:rPr>
      </w:pPr>
    </w:p>
    <w:p>
      <w:pPr>
        <w:jc w:val="both"/>
        <w:ind w:left="100" w:right="180"/>
        <w:spacing w:after="0"/>
        <w:rPr>
          <w:sz w:val="20"/>
          <w:szCs w:val="20"/>
          <w:color w:val="auto"/>
        </w:rPr>
      </w:pPr>
      <w:r>
        <w:rPr>
          <w:rFonts w:ascii="Arial" w:cs="Arial" w:eastAsia="Arial" w:hAnsi="Arial"/>
          <w:sz w:val="14"/>
          <w:szCs w:val="14"/>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2025 Form 10-K.</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gridSpan w:val="11"/>
          </w:tcPr>
          <w:p>
            <w:pPr>
              <w:spacing w:after="0"/>
              <w:rPr>
                <w:sz w:val="20"/>
                <w:szCs w:val="20"/>
                <w:color w:val="auto"/>
              </w:rPr>
            </w:pPr>
            <w:r>
              <w:rPr>
                <w:rFonts w:ascii="Arial" w:cs="Arial" w:eastAsia="Arial" w:hAnsi="Arial"/>
                <w:sz w:val="16"/>
                <w:szCs w:val="16"/>
                <w:b w:val="1"/>
                <w:bCs w:val="1"/>
                <w:color w:val="auto"/>
              </w:rPr>
              <w:t>INDEX</w:t>
            </w:r>
          </w:p>
        </w:tc>
        <w:tc>
          <w:tcPr>
            <w:tcW w:w="20" w:type="dxa"/>
            <w:vAlign w:val="bottom"/>
          </w:tcPr>
          <w:p>
            <w:pPr>
              <w:spacing w:after="0"/>
              <w:rPr>
                <w:sz w:val="16"/>
                <w:szCs w:val="16"/>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20"/>
                <w:szCs w:val="20"/>
                <w:color w:val="0000FF"/>
              </w:rPr>
              <w:t>Our</w:t>
            </w:r>
          </w:p>
        </w:tc>
        <w:tc>
          <w:tcPr>
            <w:tcW w:w="8340" w:type="dxa"/>
            <w:vAlign w:val="bottom"/>
            <w:tcBorders>
              <w:top w:val="single" w:sz="8" w:color="CCEEFF"/>
            </w:tcBorders>
            <w:gridSpan w:val="9"/>
            <w:shd w:val="clear" w:color="auto" w:fill="CCEEFF"/>
          </w:tcPr>
          <w:p>
            <w:pPr>
              <w:spacing w:after="0" w:line="192" w:lineRule="exact"/>
              <w:rPr>
                <w:sz w:val="20"/>
                <w:szCs w:val="20"/>
                <w:color w:val="auto"/>
              </w:rPr>
            </w:pPr>
            <w:r>
              <w:rPr>
                <w:rFonts w:ascii="Arial" w:cs="Arial" w:eastAsia="Arial" w:hAnsi="Arial"/>
                <w:sz w:val="20"/>
                <w:szCs w:val="20"/>
                <w:color w:val="0000FF"/>
              </w:rPr>
              <w:t>Business</w:t>
            </w:r>
          </w:p>
        </w:tc>
        <w:tc>
          <w:tcPr>
            <w:tcW w:w="20" w:type="dxa"/>
            <w:vAlign w:val="bottom"/>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20"/>
                <w:szCs w:val="20"/>
                <w:color w:val="auto"/>
                <w:w w:val="89"/>
              </w:rPr>
              <w:t>32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tcPr>
          <w:p>
            <w:pPr>
              <w:spacing w:after="0" w:line="196" w:lineRule="exact"/>
              <w:rPr>
                <w:sz w:val="20"/>
                <w:szCs w:val="20"/>
                <w:color w:val="auto"/>
              </w:rPr>
            </w:pPr>
            <w:r>
              <w:rPr>
                <w:rFonts w:ascii="Arial" w:cs="Arial" w:eastAsia="Arial" w:hAnsi="Arial"/>
                <w:sz w:val="20"/>
                <w:szCs w:val="20"/>
                <w:color w:val="0000FF"/>
              </w:rPr>
              <w:t>Results of Operations</w:t>
            </w:r>
          </w:p>
        </w:tc>
        <w:tc>
          <w:tcPr>
            <w:tcW w:w="20" w:type="dxa"/>
            <w:vAlign w:val="bottom"/>
            <w:vMerge w:val="continue"/>
          </w:tcPr>
          <w:p>
            <w:pPr>
              <w:spacing w:after="0"/>
              <w:rPr>
                <w:sz w:val="17"/>
                <w:szCs w:val="17"/>
                <w:color w:val="auto"/>
              </w:rPr>
            </w:pPr>
          </w:p>
        </w:tc>
        <w:tc>
          <w:tcPr>
            <w:tcW w:w="40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shd w:val="clear" w:color="auto" w:fill="CCEEFF"/>
          </w:tcPr>
          <w:p>
            <w:pPr>
              <w:spacing w:after="0" w:line="196" w:lineRule="exact"/>
              <w:rPr>
                <w:sz w:val="20"/>
                <w:szCs w:val="20"/>
                <w:color w:val="auto"/>
              </w:rPr>
            </w:pPr>
            <w:r>
              <w:rPr>
                <w:rFonts w:ascii="Arial" w:cs="Arial" w:eastAsia="Arial" w:hAnsi="Arial"/>
                <w:sz w:val="20"/>
                <w:szCs w:val="20"/>
                <w:color w:val="0000FF"/>
              </w:rPr>
              <w:t>Business Segment Results – 2025 vs. 2024</w:t>
            </w:r>
          </w:p>
        </w:tc>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tcPr>
          <w:p>
            <w:pPr>
              <w:spacing w:after="0" w:line="196" w:lineRule="exact"/>
              <w:rPr>
                <w:sz w:val="20"/>
                <w:szCs w:val="20"/>
                <w:color w:val="auto"/>
              </w:rPr>
            </w:pPr>
            <w:r>
              <w:rPr>
                <w:rFonts w:ascii="Arial" w:cs="Arial" w:eastAsia="Arial" w:hAnsi="Arial"/>
                <w:sz w:val="20"/>
                <w:szCs w:val="20"/>
                <w:color w:val="0000FF"/>
              </w:rPr>
              <w:t>Non-Segment Results – 2025 vs. 202</w:t>
            </w:r>
            <w:r>
              <w:rPr>
                <w:rFonts w:ascii="Arial" w:cs="Arial" w:eastAsia="Arial" w:hAnsi="Arial"/>
                <w:sz w:val="20"/>
                <w:szCs w:val="20"/>
                <w:color w:val="000000"/>
              </w:rPr>
              <w:t>4</w:t>
            </w:r>
          </w:p>
        </w:tc>
        <w:tc>
          <w:tcPr>
            <w:tcW w:w="20" w:type="dxa"/>
            <w:vAlign w:val="bottom"/>
            <w:vMerge w:val="continue"/>
          </w:tcPr>
          <w:p>
            <w:pPr>
              <w:spacing w:after="0"/>
              <w:rPr>
                <w:sz w:val="17"/>
                <w:szCs w:val="17"/>
                <w:color w:val="auto"/>
              </w:rPr>
            </w:pPr>
          </w:p>
        </w:tc>
        <w:tc>
          <w:tcPr>
            <w:tcW w:w="40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shd w:val="clear" w:color="auto" w:fill="CCEEFF"/>
          </w:tcPr>
          <w:p>
            <w:pPr>
              <w:spacing w:after="0" w:line="196" w:lineRule="exact"/>
              <w:rPr>
                <w:sz w:val="20"/>
                <w:szCs w:val="20"/>
                <w:color w:val="auto"/>
              </w:rPr>
            </w:pPr>
            <w:r>
              <w:rPr>
                <w:rFonts w:ascii="Arial" w:cs="Arial" w:eastAsia="Arial" w:hAnsi="Arial"/>
                <w:sz w:val="20"/>
                <w:szCs w:val="20"/>
                <w:color w:val="0000FF"/>
              </w:rPr>
              <w:t>Liquidity and Capital Resources</w:t>
            </w:r>
          </w:p>
        </w:tc>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tcPr>
          <w:p>
            <w:pPr>
              <w:spacing w:after="0" w:line="196" w:lineRule="exact"/>
              <w:rPr>
                <w:sz w:val="20"/>
                <w:szCs w:val="20"/>
                <w:color w:val="auto"/>
              </w:rPr>
            </w:pPr>
            <w:r>
              <w:rPr>
                <w:rFonts w:ascii="Arial" w:cs="Arial" w:eastAsia="Arial" w:hAnsi="Arial"/>
                <w:sz w:val="20"/>
                <w:szCs w:val="20"/>
                <w:color w:val="0000FF"/>
              </w:rPr>
              <w:t>Contractual Obligations, Commitments and Contingencies</w:t>
            </w:r>
          </w:p>
        </w:tc>
        <w:tc>
          <w:tcPr>
            <w:tcW w:w="20" w:type="dxa"/>
            <w:vAlign w:val="bottom"/>
            <w:vMerge w:val="continue"/>
          </w:tcPr>
          <w:p>
            <w:pPr>
              <w:spacing w:after="0"/>
              <w:rPr>
                <w:sz w:val="17"/>
                <w:szCs w:val="17"/>
                <w:color w:val="auto"/>
              </w:rPr>
            </w:pPr>
          </w:p>
        </w:tc>
        <w:tc>
          <w:tcPr>
            <w:tcW w:w="40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shd w:val="clear" w:color="auto" w:fill="CCEEFF"/>
          </w:tcPr>
          <w:p>
            <w:pPr>
              <w:spacing w:after="0" w:line="196" w:lineRule="exact"/>
              <w:rPr>
                <w:sz w:val="20"/>
                <w:szCs w:val="20"/>
                <w:color w:val="auto"/>
              </w:rPr>
            </w:pPr>
            <w:r>
              <w:rPr>
                <w:rFonts w:ascii="Arial" w:cs="Arial" w:eastAsia="Arial" w:hAnsi="Arial"/>
                <w:sz w:val="20"/>
                <w:szCs w:val="20"/>
                <w:color w:val="0000FF"/>
              </w:rPr>
              <w:t>Financial Risk Management</w:t>
            </w:r>
          </w:p>
        </w:tc>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1"/>
          </w:tcPr>
          <w:p>
            <w:pPr>
              <w:spacing w:after="0" w:line="196" w:lineRule="exact"/>
              <w:rPr>
                <w:sz w:val="20"/>
                <w:szCs w:val="20"/>
                <w:color w:val="auto"/>
              </w:rPr>
            </w:pPr>
            <w:r>
              <w:rPr>
                <w:rFonts w:ascii="Arial" w:cs="Arial" w:eastAsia="Arial" w:hAnsi="Arial"/>
                <w:sz w:val="20"/>
                <w:szCs w:val="20"/>
                <w:color w:val="0000FF"/>
              </w:rPr>
              <w:t>Critical Accounting Estimates</w:t>
            </w:r>
          </w:p>
        </w:tc>
        <w:tc>
          <w:tcPr>
            <w:tcW w:w="20" w:type="dxa"/>
            <w:vAlign w:val="bottom"/>
            <w:vMerge w:val="continue"/>
          </w:tcPr>
          <w:p>
            <w:pPr>
              <w:spacing w:after="0"/>
              <w:rPr>
                <w:sz w:val="17"/>
                <w:szCs w:val="17"/>
                <w:color w:val="auto"/>
              </w:rPr>
            </w:pPr>
          </w:p>
        </w:tc>
        <w:tc>
          <w:tcPr>
            <w:tcW w:w="40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have we been, and where we are going.</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We have discussed in some detail under the heading “Business Description” in Part I of this Report our views as to the historic impact of the COVID-19 pandemic, the 2023 Hollywood strikes, spiking and then sustained increases in interest rates and certain labor laws on our business and, while not repeating that disclosure here, we incorporate that more detailed discussion by reference to provide context and background. Our discussion below is intended to be more summary in nature.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Rising Interest Rates and Operating Costs</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Between March 2022 and July 2023, the Federal Reserve raised the Federal Funds interest rates from 0.25% to 5.5%, the fastest hike in U.S. modern history. This significantly increased our interest expenses, further straining our liquidity. Although subsequent rate cuts from late 2024 through end of 2025 provided some relief, the higher interest rates continue to impact our business. Our average cost of borrowing has increased from 4.0% in 2019 to 7.8% in 2025.</w:t>
      </w:r>
    </w:p>
    <w:p>
      <w:pPr>
        <w:spacing w:after="0" w:line="213" w:lineRule="exact"/>
        <w:rPr>
          <w:sz w:val="20"/>
          <w:szCs w:val="20"/>
          <w:color w:val="auto"/>
        </w:rPr>
      </w:pPr>
    </w:p>
    <w:p>
      <w:pPr>
        <w:jc w:val="both"/>
        <w:ind w:right="60"/>
        <w:spacing w:after="0" w:line="225" w:lineRule="auto"/>
        <w:rPr>
          <w:sz w:val="20"/>
          <w:szCs w:val="20"/>
          <w:color w:val="auto"/>
        </w:rPr>
      </w:pPr>
      <w:r>
        <w:rPr>
          <w:rFonts w:ascii="Arial" w:cs="Arial" w:eastAsia="Arial" w:hAnsi="Arial"/>
          <w:sz w:val="20"/>
          <w:szCs w:val="20"/>
          <w:color w:val="auto"/>
        </w:rPr>
        <w:t>Legislative changes following the pandemic have contributed to higher labor related costs, including wages, leave requirements, and compliance obligations, while increases in the cost of goods, utilities, and insurance have added further expense pressure. In response, we continue to emphasize operating efficiency and make measured adjustments to ticket and food and beverage pricing intended to manage costs without materially affecting customer demand. In addition, an increasingly active litigation environment in the United States, including class action claims related to internet privacy and business practice regulations, has created additional pressure on earnings and cash flow, with certain claims asserting interpretations of these laws that we believe extend beyond their original legislative intent.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Strategic Measures and Financial Adjustments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To mitigate financial pressures and enhance liquidity, we have undertaken several initiatives:</w:t>
      </w:r>
    </w:p>
    <w:p>
      <w:pPr>
        <w:spacing w:after="0" w:line="212" w:lineRule="exact"/>
        <w:rPr>
          <w:sz w:val="20"/>
          <w:szCs w:val="20"/>
          <w:color w:val="auto"/>
        </w:rPr>
      </w:pPr>
    </w:p>
    <w:p>
      <w:pPr>
        <w:jc w:val="both"/>
        <w:ind w:left="720" w:right="60" w:hanging="366"/>
        <w:spacing w:after="0" w:line="225"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Asset Monetization: Between 2021 and 2025, we sold nine real estate assets, generating $197.5 million in net proceeds. These proceeds helped pay down $99.9 million in debt, and fund $32.4 million capital improvements, while also helping us sustain our operations.</w:t>
      </w:r>
    </w:p>
    <w:p>
      <w:pPr>
        <w:spacing w:after="0" w:line="1" w:lineRule="exact"/>
        <w:rPr>
          <w:rFonts w:ascii="Arial" w:cs="Arial" w:eastAsia="Arial" w:hAnsi="Arial"/>
          <w:sz w:val="20"/>
          <w:szCs w:val="20"/>
          <w:color w:val="auto"/>
        </w:rPr>
      </w:pPr>
    </w:p>
    <w:p>
      <w:pPr>
        <w:jc w:val="both"/>
        <w:ind w:left="720" w:right="60" w:hanging="366"/>
        <w:spacing w:after="0" w:line="225"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Cinema Closures and Lease Adjustments: We have closed underperforming cinemas, where possible, including one in the U.S. in 2022, four in 2023 (three in the U.S. and one in New Zealand), one in the U.S. in 2024 and two in 2025 (one in the U.S. and one in New Zealand). Additionally, we have renegotiated leases to reduce occupancy costs, received deferrals or abatements, or shift to percentage-based rent agreements.</w:t>
      </w:r>
    </w:p>
    <w:p>
      <w:pPr>
        <w:spacing w:after="0" w:line="1" w:lineRule="exact"/>
        <w:rPr>
          <w:rFonts w:ascii="Arial" w:cs="Arial" w:eastAsia="Arial" w:hAnsi="Arial"/>
          <w:sz w:val="20"/>
          <w:szCs w:val="20"/>
          <w:color w:val="auto"/>
        </w:rPr>
      </w:pPr>
    </w:p>
    <w:p>
      <w:pPr>
        <w:jc w:val="both"/>
        <w:ind w:left="720" w:right="60" w:hanging="366"/>
        <w:spacing w:after="0" w:line="225"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Administrative Cost-Saving Measures: We streamlined operations by selling our administrative office in Culver City, California, freeing up $1.3 million in cash and saving an estimated $2 million in operating costs for year 2025. We have reduced our non-segment administrative expense from $15.5 million in 2024 to $14.4 million in 2025.</w:t>
      </w:r>
    </w:p>
    <w:p>
      <w:pPr>
        <w:spacing w:after="0" w:line="1" w:lineRule="exact"/>
        <w:rPr>
          <w:rFonts w:ascii="Arial" w:cs="Arial" w:eastAsia="Arial" w:hAnsi="Arial"/>
          <w:sz w:val="20"/>
          <w:szCs w:val="20"/>
          <w:color w:val="auto"/>
        </w:rPr>
      </w:pPr>
    </w:p>
    <w:p>
      <w:pPr>
        <w:jc w:val="both"/>
        <w:ind w:left="720" w:right="40" w:hanging="366"/>
        <w:spacing w:after="0" w:line="226"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Food &amp; Beverage Innovations: In 2024, our global cinema divisions achieved record-high F&amp;B sales per capita. In 2025, beer and wine are available in all U.S. locations, with liquor licenses secured at most locations in Australia and New Zealand. The introduction of mobile ticketing and F&amp;B apps has assisted in generating additional revenue while reducing staffing needs.</w:t>
      </w:r>
    </w:p>
    <w:p>
      <w:pPr>
        <w:sectPr>
          <w:pgSz w:w="11900" w:h="16838" w:orient="portrait"/>
          <w:cols w:equalWidth="0" w:num="1">
            <w:col w:w="9400"/>
          </w:cols>
          <w:pgMar w:left="1260" w:top="134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400"/>
          </w:cols>
          <w:pgMar w:left="1260" w:top="1346" w:right="1246" w:bottom="0" w:gutter="0" w:footer="0" w:header="0"/>
          <w:type w:val="continuous"/>
        </w:sectPr>
      </w:pPr>
    </w:p>
    <w:bookmarkStart w:id="55" w:name="page56"/>
    <w:bookmarkEnd w:id="55"/>
    <w:p>
      <w:pPr>
        <w:jc w:val="both"/>
        <w:ind w:left="540" w:hanging="366"/>
        <w:spacing w:after="0" w:line="225" w:lineRule="auto"/>
        <w:tabs>
          <w:tab w:leader="none" w:pos="5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Deferrals of Capital Improvements: We have generally constrained capital investment in the refurbishment of our cinemas and have only built out 5 cinemas over the past 5 years. This has, however, likely adversely impacted revenues at some of our cinemas to the extent that they are in competition with more recently updated or renovated offerings.</w:t>
      </w:r>
    </w:p>
    <w:p>
      <w:pPr>
        <w:spacing w:after="0" w:line="1" w:lineRule="exact"/>
        <w:rPr>
          <w:rFonts w:ascii="Arial" w:cs="Arial" w:eastAsia="Arial" w:hAnsi="Arial"/>
          <w:sz w:val="20"/>
          <w:szCs w:val="20"/>
          <w:color w:val="auto"/>
        </w:rPr>
      </w:pPr>
    </w:p>
    <w:p>
      <w:pPr>
        <w:ind w:left="4420" w:hanging="124"/>
        <w:spacing w:after="0" w:line="229" w:lineRule="auto"/>
        <w:tabs>
          <w:tab w:leader="none" w:pos="44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160"/>
          </w:cols>
          <w:pgMar w:left="1440" w:top="1131" w:right="1306" w:bottom="0" w:gutter="0" w:footer="0" w:header="0"/>
          <w:type w:val="continuous"/>
        </w:sectPr>
      </w:pPr>
    </w:p>
    <w:bookmarkStart w:id="56" w:name="page57"/>
    <w:bookmarkEnd w:id="56"/>
    <w:p>
      <w:pPr>
        <w:spacing w:after="0" w:line="10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6.</w:t>
      </w:r>
    </w:p>
    <w:p>
      <w:pPr>
        <w:ind w:left="720"/>
        <w:spacing w:after="0" w:line="238" w:lineRule="auto"/>
        <w:rPr>
          <w:sz w:val="20"/>
          <w:szCs w:val="20"/>
          <w:color w:val="auto"/>
        </w:rPr>
      </w:pPr>
      <w:r>
        <w:rPr>
          <w:rFonts w:ascii="Arial" w:cs="Arial" w:eastAsia="Arial" w:hAnsi="Arial"/>
          <w:sz w:val="19"/>
          <w:szCs w:val="19"/>
          <w:color w:val="auto"/>
        </w:rPr>
        <w:t>Ongoing Liquidity Management: We continue to evaluate our assets for any future monetization that may be needed, focusing on non-core real estate assets that would not, without material capital commitments, in our view offer long-term growth opportunities for our stockholders, and we will continue to close underperforming cinemas at the end of their lease terms or by negotiation. While the exact proceeds from future asset dispositions and the extent that they will ultimately be needed are uncertain, we remain confident in our ability to meet liquidity needs for 2026 and 2027.</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Real Estate Operations</w:t>
      </w:r>
    </w:p>
    <w:p>
      <w:pPr>
        <w:spacing w:after="0" w:line="21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Since the beginning of the pandemic, we have monetized many of our Australia and New Zealand real estate assets using the net proceeds principally to paydown debt and to support our operations and materially reduced our real estate activities. As of the end of 2025, we had two ETCs (Newmarket Village and The Belmont Common) and two office buildings in Australia. These properties are, in essence, fully leased. While one of our properties in New Zealand has a third-party tenant occupying a portion of the property (the remainder being occupied by a Reading Cinema), the remaining two properties have Reading Cinemas as their sole tenants. With regard to the United States, the first floor, second floor and cellar of our architectural award winning 44 Union Square redevelopment project in New York City, are leased on a long term basis to Petco Health and Wellness Company (“Petco”). We believe that the commercial leasing market in the Midtown South sub-market has improved, and we have retained Newmark Retail LLC, as our exclusive leasing broker for that property. Our other improved NYC fee properties are tenanted by us.</w:t>
      </w:r>
    </w:p>
    <w:p>
      <w:pPr>
        <w:spacing w:after="0" w:line="219"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Historically we have held our Cinemas 1,2,3 property for long term redevelopment. However, in light of market conditions and our need to pay down debt and enhance our liquidity, in Q1 2026, we have retained Newmark &amp; Company Real Estate, Inc. to monetize that property. In the fourth quarter of 2025, we acquired as a part of a larger transaction the 25% interest in that property that we did not previously own. We have also listed for sale our Newbury Yard rail yard property in Williamsport, Pennsylvania. We are not currently involved in any real estate development activity other than the lease up of those portions of our 44 Union Square property not leased by Petco and our work with respect to the Reading Viaduct and associated properties.</w:t>
      </w:r>
    </w:p>
    <w:p>
      <w:pPr>
        <w:spacing w:after="0" w:line="218"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In those cases where we have sold real estate in Australia and New Zealand that is improved (in whole or in part) with a cinema, we have retained a lease of that cinema, the terms of which have varied from site to site. Those cinemas all continue to operate profitably.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Looking Ahead</w:t>
      </w:r>
    </w:p>
    <w:p>
      <w:pPr>
        <w:spacing w:after="0" w:line="21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We anticipate continued improvements in cinema operations as audience levels continue to rebound. Looking ahead, anticipated releases such as </w:t>
      </w:r>
      <w:r>
        <w:rPr>
          <w:rFonts w:ascii="Arial" w:cs="Arial" w:eastAsia="Arial" w:hAnsi="Arial"/>
          <w:sz w:val="18"/>
          <w:szCs w:val="18"/>
          <w:i w:val="1"/>
          <w:iCs w:val="1"/>
          <w:color w:val="auto"/>
        </w:rPr>
        <w:t>The Super Mario Galaxy Movie</w:t>
      </w:r>
      <w:r>
        <w:rPr>
          <w:rFonts w:ascii="Arial" w:cs="Arial" w:eastAsia="Arial" w:hAnsi="Arial"/>
          <w:sz w:val="18"/>
          <w:szCs w:val="18"/>
          <w:color w:val="auto"/>
        </w:rPr>
        <w:t xml:space="preserve">, </w:t>
      </w:r>
      <w:r>
        <w:rPr>
          <w:rFonts w:ascii="Arial" w:cs="Arial" w:eastAsia="Arial" w:hAnsi="Arial"/>
          <w:sz w:val="18"/>
          <w:szCs w:val="18"/>
          <w:i w:val="1"/>
          <w:iCs w:val="1"/>
          <w:color w:val="auto"/>
        </w:rPr>
        <w:t>Michael</w:t>
      </w:r>
      <w:r>
        <w:rPr>
          <w:rFonts w:ascii="Arial" w:cs="Arial" w:eastAsia="Arial" w:hAnsi="Arial"/>
          <w:sz w:val="18"/>
          <w:szCs w:val="18"/>
          <w:color w:val="auto"/>
        </w:rPr>
        <w:t xml:space="preserve">, </w:t>
      </w:r>
      <w:r>
        <w:rPr>
          <w:rFonts w:ascii="Arial" w:cs="Arial" w:eastAsia="Arial" w:hAnsi="Arial"/>
          <w:sz w:val="18"/>
          <w:szCs w:val="18"/>
          <w:i w:val="1"/>
          <w:iCs w:val="1"/>
          <w:color w:val="auto"/>
        </w:rPr>
        <w:t>The Devil Wears Prada 2</w:t>
      </w:r>
      <w:r>
        <w:rPr>
          <w:rFonts w:ascii="Arial" w:cs="Arial" w:eastAsia="Arial" w:hAnsi="Arial"/>
          <w:sz w:val="18"/>
          <w:szCs w:val="18"/>
          <w:color w:val="auto"/>
        </w:rPr>
        <w:t xml:space="preserve">, </w:t>
      </w:r>
      <w:r>
        <w:rPr>
          <w:rFonts w:ascii="Arial" w:cs="Arial" w:eastAsia="Arial" w:hAnsi="Arial"/>
          <w:sz w:val="18"/>
          <w:szCs w:val="18"/>
          <w:i w:val="1"/>
          <w:iCs w:val="1"/>
          <w:color w:val="auto"/>
        </w:rPr>
        <w:t>Toy Story 5</w:t>
      </w:r>
      <w:r>
        <w:rPr>
          <w:rFonts w:ascii="Arial" w:cs="Arial" w:eastAsia="Arial" w:hAnsi="Arial"/>
          <w:sz w:val="18"/>
          <w:szCs w:val="18"/>
          <w:color w:val="auto"/>
        </w:rPr>
        <w:t xml:space="preserve">, </w:t>
      </w:r>
      <w:r>
        <w:rPr>
          <w:rFonts w:ascii="Arial" w:cs="Arial" w:eastAsia="Arial" w:hAnsi="Arial"/>
          <w:sz w:val="18"/>
          <w:szCs w:val="18"/>
          <w:i w:val="1"/>
          <w:iCs w:val="1"/>
          <w:color w:val="auto"/>
        </w:rPr>
        <w:t>Supergirl</w:t>
      </w:r>
      <w:r>
        <w:rPr>
          <w:rFonts w:ascii="Arial" w:cs="Arial" w:eastAsia="Arial" w:hAnsi="Arial"/>
          <w:sz w:val="18"/>
          <w:szCs w:val="18"/>
          <w:color w:val="auto"/>
        </w:rPr>
        <w:t>,</w:t>
      </w:r>
      <w:r>
        <w:rPr>
          <w:rFonts w:ascii="Arial" w:cs="Arial" w:eastAsia="Arial" w:hAnsi="Arial"/>
          <w:sz w:val="18"/>
          <w:szCs w:val="18"/>
          <w:i w:val="1"/>
          <w:iCs w:val="1"/>
          <w:color w:val="auto"/>
        </w:rPr>
        <w:t xml:space="preserve"> Minions 3</w:t>
      </w:r>
      <w:r>
        <w:rPr>
          <w:rFonts w:ascii="Arial" w:cs="Arial" w:eastAsia="Arial" w:hAnsi="Arial"/>
          <w:sz w:val="18"/>
          <w:szCs w:val="18"/>
          <w:color w:val="auto"/>
        </w:rPr>
        <w:t>,</w:t>
      </w:r>
      <w:r>
        <w:rPr>
          <w:rFonts w:ascii="Arial" w:cs="Arial" w:eastAsia="Arial" w:hAnsi="Arial"/>
          <w:sz w:val="18"/>
          <w:szCs w:val="18"/>
          <w:i w:val="1"/>
          <w:iCs w:val="1"/>
          <w:color w:val="auto"/>
        </w:rPr>
        <w:t xml:space="preserve"> Moana</w:t>
      </w:r>
      <w:r>
        <w:rPr>
          <w:rFonts w:ascii="Arial" w:cs="Arial" w:eastAsia="Arial" w:hAnsi="Arial"/>
          <w:sz w:val="18"/>
          <w:szCs w:val="18"/>
          <w:color w:val="auto"/>
        </w:rPr>
        <w:t>,</w:t>
      </w:r>
      <w:r>
        <w:rPr>
          <w:rFonts w:ascii="Arial" w:cs="Arial" w:eastAsia="Arial" w:hAnsi="Arial"/>
          <w:sz w:val="18"/>
          <w:szCs w:val="18"/>
          <w:i w:val="1"/>
          <w:iCs w:val="1"/>
          <w:color w:val="auto"/>
        </w:rPr>
        <w:t xml:space="preserve"> The Odyssey</w:t>
      </w:r>
      <w:r>
        <w:rPr>
          <w:rFonts w:ascii="Arial" w:cs="Arial" w:eastAsia="Arial" w:hAnsi="Arial"/>
          <w:sz w:val="18"/>
          <w:szCs w:val="18"/>
          <w:color w:val="auto"/>
        </w:rPr>
        <w:t>,</w:t>
      </w:r>
      <w:r>
        <w:rPr>
          <w:rFonts w:ascii="Arial" w:cs="Arial" w:eastAsia="Arial" w:hAnsi="Arial"/>
          <w:sz w:val="18"/>
          <w:szCs w:val="18"/>
          <w:i w:val="1"/>
          <w:iCs w:val="1"/>
          <w:color w:val="auto"/>
        </w:rPr>
        <w:t xml:space="preserve"> Spider Man: Brand New Day</w:t>
      </w:r>
      <w:r>
        <w:rPr>
          <w:rFonts w:ascii="Arial" w:cs="Arial" w:eastAsia="Arial" w:hAnsi="Arial"/>
          <w:sz w:val="18"/>
          <w:szCs w:val="18"/>
          <w:color w:val="auto"/>
        </w:rPr>
        <w:t>,</w:t>
      </w:r>
      <w:r>
        <w:rPr>
          <w:rFonts w:ascii="Arial" w:cs="Arial" w:eastAsia="Arial" w:hAnsi="Arial"/>
          <w:sz w:val="18"/>
          <w:szCs w:val="18"/>
          <w:i w:val="1"/>
          <w:iCs w:val="1"/>
          <w:color w:val="auto"/>
        </w:rPr>
        <w:t xml:space="preserve"> The Cat in the Hat</w:t>
      </w:r>
      <w:r>
        <w:rPr>
          <w:rFonts w:ascii="Arial" w:cs="Arial" w:eastAsia="Arial" w:hAnsi="Arial"/>
          <w:sz w:val="18"/>
          <w:szCs w:val="18"/>
          <w:color w:val="auto"/>
        </w:rPr>
        <w:t>,</w:t>
      </w:r>
      <w:r>
        <w:rPr>
          <w:rFonts w:ascii="Arial" w:cs="Arial" w:eastAsia="Arial" w:hAnsi="Arial"/>
          <w:sz w:val="18"/>
          <w:szCs w:val="18"/>
          <w:i w:val="1"/>
          <w:iCs w:val="1"/>
          <w:color w:val="auto"/>
        </w:rPr>
        <w:t xml:space="preserve"> Avengers: Doomsday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Dune: Part Three</w:t>
      </w:r>
      <w:r>
        <w:rPr>
          <w:rFonts w:ascii="Arial" w:cs="Arial" w:eastAsia="Arial" w:hAnsi="Arial"/>
          <w:sz w:val="18"/>
          <w:szCs w:val="18"/>
          <w:color w:val="auto"/>
        </w:rPr>
        <w:t>, which are expected to contribute to overall increased theatrical activity.</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At the same time, we remain focused on adjusting our operating approach in response to changing market conditions. This includes disciplined capital allocation, ongoing cost management efforts, and initiatives designed to strengthen audience engagement. Together, these actions are intended to support our Company’s ability to operate effectively within an evolving entertainment landscape over the longer term.</w:t>
      </w:r>
    </w:p>
    <w:p>
      <w:pPr>
        <w:spacing w:after="0" w:line="213" w:lineRule="exact"/>
        <w:rPr>
          <w:sz w:val="20"/>
          <w:szCs w:val="20"/>
          <w:color w:val="auto"/>
        </w:rPr>
      </w:pPr>
    </w:p>
    <w:p>
      <w:pPr>
        <w:ind w:right="640"/>
        <w:spacing w:after="0" w:line="440" w:lineRule="auto"/>
        <w:rPr>
          <w:sz w:val="20"/>
          <w:szCs w:val="20"/>
          <w:color w:val="auto"/>
        </w:rPr>
      </w:pPr>
      <w:r>
        <w:rPr>
          <w:rFonts w:ascii="Arial" w:cs="Arial" w:eastAsia="Arial" w:hAnsi="Arial"/>
          <w:sz w:val="20"/>
          <w:szCs w:val="20"/>
          <w:color w:val="auto"/>
        </w:rPr>
        <w:t xml:space="preserve">Additional details regarding expectations and initiatives for 2026 and subsequent periods are provided below. </w:t>
      </w:r>
      <w:r>
        <w:rPr>
          <w:rFonts w:ascii="Arial" w:cs="Arial" w:eastAsia="Arial" w:hAnsi="Arial"/>
          <w:sz w:val="20"/>
          <w:szCs w:val="20"/>
          <w:b w:val="1"/>
          <w:bCs w:val="1"/>
          <w:color w:val="auto"/>
        </w:rPr>
        <w:t>RECENT DEVELOPMENTS</w:t>
      </w:r>
    </w:p>
    <w:p>
      <w:pPr>
        <w:spacing w:after="0" w:line="21"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Recent developments in our two business segments are discussed below. For an overview of our two business segments, including a breakdown of assets that we own and/or manage, please see Part I, Item 1 – Our Business of this 2025 Form 10-K.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Cinema Exhibition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Key Performance Indicators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Food and Beverage Spend Per Patron</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 key performance indicator utilized by management in our cinema segment is food and beverage (“F&amp;B”) Spend Per Patron (“SPP”), which is calculated based on our total F&amp;B Revenues on a post-tax basis divided by our attendance during a specific period.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380"/>
          </w:cols>
          <w:pgMar w:left="1260" w:top="1440" w:right="1266" w:bottom="0" w:gutter="0" w:footer="0" w:header="0"/>
          <w:type w:val="continuous"/>
        </w:sectPr>
      </w:pPr>
    </w:p>
    <w:bookmarkStart w:id="57" w:name="page58"/>
    <w:bookmarkEnd w:id="57"/>
    <w:p>
      <w:pPr>
        <w:jc w:val="both"/>
        <w:spacing w:after="0" w:line="226" w:lineRule="auto"/>
        <w:rPr>
          <w:sz w:val="20"/>
          <w:szCs w:val="20"/>
          <w:color w:val="auto"/>
        </w:rPr>
      </w:pPr>
      <w:r>
        <w:rPr>
          <w:rFonts w:ascii="Arial" w:cs="Arial" w:eastAsia="Arial" w:hAnsi="Arial"/>
          <w:sz w:val="20"/>
          <w:szCs w:val="20"/>
          <w:color w:val="auto"/>
        </w:rPr>
        <w:t>One of our strategic priorities has been to continue upgrading the food and beverage menu at several of our global cinemas. As of December 31, 2025, we have a total of 37 theater locations with upgraded food and beverage menus (i.e. menus that are beyond traditional popcorn, soda, and candy).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340"/>
          </w:cols>
          <w:pgMar w:left="1260" w:top="1131" w:right="1306" w:bottom="0" w:gutter="0" w:footer="0" w:header="0"/>
          <w:type w:val="continuous"/>
        </w:sectPr>
      </w:pPr>
    </w:p>
    <w:bookmarkStart w:id="58" w:name="page59"/>
    <w:bookmarkEnd w:id="58"/>
    <w:p>
      <w:pPr>
        <w:jc w:val="both"/>
        <w:ind w:right="80"/>
        <w:spacing w:after="0" w:line="237" w:lineRule="auto"/>
        <w:rPr>
          <w:sz w:val="20"/>
          <w:szCs w:val="20"/>
          <w:color w:val="auto"/>
        </w:rPr>
      </w:pPr>
      <w:r>
        <w:rPr>
          <w:rFonts w:ascii="Arial" w:cs="Arial" w:eastAsia="Arial" w:hAnsi="Arial"/>
          <w:sz w:val="19"/>
          <w:szCs w:val="19"/>
          <w:color w:val="auto"/>
        </w:rPr>
        <w:t>We use F&amp;B SPP as a measure of our F&amp;B operational performance as compared to that of our competitors. Although the profitability of our F&amp;B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ind w:left="580"/>
              <w:spacing w:after="0"/>
              <w:rPr>
                <w:sz w:val="20"/>
                <w:szCs w:val="20"/>
                <w:color w:val="auto"/>
              </w:rPr>
            </w:pPr>
            <w:r>
              <w:rPr>
                <w:rFonts w:ascii="Arial" w:cs="Arial" w:eastAsia="Arial" w:hAnsi="Arial"/>
                <w:sz w:val="20"/>
                <w:szCs w:val="20"/>
                <w:b w:val="1"/>
                <w:bCs w:val="1"/>
                <w:color w:val="auto"/>
              </w:rPr>
              <w:t>Three Months Ended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tcBorders>
              <w:bottom w:val="single" w:sz="8" w:color="auto"/>
            </w:tcBorders>
            <w:gridSpan w:val="7"/>
          </w:tcPr>
          <w:p>
            <w:pPr>
              <w:ind w:left="580"/>
              <w:spacing w:after="0"/>
              <w:rPr>
                <w:sz w:val="20"/>
                <w:szCs w:val="20"/>
                <w:color w:val="auto"/>
              </w:rPr>
            </w:pPr>
            <w:r>
              <w:rPr>
                <w:rFonts w:ascii="Arial" w:cs="Arial" w:eastAsia="Arial" w:hAnsi="Arial"/>
                <w:sz w:val="20"/>
                <w:szCs w:val="20"/>
                <w:b w:val="1"/>
                <w:bCs w:val="1"/>
                <w:color w:val="auto"/>
              </w:rPr>
              <w:t>Twelve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ind w:left="280"/>
              <w:spacing w:after="0" w:line="216" w:lineRule="exact"/>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5"/>
          </w:tcPr>
          <w:p>
            <w:pPr>
              <w:ind w:left="320"/>
              <w:spacing w:after="0" w:line="216" w:lineRule="exact"/>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Food &amp; Beverage Spend Per Patron</w:t>
            </w: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20"/>
                <w:szCs w:val="20"/>
                <w:b w:val="1"/>
                <w:bCs w:val="1"/>
                <w:color w:val="auto"/>
                <w:w w:val="93"/>
              </w:rPr>
              <w:t>% Change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20"/>
                <w:szCs w:val="20"/>
                <w:b w:val="1"/>
                <w:bCs w:val="1"/>
                <w:color w:val="auto"/>
                <w:w w:val="93"/>
              </w:rPr>
              <w:t>% Change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functional currency)</w:t>
            </w:r>
          </w:p>
        </w:tc>
        <w:tc>
          <w:tcPr>
            <w:tcW w:w="780" w:type="dxa"/>
            <w:vAlign w:val="bottom"/>
            <w:gridSpan w:val="2"/>
          </w:tcPr>
          <w:p>
            <w:pPr>
              <w:jc w:val="center"/>
              <w:spacing w:after="0" w:line="219" w:lineRule="exact"/>
              <w:rPr>
                <w:sz w:val="20"/>
                <w:szCs w:val="20"/>
                <w:color w:val="auto"/>
              </w:rPr>
            </w:pPr>
            <w:r>
              <w:rPr>
                <w:rFonts w:ascii="Arial" w:cs="Arial" w:eastAsia="Arial" w:hAnsi="Arial"/>
                <w:sz w:val="20"/>
                <w:szCs w:val="20"/>
                <w:b w:val="1"/>
                <w:bCs w:val="1"/>
                <w:color w:val="auto"/>
                <w:w w:val="89"/>
              </w:rPr>
              <w:t>2025</w:t>
            </w:r>
          </w:p>
        </w:tc>
        <w:tc>
          <w:tcPr>
            <w:tcW w:w="980" w:type="dxa"/>
            <w:vAlign w:val="bottom"/>
            <w:gridSpan w:val="2"/>
          </w:tcPr>
          <w:p>
            <w:pPr>
              <w:jc w:val="center"/>
              <w:ind w:left="120"/>
              <w:spacing w:after="0" w:line="219" w:lineRule="exact"/>
              <w:rPr>
                <w:sz w:val="20"/>
                <w:szCs w:val="20"/>
                <w:color w:val="auto"/>
              </w:rPr>
            </w:pPr>
            <w:r>
              <w:rPr>
                <w:rFonts w:ascii="Arial" w:cs="Arial" w:eastAsia="Arial" w:hAnsi="Arial"/>
                <w:sz w:val="20"/>
                <w:szCs w:val="20"/>
                <w:b w:val="1"/>
                <w:bCs w:val="1"/>
                <w:color w:val="auto"/>
                <w:w w:val="89"/>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5"/>
              </w:rPr>
              <w:t>Fav/(Unfav)</w:t>
            </w:r>
          </w:p>
        </w:tc>
        <w:tc>
          <w:tcPr>
            <w:tcW w:w="980" w:type="dxa"/>
            <w:vAlign w:val="bottom"/>
            <w:gridSpan w:val="3"/>
          </w:tcPr>
          <w:p>
            <w:pPr>
              <w:jc w:val="center"/>
              <w:ind w:left="120"/>
              <w:spacing w:after="0" w:line="219" w:lineRule="exact"/>
              <w:rPr>
                <w:sz w:val="20"/>
                <w:szCs w:val="20"/>
                <w:color w:val="auto"/>
              </w:rPr>
            </w:pPr>
            <w:r>
              <w:rPr>
                <w:rFonts w:ascii="Arial" w:cs="Arial" w:eastAsia="Arial" w:hAnsi="Arial"/>
                <w:sz w:val="20"/>
                <w:szCs w:val="20"/>
                <w:b w:val="1"/>
                <w:bCs w:val="1"/>
                <w:color w:val="auto"/>
                <w:w w:val="89"/>
              </w:rPr>
              <w:t>2025</w:t>
            </w:r>
          </w:p>
        </w:tc>
        <w:tc>
          <w:tcPr>
            <w:tcW w:w="1040" w:type="dxa"/>
            <w:vAlign w:val="bottom"/>
            <w:gridSpan w:val="3"/>
          </w:tcPr>
          <w:p>
            <w:pPr>
              <w:jc w:val="center"/>
              <w:ind w:left="60"/>
              <w:spacing w:after="0" w:line="219" w:lineRule="exact"/>
              <w:rPr>
                <w:sz w:val="20"/>
                <w:szCs w:val="20"/>
                <w:color w:val="auto"/>
              </w:rPr>
            </w:pPr>
            <w:r>
              <w:rPr>
                <w:rFonts w:ascii="Arial" w:cs="Arial" w:eastAsia="Arial" w:hAnsi="Arial"/>
                <w:sz w:val="20"/>
                <w:szCs w:val="20"/>
                <w:b w:val="1"/>
                <w:bCs w:val="1"/>
                <w:color w:val="auto"/>
                <w:w w:val="89"/>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5"/>
              </w:rPr>
              <w:t>Fav/(Unfav)</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United States</w:t>
            </w:r>
          </w:p>
        </w:tc>
        <w:tc>
          <w:tcPr>
            <w:tcW w:w="20" w:type="dxa"/>
            <w:vAlign w:val="bottom"/>
            <w:vMerge w:val="continue"/>
          </w:tcPr>
          <w:p>
            <w:pPr>
              <w:spacing w:after="0"/>
              <w:rPr>
                <w:sz w:val="18"/>
                <w:szCs w:val="18"/>
                <w:color w:val="auto"/>
              </w:rPr>
            </w:pPr>
          </w:p>
        </w:tc>
        <w:tc>
          <w:tcPr>
            <w:tcW w:w="7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$8.46</w:t>
            </w:r>
          </w:p>
        </w:tc>
        <w:tc>
          <w:tcPr>
            <w:tcW w:w="980" w:type="dxa"/>
            <w:vAlign w:val="bottom"/>
            <w:gridSpan w:val="2"/>
            <w:shd w:val="clear" w:color="auto" w:fill="CCEEFF"/>
          </w:tcPr>
          <w:p>
            <w:pPr>
              <w:jc w:val="center"/>
              <w:ind w:left="120"/>
              <w:spacing w:after="0" w:line="216" w:lineRule="exact"/>
              <w:rPr>
                <w:sz w:val="20"/>
                <w:szCs w:val="20"/>
                <w:color w:val="auto"/>
              </w:rPr>
            </w:pPr>
            <w:r>
              <w:rPr>
                <w:rFonts w:ascii="Arial" w:cs="Arial" w:eastAsia="Arial" w:hAnsi="Arial"/>
                <w:sz w:val="20"/>
                <w:szCs w:val="20"/>
                <w:color w:val="auto"/>
                <w:w w:val="87"/>
              </w:rPr>
              <w:t>$8.28</w:t>
            </w:r>
          </w:p>
        </w:tc>
        <w:tc>
          <w:tcPr>
            <w:tcW w:w="2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1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2.2%</w:t>
            </w:r>
          </w:p>
        </w:tc>
        <w:tc>
          <w:tcPr>
            <w:tcW w:w="20" w:type="dxa"/>
            <w:vAlign w:val="bottom"/>
            <w:vMerge w:val="continue"/>
          </w:tcPr>
          <w:p>
            <w:pPr>
              <w:spacing w:after="0"/>
              <w:rPr>
                <w:sz w:val="18"/>
                <w:szCs w:val="18"/>
                <w:color w:val="auto"/>
              </w:rPr>
            </w:pPr>
          </w:p>
        </w:tc>
        <w:tc>
          <w:tcPr>
            <w:tcW w:w="960" w:type="dxa"/>
            <w:vAlign w:val="bottom"/>
            <w:gridSpan w:val="2"/>
            <w:shd w:val="clear" w:color="auto" w:fill="CCEEFF"/>
          </w:tcPr>
          <w:p>
            <w:pPr>
              <w:jc w:val="center"/>
              <w:ind w:left="100"/>
              <w:spacing w:after="0" w:line="216" w:lineRule="exact"/>
              <w:rPr>
                <w:sz w:val="20"/>
                <w:szCs w:val="20"/>
                <w:color w:val="auto"/>
              </w:rPr>
            </w:pPr>
            <w:r>
              <w:rPr>
                <w:rFonts w:ascii="Arial" w:cs="Arial" w:eastAsia="Arial" w:hAnsi="Arial"/>
                <w:sz w:val="20"/>
                <w:szCs w:val="20"/>
                <w:color w:val="auto"/>
                <w:w w:val="87"/>
              </w:rPr>
              <w:t>$8.64</w:t>
            </w:r>
          </w:p>
        </w:tc>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91"/>
              </w:rPr>
              <w:t>$8.12</w:t>
            </w:r>
          </w:p>
        </w:tc>
        <w:tc>
          <w:tcPr>
            <w:tcW w:w="16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8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line="216" w:lineRule="exact"/>
              <w:rPr>
                <w:sz w:val="20"/>
                <w:szCs w:val="20"/>
                <w:color w:val="auto"/>
              </w:rPr>
            </w:pPr>
            <w:r>
              <w:rPr>
                <w:rFonts w:ascii="Arial" w:cs="Arial" w:eastAsia="Arial" w:hAnsi="Arial"/>
                <w:sz w:val="20"/>
                <w:szCs w:val="20"/>
                <w:color w:val="auto"/>
              </w:rPr>
              <w:t>Australia</w:t>
            </w:r>
          </w:p>
        </w:tc>
        <w:tc>
          <w:tcPr>
            <w:tcW w:w="2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Arial" w:cs="Arial" w:eastAsia="Arial" w:hAnsi="Arial"/>
                <w:sz w:val="20"/>
                <w:szCs w:val="20"/>
                <w:color w:val="auto"/>
                <w:w w:val="91"/>
              </w:rPr>
              <w:t>$8.43</w:t>
            </w:r>
          </w:p>
        </w:tc>
        <w:tc>
          <w:tcPr>
            <w:tcW w:w="980" w:type="dxa"/>
            <w:vAlign w:val="bottom"/>
            <w:gridSpan w:val="2"/>
          </w:tcPr>
          <w:p>
            <w:pPr>
              <w:jc w:val="center"/>
              <w:ind w:left="120"/>
              <w:spacing w:after="0" w:line="216" w:lineRule="exact"/>
              <w:rPr>
                <w:sz w:val="20"/>
                <w:szCs w:val="20"/>
                <w:color w:val="auto"/>
              </w:rPr>
            </w:pPr>
            <w:r>
              <w:rPr>
                <w:rFonts w:ascii="Arial" w:cs="Arial" w:eastAsia="Arial" w:hAnsi="Arial"/>
                <w:sz w:val="20"/>
                <w:szCs w:val="20"/>
                <w:color w:val="auto"/>
                <w:w w:val="87"/>
              </w:rPr>
              <w:t>$8.28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20"/>
                <w:szCs w:val="20"/>
                <w:color w:val="auto"/>
                <w:w w:val="92"/>
              </w:rPr>
              <w:t>1.8%</w:t>
            </w:r>
          </w:p>
        </w:tc>
        <w:tc>
          <w:tcPr>
            <w:tcW w:w="20" w:type="dxa"/>
            <w:vAlign w:val="bottom"/>
          </w:tcPr>
          <w:p>
            <w:pPr>
              <w:spacing w:after="0"/>
              <w:rPr>
                <w:sz w:val="18"/>
                <w:szCs w:val="18"/>
                <w:color w:val="auto"/>
              </w:rPr>
            </w:pPr>
          </w:p>
        </w:tc>
        <w:tc>
          <w:tcPr>
            <w:tcW w:w="960" w:type="dxa"/>
            <w:vAlign w:val="bottom"/>
            <w:gridSpan w:val="2"/>
          </w:tcPr>
          <w:p>
            <w:pPr>
              <w:jc w:val="center"/>
              <w:ind w:left="100"/>
              <w:spacing w:after="0" w:line="216" w:lineRule="exact"/>
              <w:rPr>
                <w:sz w:val="20"/>
                <w:szCs w:val="20"/>
                <w:color w:val="auto"/>
              </w:rPr>
            </w:pPr>
            <w:r>
              <w:rPr>
                <w:rFonts w:ascii="Arial" w:cs="Arial" w:eastAsia="Arial" w:hAnsi="Arial"/>
                <w:sz w:val="20"/>
                <w:szCs w:val="20"/>
                <w:color w:val="auto"/>
                <w:w w:val="87"/>
              </w:rPr>
              <w:t>$8.15</w:t>
            </w:r>
          </w:p>
        </w:tc>
        <w:tc>
          <w:tcPr>
            <w:tcW w:w="20" w:type="dxa"/>
            <w:vAlign w:val="bottom"/>
          </w:tcPr>
          <w:p>
            <w:pPr>
              <w:spacing w:after="0"/>
              <w:rPr>
                <w:sz w:val="18"/>
                <w:szCs w:val="18"/>
                <w:color w:val="auto"/>
              </w:rPr>
            </w:pPr>
          </w:p>
        </w:tc>
        <w:tc>
          <w:tcPr>
            <w:tcW w:w="1020" w:type="dxa"/>
            <w:vAlign w:val="bottom"/>
            <w:gridSpan w:val="2"/>
          </w:tcPr>
          <w:p>
            <w:pPr>
              <w:jc w:val="center"/>
              <w:ind w:left="20"/>
              <w:spacing w:after="0" w:line="216" w:lineRule="exact"/>
              <w:rPr>
                <w:sz w:val="20"/>
                <w:szCs w:val="20"/>
                <w:color w:val="auto"/>
              </w:rPr>
            </w:pPr>
            <w:r>
              <w:rPr>
                <w:rFonts w:ascii="Arial" w:cs="Arial" w:eastAsia="Arial" w:hAnsi="Arial"/>
                <w:sz w:val="20"/>
                <w:szCs w:val="20"/>
                <w:color w:val="auto"/>
                <w:w w:val="91"/>
              </w:rPr>
              <w:t>$7.88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line="216" w:lineRule="exact"/>
              <w:rPr>
                <w:sz w:val="20"/>
                <w:szCs w:val="20"/>
                <w:color w:val="auto"/>
              </w:rPr>
            </w:pPr>
            <w:r>
              <w:rPr>
                <w:rFonts w:ascii="Arial" w:cs="Arial" w:eastAsia="Arial" w:hAnsi="Arial"/>
                <w:sz w:val="20"/>
                <w:szCs w:val="20"/>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New Zealand</w:t>
            </w:r>
          </w:p>
        </w:tc>
        <w:tc>
          <w:tcPr>
            <w:tcW w:w="20" w:type="dxa"/>
            <w:vAlign w:val="bottom"/>
          </w:tcPr>
          <w:p>
            <w:pPr>
              <w:spacing w:after="0"/>
              <w:rPr>
                <w:sz w:val="18"/>
                <w:szCs w:val="18"/>
                <w:color w:val="auto"/>
              </w:rPr>
            </w:pPr>
          </w:p>
        </w:tc>
        <w:tc>
          <w:tcPr>
            <w:tcW w:w="7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$7.03</w:t>
            </w:r>
          </w:p>
        </w:tc>
        <w:tc>
          <w:tcPr>
            <w:tcW w:w="980" w:type="dxa"/>
            <w:vAlign w:val="bottom"/>
            <w:gridSpan w:val="2"/>
            <w:shd w:val="clear" w:color="auto" w:fill="CCEEFF"/>
          </w:tcPr>
          <w:p>
            <w:pPr>
              <w:jc w:val="center"/>
              <w:ind w:left="120"/>
              <w:spacing w:after="0" w:line="216" w:lineRule="exact"/>
              <w:rPr>
                <w:sz w:val="20"/>
                <w:szCs w:val="20"/>
                <w:color w:val="auto"/>
              </w:rPr>
            </w:pPr>
            <w:r>
              <w:rPr>
                <w:rFonts w:ascii="Arial" w:cs="Arial" w:eastAsia="Arial" w:hAnsi="Arial"/>
                <w:sz w:val="20"/>
                <w:szCs w:val="20"/>
                <w:color w:val="auto"/>
                <w:w w:val="87"/>
              </w:rPr>
              <w:t>$6.98</w:t>
            </w: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0.7%</w:t>
            </w:r>
          </w:p>
        </w:tc>
        <w:tc>
          <w:tcPr>
            <w:tcW w:w="20" w:type="dxa"/>
            <w:vAlign w:val="bottom"/>
          </w:tcPr>
          <w:p>
            <w:pPr>
              <w:spacing w:after="0"/>
              <w:rPr>
                <w:sz w:val="18"/>
                <w:szCs w:val="18"/>
                <w:color w:val="auto"/>
              </w:rPr>
            </w:pPr>
          </w:p>
        </w:tc>
        <w:tc>
          <w:tcPr>
            <w:tcW w:w="960" w:type="dxa"/>
            <w:vAlign w:val="bottom"/>
            <w:gridSpan w:val="2"/>
            <w:shd w:val="clear" w:color="auto" w:fill="CCEEFF"/>
          </w:tcPr>
          <w:p>
            <w:pPr>
              <w:jc w:val="center"/>
              <w:ind w:left="100"/>
              <w:spacing w:after="0" w:line="216" w:lineRule="exact"/>
              <w:rPr>
                <w:sz w:val="20"/>
                <w:szCs w:val="20"/>
                <w:color w:val="auto"/>
              </w:rPr>
            </w:pPr>
            <w:r>
              <w:rPr>
                <w:rFonts w:ascii="Arial" w:cs="Arial" w:eastAsia="Arial" w:hAnsi="Arial"/>
                <w:sz w:val="20"/>
                <w:szCs w:val="20"/>
                <w:color w:val="auto"/>
                <w:w w:val="87"/>
              </w:rPr>
              <w:t>$6.94</w:t>
            </w:r>
          </w:p>
        </w:tc>
        <w:tc>
          <w:tcPr>
            <w:tcW w:w="20" w:type="dxa"/>
            <w:vAlign w:val="bottom"/>
          </w:tcPr>
          <w:p>
            <w:pPr>
              <w:spacing w:after="0"/>
              <w:rPr>
                <w:sz w:val="18"/>
                <w:szCs w:val="18"/>
                <w:color w:val="auto"/>
              </w:rPr>
            </w:pPr>
          </w:p>
        </w:tc>
        <w:tc>
          <w:tcPr>
            <w:tcW w:w="102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91"/>
              </w:rPr>
              <w:t>$6.72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Average Ticket Price Per Patron</w:t>
      </w:r>
    </w:p>
    <w:p>
      <w:pPr>
        <w:spacing w:after="0" w:line="21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In addition, ATP gauges the effectiveness of our cinemas’ pricing strategies and our ability to draw back audiences to our theaters. Management uses ATP to adjust and inform ticket pricing schemes for our individual theaters, measure the effectiveness of our content programming, and ensure that price barriers are not created for core guests.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ind w:left="580"/>
              <w:spacing w:after="0"/>
              <w:rPr>
                <w:sz w:val="20"/>
                <w:szCs w:val="20"/>
                <w:color w:val="auto"/>
              </w:rPr>
            </w:pPr>
            <w:r>
              <w:rPr>
                <w:rFonts w:ascii="Arial" w:cs="Arial" w:eastAsia="Arial" w:hAnsi="Arial"/>
                <w:sz w:val="20"/>
                <w:szCs w:val="20"/>
                <w:b w:val="1"/>
                <w:bCs w:val="1"/>
                <w:color w:val="auto"/>
              </w:rPr>
              <w:t>Three Months Ended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tcBorders>
              <w:bottom w:val="single" w:sz="8" w:color="auto"/>
            </w:tcBorders>
            <w:gridSpan w:val="7"/>
          </w:tcPr>
          <w:p>
            <w:pPr>
              <w:ind w:left="580"/>
              <w:spacing w:after="0"/>
              <w:rPr>
                <w:sz w:val="20"/>
                <w:szCs w:val="20"/>
                <w:color w:val="auto"/>
              </w:rPr>
            </w:pPr>
            <w:r>
              <w:rPr>
                <w:rFonts w:ascii="Arial" w:cs="Arial" w:eastAsia="Arial" w:hAnsi="Arial"/>
                <w:sz w:val="20"/>
                <w:szCs w:val="20"/>
                <w:b w:val="1"/>
                <w:bCs w:val="1"/>
                <w:color w:val="auto"/>
              </w:rPr>
              <w:t>Twelve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ind w:left="280"/>
              <w:spacing w:after="0" w:line="216" w:lineRule="exact"/>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5"/>
          </w:tcPr>
          <w:p>
            <w:pPr>
              <w:ind w:left="320"/>
              <w:spacing w:after="0" w:line="216" w:lineRule="exact"/>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Average Ticket Price</w:t>
            </w: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20"/>
                <w:szCs w:val="20"/>
                <w:b w:val="1"/>
                <w:bCs w:val="1"/>
                <w:color w:val="auto"/>
                <w:w w:val="93"/>
              </w:rPr>
              <w:t>% Change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20"/>
                <w:szCs w:val="20"/>
                <w:b w:val="1"/>
                <w:bCs w:val="1"/>
                <w:color w:val="auto"/>
                <w:w w:val="93"/>
              </w:rPr>
              <w:t>% Change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functional currency)</w:t>
            </w:r>
          </w:p>
        </w:tc>
        <w:tc>
          <w:tcPr>
            <w:tcW w:w="780" w:type="dxa"/>
            <w:vAlign w:val="bottom"/>
            <w:gridSpan w:val="2"/>
          </w:tcPr>
          <w:p>
            <w:pPr>
              <w:jc w:val="center"/>
              <w:spacing w:after="0" w:line="219" w:lineRule="exact"/>
              <w:rPr>
                <w:sz w:val="20"/>
                <w:szCs w:val="20"/>
                <w:color w:val="auto"/>
              </w:rPr>
            </w:pPr>
            <w:r>
              <w:rPr>
                <w:rFonts w:ascii="Arial" w:cs="Arial" w:eastAsia="Arial" w:hAnsi="Arial"/>
                <w:sz w:val="20"/>
                <w:szCs w:val="20"/>
                <w:b w:val="1"/>
                <w:bCs w:val="1"/>
                <w:color w:val="auto"/>
                <w:w w:val="89"/>
              </w:rPr>
              <w:t>2025</w:t>
            </w:r>
          </w:p>
        </w:tc>
        <w:tc>
          <w:tcPr>
            <w:tcW w:w="980" w:type="dxa"/>
            <w:vAlign w:val="bottom"/>
            <w:gridSpan w:val="2"/>
          </w:tcPr>
          <w:p>
            <w:pPr>
              <w:jc w:val="center"/>
              <w:ind w:left="120"/>
              <w:spacing w:after="0" w:line="219" w:lineRule="exact"/>
              <w:rPr>
                <w:sz w:val="20"/>
                <w:szCs w:val="20"/>
                <w:color w:val="auto"/>
              </w:rPr>
            </w:pPr>
            <w:r>
              <w:rPr>
                <w:rFonts w:ascii="Arial" w:cs="Arial" w:eastAsia="Arial" w:hAnsi="Arial"/>
                <w:sz w:val="20"/>
                <w:szCs w:val="20"/>
                <w:b w:val="1"/>
                <w:bCs w:val="1"/>
                <w:color w:val="auto"/>
                <w:w w:val="89"/>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5"/>
              </w:rPr>
              <w:t>Fav/(Unfav)</w:t>
            </w:r>
          </w:p>
        </w:tc>
        <w:tc>
          <w:tcPr>
            <w:tcW w:w="980" w:type="dxa"/>
            <w:vAlign w:val="bottom"/>
            <w:gridSpan w:val="3"/>
          </w:tcPr>
          <w:p>
            <w:pPr>
              <w:jc w:val="center"/>
              <w:ind w:left="120"/>
              <w:spacing w:after="0" w:line="219" w:lineRule="exact"/>
              <w:rPr>
                <w:sz w:val="20"/>
                <w:szCs w:val="20"/>
                <w:color w:val="auto"/>
              </w:rPr>
            </w:pPr>
            <w:r>
              <w:rPr>
                <w:rFonts w:ascii="Arial" w:cs="Arial" w:eastAsia="Arial" w:hAnsi="Arial"/>
                <w:sz w:val="20"/>
                <w:szCs w:val="20"/>
                <w:b w:val="1"/>
                <w:bCs w:val="1"/>
                <w:color w:val="auto"/>
                <w:w w:val="89"/>
              </w:rPr>
              <w:t>2025</w:t>
            </w:r>
          </w:p>
        </w:tc>
        <w:tc>
          <w:tcPr>
            <w:tcW w:w="1040" w:type="dxa"/>
            <w:vAlign w:val="bottom"/>
            <w:gridSpan w:val="3"/>
          </w:tcPr>
          <w:p>
            <w:pPr>
              <w:jc w:val="center"/>
              <w:ind w:left="60"/>
              <w:spacing w:after="0" w:line="219" w:lineRule="exact"/>
              <w:rPr>
                <w:sz w:val="20"/>
                <w:szCs w:val="20"/>
                <w:color w:val="auto"/>
              </w:rPr>
            </w:pPr>
            <w:r>
              <w:rPr>
                <w:rFonts w:ascii="Arial" w:cs="Arial" w:eastAsia="Arial" w:hAnsi="Arial"/>
                <w:sz w:val="20"/>
                <w:szCs w:val="20"/>
                <w:b w:val="1"/>
                <w:bCs w:val="1"/>
                <w:color w:val="auto"/>
                <w:w w:val="89"/>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5"/>
              </w:rPr>
              <w:t>Fav/(Unfav)</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United States</w:t>
            </w:r>
          </w:p>
        </w:tc>
        <w:tc>
          <w:tcPr>
            <w:tcW w:w="20" w:type="dxa"/>
            <w:vAlign w:val="bottom"/>
            <w:vMerge w:val="continue"/>
          </w:tcPr>
          <w:p>
            <w:pPr>
              <w:spacing w:after="0"/>
              <w:rPr>
                <w:sz w:val="18"/>
                <w:szCs w:val="18"/>
                <w:color w:val="auto"/>
              </w:rPr>
            </w:pPr>
          </w:p>
        </w:tc>
        <w:tc>
          <w:tcPr>
            <w:tcW w:w="7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8"/>
              </w:rPr>
              <w:t>$14.03</w:t>
            </w:r>
          </w:p>
        </w:tc>
        <w:tc>
          <w:tcPr>
            <w:tcW w:w="980" w:type="dxa"/>
            <w:vAlign w:val="bottom"/>
            <w:gridSpan w:val="2"/>
            <w:shd w:val="clear" w:color="auto" w:fill="CCEEFF"/>
          </w:tcPr>
          <w:p>
            <w:pPr>
              <w:jc w:val="center"/>
              <w:ind w:left="120"/>
              <w:spacing w:after="0" w:line="216" w:lineRule="exact"/>
              <w:rPr>
                <w:sz w:val="20"/>
                <w:szCs w:val="20"/>
                <w:color w:val="auto"/>
              </w:rPr>
            </w:pPr>
            <w:r>
              <w:rPr>
                <w:rFonts w:ascii="Arial" w:cs="Arial" w:eastAsia="Arial" w:hAnsi="Arial"/>
                <w:sz w:val="20"/>
                <w:szCs w:val="20"/>
                <w:color w:val="auto"/>
                <w:w w:val="91"/>
              </w:rPr>
              <w:t>$13.74</w:t>
            </w:r>
          </w:p>
        </w:tc>
        <w:tc>
          <w:tcPr>
            <w:tcW w:w="2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1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2.1%</w:t>
            </w:r>
          </w:p>
        </w:tc>
        <w:tc>
          <w:tcPr>
            <w:tcW w:w="20" w:type="dxa"/>
            <w:vAlign w:val="bottom"/>
            <w:vMerge w:val="continue"/>
          </w:tcPr>
          <w:p>
            <w:pPr>
              <w:spacing w:after="0"/>
              <w:rPr>
                <w:sz w:val="18"/>
                <w:szCs w:val="18"/>
                <w:color w:val="auto"/>
              </w:rPr>
            </w:pPr>
          </w:p>
        </w:tc>
        <w:tc>
          <w:tcPr>
            <w:tcW w:w="960" w:type="dxa"/>
            <w:vAlign w:val="bottom"/>
            <w:gridSpan w:val="2"/>
            <w:shd w:val="clear" w:color="auto" w:fill="CCEEFF"/>
          </w:tcPr>
          <w:p>
            <w:pPr>
              <w:jc w:val="center"/>
              <w:ind w:left="100"/>
              <w:spacing w:after="0" w:line="216" w:lineRule="exact"/>
              <w:rPr>
                <w:sz w:val="20"/>
                <w:szCs w:val="20"/>
                <w:color w:val="auto"/>
              </w:rPr>
            </w:pPr>
            <w:r>
              <w:rPr>
                <w:rFonts w:ascii="Arial" w:cs="Arial" w:eastAsia="Arial" w:hAnsi="Arial"/>
                <w:sz w:val="20"/>
                <w:szCs w:val="20"/>
                <w:color w:val="auto"/>
                <w:w w:val="91"/>
              </w:rPr>
              <w:t>$13.52</w:t>
            </w:r>
          </w:p>
        </w:tc>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88"/>
              </w:rPr>
              <w:t>$13.48</w:t>
            </w:r>
          </w:p>
        </w:tc>
        <w:tc>
          <w:tcPr>
            <w:tcW w:w="16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8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2"/>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line="216" w:lineRule="exact"/>
              <w:rPr>
                <w:sz w:val="20"/>
                <w:szCs w:val="20"/>
                <w:color w:val="auto"/>
              </w:rPr>
            </w:pPr>
            <w:r>
              <w:rPr>
                <w:rFonts w:ascii="Arial" w:cs="Arial" w:eastAsia="Arial" w:hAnsi="Arial"/>
                <w:sz w:val="20"/>
                <w:szCs w:val="20"/>
                <w:color w:val="auto"/>
              </w:rPr>
              <w:t>Australia</w:t>
            </w:r>
          </w:p>
        </w:tc>
        <w:tc>
          <w:tcPr>
            <w:tcW w:w="2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Arial" w:cs="Arial" w:eastAsia="Arial" w:hAnsi="Arial"/>
                <w:sz w:val="20"/>
                <w:szCs w:val="20"/>
                <w:color w:val="auto"/>
                <w:w w:val="88"/>
              </w:rPr>
              <w:t>$16.02</w:t>
            </w:r>
          </w:p>
        </w:tc>
        <w:tc>
          <w:tcPr>
            <w:tcW w:w="980" w:type="dxa"/>
            <w:vAlign w:val="bottom"/>
            <w:gridSpan w:val="2"/>
          </w:tcPr>
          <w:p>
            <w:pPr>
              <w:jc w:val="center"/>
              <w:ind w:left="120"/>
              <w:spacing w:after="0" w:line="216" w:lineRule="exact"/>
              <w:rPr>
                <w:sz w:val="20"/>
                <w:szCs w:val="20"/>
                <w:color w:val="auto"/>
              </w:rPr>
            </w:pPr>
            <w:r>
              <w:rPr>
                <w:rFonts w:ascii="Arial" w:cs="Arial" w:eastAsia="Arial" w:hAnsi="Arial"/>
                <w:sz w:val="20"/>
                <w:szCs w:val="20"/>
                <w:color w:val="auto"/>
                <w:w w:val="91"/>
              </w:rPr>
              <w:t>$15.27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20"/>
                <w:szCs w:val="20"/>
                <w:color w:val="auto"/>
                <w:w w:val="92"/>
              </w:rPr>
              <w:t>4.9%</w:t>
            </w:r>
          </w:p>
        </w:tc>
        <w:tc>
          <w:tcPr>
            <w:tcW w:w="20" w:type="dxa"/>
            <w:vAlign w:val="bottom"/>
          </w:tcPr>
          <w:p>
            <w:pPr>
              <w:spacing w:after="0"/>
              <w:rPr>
                <w:sz w:val="18"/>
                <w:szCs w:val="18"/>
                <w:color w:val="auto"/>
              </w:rPr>
            </w:pPr>
          </w:p>
        </w:tc>
        <w:tc>
          <w:tcPr>
            <w:tcW w:w="960" w:type="dxa"/>
            <w:vAlign w:val="bottom"/>
            <w:gridSpan w:val="2"/>
          </w:tcPr>
          <w:p>
            <w:pPr>
              <w:jc w:val="center"/>
              <w:ind w:left="100"/>
              <w:spacing w:after="0" w:line="216" w:lineRule="exact"/>
              <w:rPr>
                <w:sz w:val="20"/>
                <w:szCs w:val="20"/>
                <w:color w:val="auto"/>
              </w:rPr>
            </w:pPr>
            <w:r>
              <w:rPr>
                <w:rFonts w:ascii="Arial" w:cs="Arial" w:eastAsia="Arial" w:hAnsi="Arial"/>
                <w:sz w:val="20"/>
                <w:szCs w:val="20"/>
                <w:color w:val="auto"/>
                <w:w w:val="91"/>
              </w:rPr>
              <w:t>$15.86</w:t>
            </w:r>
          </w:p>
        </w:tc>
        <w:tc>
          <w:tcPr>
            <w:tcW w:w="20" w:type="dxa"/>
            <w:vAlign w:val="bottom"/>
          </w:tcPr>
          <w:p>
            <w:pPr>
              <w:spacing w:after="0"/>
              <w:rPr>
                <w:sz w:val="18"/>
                <w:szCs w:val="18"/>
                <w:color w:val="auto"/>
              </w:rPr>
            </w:pPr>
          </w:p>
        </w:tc>
        <w:tc>
          <w:tcPr>
            <w:tcW w:w="1020" w:type="dxa"/>
            <w:vAlign w:val="bottom"/>
            <w:gridSpan w:val="2"/>
          </w:tcPr>
          <w:p>
            <w:pPr>
              <w:jc w:val="center"/>
              <w:ind w:left="20"/>
              <w:spacing w:after="0" w:line="216" w:lineRule="exact"/>
              <w:rPr>
                <w:sz w:val="20"/>
                <w:szCs w:val="20"/>
                <w:color w:val="auto"/>
              </w:rPr>
            </w:pPr>
            <w:r>
              <w:rPr>
                <w:rFonts w:ascii="Arial" w:cs="Arial" w:eastAsia="Arial" w:hAnsi="Arial"/>
                <w:sz w:val="20"/>
                <w:szCs w:val="20"/>
                <w:color w:val="auto"/>
                <w:w w:val="88"/>
              </w:rPr>
              <w:t>$13.74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line="216" w:lineRule="exact"/>
              <w:rPr>
                <w:sz w:val="20"/>
                <w:szCs w:val="20"/>
                <w:color w:val="auto"/>
              </w:rPr>
            </w:pPr>
            <w:r>
              <w:rPr>
                <w:rFonts w:ascii="Arial" w:cs="Arial" w:eastAsia="Arial" w:hAnsi="Arial"/>
                <w:sz w:val="20"/>
                <w:szCs w:val="20"/>
                <w:color w:val="auto"/>
                <w:w w:val="91"/>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New Zealand</w:t>
            </w:r>
          </w:p>
        </w:tc>
        <w:tc>
          <w:tcPr>
            <w:tcW w:w="20" w:type="dxa"/>
            <w:vAlign w:val="bottom"/>
          </w:tcPr>
          <w:p>
            <w:pPr>
              <w:spacing w:after="0"/>
              <w:rPr>
                <w:sz w:val="18"/>
                <w:szCs w:val="18"/>
                <w:color w:val="auto"/>
              </w:rPr>
            </w:pPr>
          </w:p>
        </w:tc>
        <w:tc>
          <w:tcPr>
            <w:tcW w:w="7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8"/>
              </w:rPr>
              <w:t>$14.72</w:t>
            </w:r>
          </w:p>
        </w:tc>
        <w:tc>
          <w:tcPr>
            <w:tcW w:w="980" w:type="dxa"/>
            <w:vAlign w:val="bottom"/>
            <w:gridSpan w:val="2"/>
            <w:shd w:val="clear" w:color="auto" w:fill="CCEEFF"/>
          </w:tcPr>
          <w:p>
            <w:pPr>
              <w:jc w:val="center"/>
              <w:ind w:left="120"/>
              <w:spacing w:after="0" w:line="216" w:lineRule="exact"/>
              <w:rPr>
                <w:sz w:val="20"/>
                <w:szCs w:val="20"/>
                <w:color w:val="auto"/>
              </w:rPr>
            </w:pPr>
            <w:r>
              <w:rPr>
                <w:rFonts w:ascii="Arial" w:cs="Arial" w:eastAsia="Arial" w:hAnsi="Arial"/>
                <w:sz w:val="20"/>
                <w:szCs w:val="20"/>
                <w:color w:val="auto"/>
                <w:w w:val="91"/>
              </w:rPr>
              <w:t>$13.20</w:t>
            </w: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11.5%</w:t>
            </w:r>
          </w:p>
        </w:tc>
        <w:tc>
          <w:tcPr>
            <w:tcW w:w="20" w:type="dxa"/>
            <w:vAlign w:val="bottom"/>
          </w:tcPr>
          <w:p>
            <w:pPr>
              <w:spacing w:after="0"/>
              <w:rPr>
                <w:sz w:val="18"/>
                <w:szCs w:val="18"/>
                <w:color w:val="auto"/>
              </w:rPr>
            </w:pPr>
          </w:p>
        </w:tc>
        <w:tc>
          <w:tcPr>
            <w:tcW w:w="960" w:type="dxa"/>
            <w:vAlign w:val="bottom"/>
            <w:gridSpan w:val="2"/>
            <w:shd w:val="clear" w:color="auto" w:fill="CCEEFF"/>
          </w:tcPr>
          <w:p>
            <w:pPr>
              <w:jc w:val="center"/>
              <w:ind w:left="100"/>
              <w:spacing w:after="0" w:line="216" w:lineRule="exact"/>
              <w:rPr>
                <w:sz w:val="20"/>
                <w:szCs w:val="20"/>
                <w:color w:val="auto"/>
              </w:rPr>
            </w:pPr>
            <w:r>
              <w:rPr>
                <w:rFonts w:ascii="Arial" w:cs="Arial" w:eastAsia="Arial" w:hAnsi="Arial"/>
                <w:sz w:val="20"/>
                <w:szCs w:val="20"/>
                <w:color w:val="auto"/>
                <w:w w:val="91"/>
              </w:rPr>
              <w:t>$14.22</w:t>
            </w:r>
          </w:p>
        </w:tc>
        <w:tc>
          <w:tcPr>
            <w:tcW w:w="20" w:type="dxa"/>
            <w:vAlign w:val="bottom"/>
          </w:tcPr>
          <w:p>
            <w:pPr>
              <w:spacing w:after="0"/>
              <w:rPr>
                <w:sz w:val="18"/>
                <w:szCs w:val="18"/>
                <w:color w:val="auto"/>
              </w:rPr>
            </w:pPr>
          </w:p>
        </w:tc>
        <w:tc>
          <w:tcPr>
            <w:tcW w:w="102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88"/>
              </w:rPr>
              <w:t>$11.78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fourth quarter and twelve months ended December 31, 2025 compared to the corresponding periods in 2024.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6"/>
          </w:tcPr>
          <w:p>
            <w:pPr>
              <w:spacing w:after="0"/>
              <w:rPr>
                <w:sz w:val="20"/>
                <w:szCs w:val="20"/>
                <w:color w:val="auto"/>
              </w:rPr>
            </w:pPr>
            <w:r>
              <w:rPr>
                <w:rFonts w:ascii="Arial" w:cs="Arial" w:eastAsia="Arial" w:hAnsi="Arial"/>
                <w:sz w:val="20"/>
                <w:szCs w:val="20"/>
                <w:b w:val="1"/>
                <w:bCs w:val="1"/>
                <w:color w:val="auto"/>
                <w:w w:val="93"/>
              </w:rPr>
              <w:t>Real Estate Key Performance Indicators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ind w:left="640"/>
              <w:spacing w:after="0"/>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635"/>
              <w:spacing w:after="0"/>
              <w:rPr>
                <w:sz w:val="20"/>
                <w:szCs w:val="20"/>
                <w:color w:val="auto"/>
              </w:rPr>
            </w:pPr>
            <w:r>
              <w:rPr>
                <w:rFonts w:ascii="Arial" w:cs="Arial" w:eastAsia="Arial" w:hAnsi="Arial"/>
                <w:sz w:val="20"/>
                <w:szCs w:val="20"/>
                <w:b w:val="1"/>
                <w:bCs w:val="1"/>
                <w:color w:val="auto"/>
              </w:rPr>
              <w:t>Twelve Months Ended</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ind w:left="260"/>
              <w:spacing w:after="0" w:line="216" w:lineRule="exact"/>
              <w:rPr>
                <w:sz w:val="20"/>
                <w:szCs w:val="20"/>
                <w:color w:val="auto"/>
              </w:rPr>
            </w:pPr>
            <w:r>
              <w:rPr>
                <w:rFonts w:ascii="Arial" w:cs="Arial" w:eastAsia="Arial" w:hAnsi="Arial"/>
                <w:sz w:val="20"/>
                <w:szCs w:val="20"/>
                <w:b w:val="1"/>
                <w:bCs w:val="1"/>
                <w:color w:val="auto"/>
              </w:rPr>
              <w:t>December 31,</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317"/>
              <w:spacing w:after="0" w:line="216" w:lineRule="exact"/>
              <w:rPr>
                <w:sz w:val="20"/>
                <w:szCs w:val="20"/>
                <w:color w:val="auto"/>
              </w:rPr>
            </w:pPr>
            <w:r>
              <w:rPr>
                <w:rFonts w:ascii="Arial" w:cs="Arial" w:eastAsia="Arial" w:hAnsi="Arial"/>
                <w:sz w:val="20"/>
                <w:szCs w:val="20"/>
                <w:b w:val="1"/>
                <w:bCs w:val="1"/>
                <w:color w:val="auto"/>
              </w:rPr>
              <w:t>December 31,</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80" w:type="dxa"/>
            <w:vAlign w:val="bottom"/>
          </w:tcPr>
          <w:p>
            <w:pPr>
              <w:ind w:left="100"/>
              <w:spacing w:after="0" w:line="177" w:lineRule="exact"/>
              <w:rPr>
                <w:sz w:val="20"/>
                <w:szCs w:val="20"/>
                <w:color w:val="auto"/>
              </w:rPr>
            </w:pPr>
            <w:r>
              <w:rPr>
                <w:rFonts w:ascii="Arial" w:cs="Arial" w:eastAsia="Arial" w:hAnsi="Arial"/>
                <w:sz w:val="18"/>
                <w:szCs w:val="18"/>
                <w:b w:val="1"/>
                <w:bCs w:val="1"/>
                <w:color w:val="auto"/>
                <w:w w:val="98"/>
              </w:rPr>
              <w:t>Real Estate</w:t>
            </w: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 Change</w:t>
            </w:r>
          </w:p>
        </w:tc>
        <w:tc>
          <w:tcPr>
            <w:tcW w:w="0" w:type="dxa"/>
            <w:vAlign w:val="bottom"/>
          </w:tcPr>
          <w:p>
            <w:pPr>
              <w:spacing w:after="0"/>
              <w:rPr>
                <w:sz w:val="1"/>
                <w:szCs w:val="1"/>
                <w:color w:val="auto"/>
              </w:rPr>
            </w:pPr>
          </w:p>
        </w:tc>
      </w:tr>
      <w:tr>
        <w:trPr>
          <w:trHeight w:val="173"/>
        </w:trPr>
        <w:tc>
          <w:tcPr>
            <w:tcW w:w="1080" w:type="dxa"/>
            <w:vAlign w:val="bottom"/>
          </w:tcPr>
          <w:p>
            <w:pPr>
              <w:spacing w:after="0" w:line="173" w:lineRule="exact"/>
              <w:rPr>
                <w:sz w:val="20"/>
                <w:szCs w:val="20"/>
                <w:color w:val="auto"/>
              </w:rPr>
            </w:pPr>
            <w:r>
              <w:rPr>
                <w:rFonts w:ascii="Arial" w:cs="Arial" w:eastAsia="Arial" w:hAnsi="Arial"/>
                <w:sz w:val="18"/>
                <w:szCs w:val="18"/>
                <w:b w:val="1"/>
                <w:bCs w:val="1"/>
                <w:color w:val="auto"/>
                <w:w w:val="93"/>
              </w:rPr>
              <w:t>(in functional</w:t>
            </w: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currency)'000</w:t>
            </w: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line="219" w:lineRule="exact"/>
              <w:rPr>
                <w:sz w:val="20"/>
                <w:szCs w:val="20"/>
                <w:color w:val="auto"/>
              </w:rPr>
            </w:pPr>
            <w:r>
              <w:rPr>
                <w:rFonts w:ascii="Arial" w:cs="Arial" w:eastAsia="Arial" w:hAnsi="Arial"/>
                <w:sz w:val="20"/>
                <w:szCs w:val="20"/>
                <w:b w:val="1"/>
                <w:bCs w:val="1"/>
                <w:color w:val="auto"/>
              </w:rPr>
              <w:t>2025</w:t>
            </w:r>
          </w:p>
        </w:tc>
        <w:tc>
          <w:tcPr>
            <w:tcW w:w="1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60"/>
              <w:spacing w:after="0" w:line="219" w:lineRule="exact"/>
              <w:rPr>
                <w:sz w:val="20"/>
                <w:szCs w:val="20"/>
                <w:color w:val="auto"/>
              </w:rPr>
            </w:pPr>
            <w:r>
              <w:rPr>
                <w:rFonts w:ascii="Arial" w:cs="Arial" w:eastAsia="Arial" w:hAnsi="Arial"/>
                <w:sz w:val="20"/>
                <w:szCs w:val="20"/>
                <w:b w:val="1"/>
                <w:bCs w:val="1"/>
                <w:color w:val="auto"/>
              </w:rPr>
              <w:t>2024</w:t>
            </w:r>
          </w:p>
        </w:tc>
        <w:tc>
          <w:tcPr>
            <w:tcW w:w="40" w:type="dxa"/>
            <w:vAlign w:val="bottom"/>
          </w:tcPr>
          <w:p>
            <w:pPr>
              <w:spacing w:after="0"/>
              <w:rPr>
                <w:sz w:val="19"/>
                <w:szCs w:val="19"/>
                <w:color w:val="auto"/>
              </w:rPr>
            </w:pPr>
          </w:p>
        </w:tc>
        <w:tc>
          <w:tcPr>
            <w:tcW w:w="136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w w:val="95"/>
              </w:rPr>
              <w:t>Fav/(Unfav)</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line="219" w:lineRule="exact"/>
              <w:rPr>
                <w:sz w:val="20"/>
                <w:szCs w:val="20"/>
                <w:color w:val="auto"/>
              </w:rPr>
            </w:pPr>
            <w:r>
              <w:rPr>
                <w:rFonts w:ascii="Arial" w:cs="Arial" w:eastAsia="Arial" w:hAnsi="Arial"/>
                <w:sz w:val="20"/>
                <w:szCs w:val="20"/>
                <w:b w:val="1"/>
                <w:bCs w:val="1"/>
                <w:color w:val="auto"/>
              </w:rPr>
              <w:t>2025</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7"/>
              <w:spacing w:after="0" w:line="219" w:lineRule="exact"/>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19"/>
                <w:szCs w:val="19"/>
                <w:color w:val="auto"/>
              </w:rPr>
            </w:pPr>
          </w:p>
        </w:tc>
        <w:tc>
          <w:tcPr>
            <w:tcW w:w="134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w w:val="93"/>
              </w:rPr>
              <w:t>Fav/(Unfav)</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w w:val="94"/>
              </w:rPr>
              <w:t>Net Operating Income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(185)</w:t>
            </w: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(955)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(1,285)</w:t>
            </w:r>
          </w:p>
        </w:tc>
        <w:tc>
          <w:tcPr>
            <w:tcW w:w="6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25.7%</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w w:val="94"/>
              </w:rPr>
              <w:t>Net Operating Income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900</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738</w:t>
            </w: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3,138</w:t>
            </w:r>
          </w:p>
        </w:tc>
        <w:tc>
          <w:tcPr>
            <w:tcW w:w="6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(2.7)%</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500" w:type="dxa"/>
            <w:vAlign w:val="bottom"/>
          </w:tcPr>
          <w:p>
            <w:pPr>
              <w:spacing w:after="0" w:line="173" w:lineRule="exact"/>
              <w:rPr>
                <w:sz w:val="20"/>
                <w:szCs w:val="20"/>
                <w:color w:val="auto"/>
              </w:rPr>
            </w:pPr>
            <w:r>
              <w:rPr>
                <w:rFonts w:ascii="Arial" w:cs="Arial" w:eastAsia="Arial" w:hAnsi="Arial"/>
                <w:sz w:val="16"/>
                <w:szCs w:val="16"/>
                <w:color w:val="auto"/>
              </w:rPr>
              <w:t>Occupancy Factor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280"/>
              <w:spacing w:after="0" w:line="173" w:lineRule="exact"/>
              <w:rPr>
                <w:sz w:val="20"/>
                <w:szCs w:val="20"/>
                <w:color w:val="auto"/>
              </w:rPr>
            </w:pPr>
            <w:r>
              <w:rPr>
                <w:rFonts w:ascii="Arial" w:cs="Arial" w:eastAsia="Arial" w:hAnsi="Arial"/>
                <w:sz w:val="16"/>
                <w:szCs w:val="16"/>
                <w:color w:val="auto"/>
              </w:rPr>
              <w:t>98.3%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97"/>
              <w:spacing w:after="0" w:line="173" w:lineRule="exact"/>
              <w:rPr>
                <w:sz w:val="20"/>
                <w:szCs w:val="20"/>
                <w:color w:val="auto"/>
              </w:rPr>
            </w:pPr>
            <w:r>
              <w:rPr>
                <w:rFonts w:ascii="Arial" w:cs="Arial" w:eastAsia="Arial" w:hAnsi="Arial"/>
                <w:sz w:val="16"/>
                <w:szCs w:val="16"/>
                <w:color w:val="auto"/>
              </w:rPr>
              <w:t>95.8%</w:t>
            </w:r>
          </w:p>
        </w:tc>
        <w:tc>
          <w:tcPr>
            <w:tcW w:w="40" w:type="dxa"/>
            <w:vAlign w:val="bottom"/>
          </w:tcPr>
          <w:p>
            <w:pPr>
              <w:spacing w:after="0"/>
              <w:rPr>
                <w:sz w:val="15"/>
                <w:szCs w:val="15"/>
                <w:color w:val="auto"/>
              </w:rPr>
            </w:pPr>
          </w:p>
        </w:tc>
        <w:tc>
          <w:tcPr>
            <w:tcW w:w="1360" w:type="dxa"/>
            <w:vAlign w:val="bottom"/>
          </w:tcPr>
          <w:p>
            <w:pPr>
              <w:jc w:val="right"/>
              <w:spacing w:after="0" w:line="173" w:lineRule="exact"/>
              <w:rPr>
                <w:sz w:val="20"/>
                <w:szCs w:val="20"/>
                <w:color w:val="auto"/>
              </w:rPr>
            </w:pPr>
            <w:r>
              <w:rPr>
                <w:rFonts w:ascii="Arial" w:cs="Arial" w:eastAsia="Arial" w:hAnsi="Arial"/>
                <w:sz w:val="16"/>
                <w:szCs w:val="16"/>
                <w:color w:val="auto"/>
              </w:rPr>
              <w:t>2.5 %age points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3" w:lineRule="exact"/>
              <w:rPr>
                <w:sz w:val="20"/>
                <w:szCs w:val="20"/>
                <w:color w:val="auto"/>
              </w:rPr>
            </w:pPr>
            <w:r>
              <w:rPr>
                <w:rFonts w:ascii="Arial" w:cs="Arial" w:eastAsia="Arial" w:hAnsi="Arial"/>
                <w:sz w:val="16"/>
                <w:szCs w:val="16"/>
                <w:color w:val="auto"/>
                <w:w w:val="92"/>
              </w:rPr>
              <w:t>98.3%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spacing w:after="0" w:line="173" w:lineRule="exact"/>
              <w:rPr>
                <w:sz w:val="20"/>
                <w:szCs w:val="20"/>
                <w:color w:val="auto"/>
              </w:rPr>
            </w:pPr>
            <w:r>
              <w:rPr>
                <w:rFonts w:ascii="Arial" w:cs="Arial" w:eastAsia="Arial" w:hAnsi="Arial"/>
                <w:sz w:val="16"/>
                <w:szCs w:val="16"/>
                <w:color w:val="auto"/>
                <w:w w:val="92"/>
              </w:rPr>
              <w:t>95.8%</w:t>
            </w:r>
          </w:p>
        </w:tc>
        <w:tc>
          <w:tcPr>
            <w:tcW w:w="60" w:type="dxa"/>
            <w:vAlign w:val="bottom"/>
          </w:tcPr>
          <w:p>
            <w:pPr>
              <w:spacing w:after="0"/>
              <w:rPr>
                <w:sz w:val="15"/>
                <w:szCs w:val="15"/>
                <w:color w:val="auto"/>
              </w:rPr>
            </w:pP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2.5 %age points</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Average Lease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Duration</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w w:val="87"/>
              </w:rPr>
              <w:t>3.40 Years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w w:val="93"/>
              </w:rPr>
              <w:t>4.18Years</w:t>
            </w: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8"/>
              </w:rPr>
              <w:t>(0.78) years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92"/>
              </w:rPr>
              <w:t>3.40 Years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4"/>
              </w:rPr>
              <w:t>4.18Years</w:t>
            </w: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(0.78) years</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New Zealand</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w w:val="94"/>
              </w:rPr>
              <w:t>Net Operating Income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(797)</w:t>
            </w: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(1,142)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(2,730)</w:t>
            </w:r>
          </w:p>
        </w:tc>
        <w:tc>
          <w:tcPr>
            <w:tcW w:w="6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58.2%</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1500" w:type="dxa"/>
            <w:vAlign w:val="bottom"/>
          </w:tcPr>
          <w:p>
            <w:pPr>
              <w:spacing w:after="0" w:line="177" w:lineRule="exact"/>
              <w:rPr>
                <w:sz w:val="20"/>
                <w:szCs w:val="20"/>
                <w:color w:val="auto"/>
              </w:rPr>
            </w:pPr>
            <w:r>
              <w:rPr>
                <w:rFonts w:ascii="Arial" w:cs="Arial" w:eastAsia="Arial" w:hAnsi="Arial"/>
                <w:sz w:val="16"/>
                <w:szCs w:val="16"/>
                <w:color w:val="auto"/>
              </w:rPr>
              <w:t>Occupancy Factor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240"/>
              <w:spacing w:after="0" w:line="177"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17"/>
              <w:spacing w:after="0" w:line="177" w:lineRule="exact"/>
              <w:rPr>
                <w:sz w:val="20"/>
                <w:szCs w:val="20"/>
                <w:color w:val="auto"/>
              </w:rPr>
            </w:pPr>
            <w:r>
              <w:rPr>
                <w:rFonts w:ascii="Arial" w:cs="Arial" w:eastAsia="Arial" w:hAnsi="Arial"/>
                <w:sz w:val="16"/>
                <w:szCs w:val="16"/>
                <w:color w:val="auto"/>
              </w:rPr>
              <w:t>100%</w:t>
            </w:r>
          </w:p>
        </w:tc>
        <w:tc>
          <w:tcPr>
            <w:tcW w:w="4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Arial" w:cs="Arial" w:eastAsia="Arial" w:hAnsi="Arial"/>
                <w:sz w:val="16"/>
                <w:szCs w:val="16"/>
                <w:color w:val="auto"/>
              </w:rPr>
              <w:t>-%age points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line="177" w:lineRule="exact"/>
              <w:rPr>
                <w:sz w:val="20"/>
                <w:szCs w:val="20"/>
                <w:color w:val="auto"/>
              </w:rPr>
            </w:pPr>
            <w:r>
              <w:rPr>
                <w:rFonts w:ascii="Arial" w:cs="Arial" w:eastAsia="Arial" w:hAnsi="Arial"/>
                <w:sz w:val="16"/>
                <w:szCs w:val="16"/>
                <w:color w:val="auto"/>
                <w:w w:val="92"/>
              </w:rPr>
              <w:t>100%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spacing w:after="0" w:line="177" w:lineRule="exact"/>
              <w:rPr>
                <w:sz w:val="20"/>
                <w:szCs w:val="20"/>
                <w:color w:val="auto"/>
              </w:rPr>
            </w:pPr>
            <w:r>
              <w:rPr>
                <w:rFonts w:ascii="Arial" w:cs="Arial" w:eastAsia="Arial" w:hAnsi="Arial"/>
                <w:sz w:val="16"/>
                <w:szCs w:val="16"/>
                <w:color w:val="auto"/>
                <w:w w:val="92"/>
              </w:rPr>
              <w:t>100%</w:t>
            </w:r>
          </w:p>
        </w:tc>
        <w:tc>
          <w:tcPr>
            <w:tcW w:w="60" w:type="dxa"/>
            <w:vAlign w:val="bottom"/>
          </w:tcPr>
          <w:p>
            <w:pPr>
              <w:spacing w:after="0"/>
              <w:rPr>
                <w:sz w:val="15"/>
                <w:szCs w:val="15"/>
                <w:color w:val="auto"/>
              </w:rPr>
            </w:pPr>
          </w:p>
        </w:tc>
        <w:tc>
          <w:tcPr>
            <w:tcW w:w="1340" w:type="dxa"/>
            <w:vAlign w:val="bottom"/>
          </w:tcPr>
          <w:p>
            <w:pPr>
              <w:jc w:val="right"/>
              <w:spacing w:after="0" w:line="177" w:lineRule="exact"/>
              <w:rPr>
                <w:sz w:val="20"/>
                <w:szCs w:val="20"/>
                <w:color w:val="auto"/>
              </w:rPr>
            </w:pPr>
            <w:r>
              <w:rPr>
                <w:rFonts w:ascii="Arial" w:cs="Arial" w:eastAsia="Arial" w:hAnsi="Arial"/>
                <w:sz w:val="16"/>
                <w:szCs w:val="16"/>
                <w:color w:val="auto"/>
              </w:rPr>
              <w:t>-%age points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20"/>
          </w:cols>
          <w:pgMar w:left="1260" w:top="1347" w:right="1226"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420"/>
          </w:cols>
          <w:pgMar w:left="1260" w:top="1347" w:right="1226" w:bottom="0" w:gutter="0" w:footer="0" w:header="0"/>
          <w:type w:val="continuous"/>
        </w:sectPr>
      </w:pPr>
    </w:p>
    <w:bookmarkStart w:id="59" w:name="page60"/>
    <w:bookmarkEnd w:id="59"/>
    <w:tbl>
      <w:tblPr>
        <w:tblLayout w:type="fixed"/>
        <w:tblInd w:w="9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Arial" w:cs="Arial" w:eastAsia="Arial" w:hAnsi="Arial"/>
                <w:sz w:val="16"/>
                <w:szCs w:val="16"/>
                <w:color w:val="auto"/>
              </w:rPr>
              <w:t>Average Lease</w:t>
            </w: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7"/>
        </w:trPr>
        <w:tc>
          <w:tcPr>
            <w:tcW w:w="1380" w:type="dxa"/>
            <w:vAlign w:val="bottom"/>
          </w:tcPr>
          <w:p>
            <w:pPr>
              <w:spacing w:after="0" w:line="177" w:lineRule="exact"/>
              <w:rPr>
                <w:sz w:val="20"/>
                <w:szCs w:val="20"/>
                <w:color w:val="auto"/>
              </w:rPr>
            </w:pPr>
            <w:r>
              <w:rPr>
                <w:rFonts w:ascii="Arial" w:cs="Arial" w:eastAsia="Arial" w:hAnsi="Arial"/>
                <w:sz w:val="16"/>
                <w:szCs w:val="16"/>
                <w:color w:val="auto"/>
              </w:rPr>
              <w:t>Duration</w:t>
            </w:r>
          </w:p>
        </w:tc>
        <w:tc>
          <w:tcPr>
            <w:tcW w:w="1260" w:type="dxa"/>
            <w:vAlign w:val="bottom"/>
          </w:tcPr>
          <w:p>
            <w:pPr>
              <w:ind w:left="420"/>
              <w:spacing w:after="0" w:line="177" w:lineRule="exact"/>
              <w:rPr>
                <w:sz w:val="20"/>
                <w:szCs w:val="20"/>
                <w:color w:val="auto"/>
              </w:rPr>
            </w:pPr>
            <w:r>
              <w:rPr>
                <w:rFonts w:ascii="Arial" w:cs="Arial" w:eastAsia="Arial" w:hAnsi="Arial"/>
                <w:sz w:val="16"/>
                <w:szCs w:val="16"/>
                <w:color w:val="auto"/>
              </w:rPr>
              <w:t>0.08 Years</w:t>
            </w:r>
          </w:p>
        </w:tc>
        <w:tc>
          <w:tcPr>
            <w:tcW w:w="1020" w:type="dxa"/>
            <w:vAlign w:val="bottom"/>
          </w:tcPr>
          <w:p>
            <w:pPr>
              <w:ind w:left="160"/>
              <w:spacing w:after="0" w:line="177" w:lineRule="exact"/>
              <w:rPr>
                <w:sz w:val="20"/>
                <w:szCs w:val="20"/>
                <w:color w:val="auto"/>
              </w:rPr>
            </w:pPr>
            <w:r>
              <w:rPr>
                <w:rFonts w:ascii="Arial" w:cs="Arial" w:eastAsia="Arial" w:hAnsi="Arial"/>
                <w:sz w:val="16"/>
                <w:szCs w:val="16"/>
                <w:color w:val="auto"/>
              </w:rPr>
              <w:t>0.87 Years</w:t>
            </w:r>
          </w:p>
        </w:tc>
        <w:tc>
          <w:tcPr>
            <w:tcW w:w="1240" w:type="dxa"/>
            <w:vAlign w:val="bottom"/>
          </w:tcPr>
          <w:p>
            <w:pPr>
              <w:ind w:left="180"/>
              <w:spacing w:after="0" w:line="177" w:lineRule="exact"/>
              <w:rPr>
                <w:sz w:val="20"/>
                <w:szCs w:val="20"/>
                <w:color w:val="auto"/>
              </w:rPr>
            </w:pPr>
            <w:r>
              <w:rPr>
                <w:rFonts w:ascii="Arial" w:cs="Arial" w:eastAsia="Arial" w:hAnsi="Arial"/>
                <w:sz w:val="16"/>
                <w:szCs w:val="16"/>
                <w:color w:val="auto"/>
              </w:rPr>
              <w:t>(0.79) years</w:t>
            </w:r>
          </w:p>
        </w:tc>
        <w:tc>
          <w:tcPr>
            <w:tcW w:w="1140" w:type="dxa"/>
            <w:vAlign w:val="bottom"/>
          </w:tcPr>
          <w:p>
            <w:pPr>
              <w:ind w:left="300"/>
              <w:spacing w:after="0" w:line="177" w:lineRule="exact"/>
              <w:rPr>
                <w:sz w:val="20"/>
                <w:szCs w:val="20"/>
                <w:color w:val="auto"/>
              </w:rPr>
            </w:pPr>
            <w:r>
              <w:rPr>
                <w:rFonts w:ascii="Arial" w:cs="Arial" w:eastAsia="Arial" w:hAnsi="Arial"/>
                <w:sz w:val="16"/>
                <w:szCs w:val="16"/>
                <w:color w:val="auto"/>
              </w:rPr>
              <w:t>0.08 Years</w:t>
            </w:r>
          </w:p>
        </w:tc>
        <w:tc>
          <w:tcPr>
            <w:tcW w:w="1020" w:type="dxa"/>
            <w:vAlign w:val="bottom"/>
          </w:tcPr>
          <w:p>
            <w:pPr>
              <w:ind w:left="160"/>
              <w:spacing w:after="0" w:line="177" w:lineRule="exact"/>
              <w:rPr>
                <w:sz w:val="20"/>
                <w:szCs w:val="20"/>
                <w:color w:val="auto"/>
              </w:rPr>
            </w:pPr>
            <w:r>
              <w:rPr>
                <w:rFonts w:ascii="Arial" w:cs="Arial" w:eastAsia="Arial" w:hAnsi="Arial"/>
                <w:sz w:val="16"/>
                <w:szCs w:val="16"/>
                <w:color w:val="auto"/>
              </w:rPr>
              <w:t>0.87 Years</w:t>
            </w:r>
          </w:p>
        </w:tc>
        <w:tc>
          <w:tcPr>
            <w:tcW w:w="980" w:type="dxa"/>
            <w:vAlign w:val="bottom"/>
          </w:tcPr>
          <w:p>
            <w:pPr>
              <w:ind w:left="200"/>
              <w:spacing w:after="0" w:line="177" w:lineRule="exact"/>
              <w:rPr>
                <w:sz w:val="20"/>
                <w:szCs w:val="20"/>
                <w:color w:val="auto"/>
              </w:rPr>
            </w:pPr>
            <w:r>
              <w:rPr>
                <w:rFonts w:ascii="Arial" w:cs="Arial" w:eastAsia="Arial" w:hAnsi="Arial"/>
                <w:sz w:val="16"/>
                <w:szCs w:val="16"/>
                <w:color w:val="auto"/>
                <w:w w:val="88"/>
              </w:rPr>
              <w:t>(0.79)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-219710</wp:posOffset>
            </wp:positionV>
            <wp:extent cx="525780" cy="2197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525780" cy="21971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-219710</wp:posOffset>
            </wp:positionV>
            <wp:extent cx="2013585" cy="219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2013585" cy="2197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026"/>
          </w:cols>
          <w:pgMar w:left="1440" w:top="1120" w:right="1440" w:bottom="0" w:gutter="0" w:footer="0" w:header="0"/>
          <w:type w:val="continuous"/>
        </w:sectPr>
      </w:pPr>
    </w:p>
    <w:bookmarkStart w:id="60" w:name="page61"/>
    <w:bookmarkEnd w:id="60"/>
    <w:p>
      <w:pPr>
        <w:jc w:val="both"/>
        <w:ind w:right="40"/>
        <w:spacing w:after="0" w:line="226" w:lineRule="auto"/>
        <w:rPr>
          <w:sz w:val="20"/>
          <w:szCs w:val="20"/>
          <w:color w:val="auto"/>
        </w:rPr>
      </w:pPr>
      <w:r>
        <w:rPr>
          <w:rFonts w:ascii="Arial" w:cs="Arial" w:eastAsia="Arial" w:hAnsi="Arial"/>
          <w:sz w:val="20"/>
          <w:szCs w:val="20"/>
          <w:color w:val="auto"/>
        </w:rPr>
        <w:t>In the case of our Live Theatres, with respect to key performance indicators, we primarily look to the live theater licensing revenue and ancillary income from the theatres. This is the fixed fee income paid to us as a license fee, plus variable fees for various services (like box office and concessions). The licensee takes all risks of the success or failure of the production. However, due to our ancillary variable revenue, we do better with a well performing show than a poorly performing show or no show at all.</w:t>
      </w:r>
    </w:p>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Historically, in the case of our development properties (such as 44 Union Square in New York City) and our various international properties such as Newmarket Village in Australia, we have no specific key performance standards to compare performance from period to period. Rather we continue to analyze budgets and projections and compare actual results to budgeted or projected results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Cinema Additions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additions to our cinema portfolio during 2023-2025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Australia and New Zealand</w:t>
      </w:r>
    </w:p>
    <w:p>
      <w:pPr>
        <w:spacing w:after="0" w:line="97" w:lineRule="exact"/>
        <w:rPr>
          <w:sz w:val="20"/>
          <w:szCs w:val="20"/>
          <w:color w:val="auto"/>
        </w:rPr>
      </w:pPr>
    </w:p>
    <w:p>
      <w:pPr>
        <w:ind w:left="720" w:hanging="366"/>
        <w:spacing w:after="0" w:line="259" w:lineRule="auto"/>
        <w:tabs>
          <w:tab w:leader="none" w:pos="720" w:val="left"/>
        </w:tabs>
        <w:numPr>
          <w:ilvl w:val="0"/>
          <w:numId w:val="25"/>
        </w:numPr>
        <w:rPr>
          <w:rFonts w:ascii="Wingdings" w:cs="Wingdings" w:eastAsia="Wingdings" w:hAnsi="Wingdings"/>
          <w:sz w:val="19"/>
          <w:szCs w:val="19"/>
          <w:color w:val="auto"/>
        </w:rPr>
      </w:pPr>
      <w:r>
        <w:rPr>
          <w:rFonts w:ascii="Arial" w:cs="Arial" w:eastAsia="Arial" w:hAnsi="Arial"/>
          <w:sz w:val="19"/>
          <w:szCs w:val="19"/>
          <w:i w:val="1"/>
          <w:iCs w:val="1"/>
          <w:u w:val="single" w:color="auto"/>
          <w:color w:val="auto"/>
        </w:rPr>
        <w:t>Busselton, Western Australia, Australia</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On September 22, 2023, we opened a five-screen complex in the</w:t>
      </w:r>
      <w:r>
        <w:rPr>
          <w:rFonts w:ascii="Arial" w:cs="Arial" w:eastAsia="Arial" w:hAnsi="Arial"/>
          <w:sz w:val="19"/>
          <w:szCs w:val="19"/>
          <w:i w:val="1"/>
          <w:iCs w:val="1"/>
          <w:color w:val="auto"/>
        </w:rPr>
        <w:t xml:space="preserve"> </w:t>
      </w:r>
      <w:r>
        <w:rPr>
          <w:rFonts w:ascii="Arial" w:cs="Arial" w:eastAsia="Arial" w:hAnsi="Arial"/>
          <w:sz w:val="19"/>
          <w:szCs w:val="19"/>
          <w:color w:val="auto"/>
        </w:rPr>
        <w:t>newly expanded Busselton Central Shopping Centre precinct of Busselton, Western Australia. The state-of-the-art complex features a TITAN LUXE screen, elevated F&amp;B offerings, and recliner seating.</w:t>
      </w:r>
    </w:p>
    <w:p>
      <w:pPr>
        <w:spacing w:after="0" w:line="101" w:lineRule="exact"/>
        <w:rPr>
          <w:rFonts w:ascii="Wingdings" w:cs="Wingdings" w:eastAsia="Wingdings" w:hAnsi="Wingdings"/>
          <w:sz w:val="19"/>
          <w:szCs w:val="19"/>
          <w:color w:val="auto"/>
        </w:rPr>
      </w:pPr>
    </w:p>
    <w:p>
      <w:pPr>
        <w:jc w:val="both"/>
        <w:ind w:left="720" w:right="100" w:hanging="366"/>
        <w:spacing w:after="0" w:line="242" w:lineRule="auto"/>
        <w:tabs>
          <w:tab w:leader="none" w:pos="720" w:val="left"/>
        </w:tabs>
        <w:numPr>
          <w:ilvl w:val="0"/>
          <w:numId w:val="25"/>
        </w:numPr>
        <w:rPr>
          <w:rFonts w:ascii="Wingdings" w:cs="Wingdings" w:eastAsia="Wingdings" w:hAnsi="Wingdings"/>
          <w:sz w:val="20"/>
          <w:szCs w:val="20"/>
          <w:color w:val="auto"/>
        </w:rPr>
      </w:pPr>
      <w:r>
        <w:rPr>
          <w:rFonts w:ascii="Arial" w:cs="Arial" w:eastAsia="Arial" w:hAnsi="Arial"/>
          <w:sz w:val="20"/>
          <w:szCs w:val="20"/>
          <w:i w:val="1"/>
          <w:iCs w:val="1"/>
          <w:u w:val="single" w:color="auto"/>
          <w:color w:val="auto"/>
        </w:rPr>
        <w:t>South City Square, Queensland, Australia:</w:t>
      </w:r>
      <w:r>
        <w:rPr>
          <w:rFonts w:ascii="Arial" w:cs="Arial" w:eastAsia="Arial" w:hAnsi="Arial"/>
          <w:sz w:val="20"/>
          <w:szCs w:val="20"/>
          <w:i w:val="1"/>
          <w:iCs w:val="1"/>
          <w:color w:val="auto"/>
        </w:rPr>
        <w:t xml:space="preserve"> </w:t>
      </w:r>
      <w:r>
        <w:rPr>
          <w:rFonts w:ascii="Arial" w:cs="Arial" w:eastAsia="Arial" w:hAnsi="Arial"/>
          <w:sz w:val="20"/>
          <w:szCs w:val="20"/>
          <w:color w:val="auto"/>
        </w:rPr>
        <w:t>On August 24, 2023, we launched our first-ever Angelika</w:t>
      </w:r>
      <w:r>
        <w:rPr>
          <w:rFonts w:ascii="Arial" w:cs="Arial" w:eastAsia="Arial" w:hAnsi="Arial"/>
          <w:sz w:val="20"/>
          <w:szCs w:val="20"/>
          <w:i w:val="1"/>
          <w:iCs w:val="1"/>
          <w:color w:val="auto"/>
        </w:rPr>
        <w:t xml:space="preserve"> </w:t>
      </w:r>
      <w:r>
        <w:rPr>
          <w:rFonts w:ascii="Arial" w:cs="Arial" w:eastAsia="Arial" w:hAnsi="Arial"/>
          <w:sz w:val="20"/>
          <w:szCs w:val="20"/>
          <w:color w:val="auto"/>
        </w:rPr>
        <w:t>Cinemas outside of the United States at South City Square in Woolloongabba, Brisbane. The location currently operates as an eight-screen complex, featuring elevated food and beverage offerings (including alcoholic beverages) and recliner seating.</w:t>
      </w:r>
    </w:p>
    <w:p>
      <w:pPr>
        <w:spacing w:after="0" w:line="116" w:lineRule="exact"/>
        <w:rPr>
          <w:rFonts w:ascii="Wingdings" w:cs="Wingdings" w:eastAsia="Wingdings" w:hAnsi="Wingdings"/>
          <w:sz w:val="20"/>
          <w:szCs w:val="20"/>
          <w:color w:val="auto"/>
        </w:rPr>
      </w:pPr>
    </w:p>
    <w:p>
      <w:pPr>
        <w:ind w:left="720" w:right="80" w:hanging="366"/>
        <w:spacing w:after="0" w:line="237" w:lineRule="auto"/>
        <w:tabs>
          <w:tab w:leader="none" w:pos="720" w:val="left"/>
        </w:tabs>
        <w:numPr>
          <w:ilvl w:val="0"/>
          <w:numId w:val="25"/>
        </w:numPr>
        <w:rPr>
          <w:rFonts w:ascii="Wingdings" w:cs="Wingdings" w:eastAsia="Wingdings" w:hAnsi="Wingdings"/>
          <w:sz w:val="20"/>
          <w:szCs w:val="20"/>
          <w:color w:val="auto"/>
        </w:rPr>
      </w:pPr>
      <w:r>
        <w:rPr>
          <w:rFonts w:ascii="Arial" w:cs="Arial" w:eastAsia="Arial" w:hAnsi="Arial"/>
          <w:sz w:val="20"/>
          <w:szCs w:val="20"/>
          <w:i w:val="1"/>
          <w:iCs w:val="1"/>
          <w:u w:val="single" w:color="auto"/>
          <w:color w:val="auto"/>
        </w:rPr>
        <w:t>Armadale, Western Australia, Australia</w:t>
      </w:r>
      <w:r>
        <w:rPr>
          <w:rFonts w:ascii="Arial" w:cs="Arial" w:eastAsia="Arial" w:hAnsi="Arial"/>
          <w:sz w:val="20"/>
          <w:szCs w:val="20"/>
          <w:u w:val="single" w:color="auto"/>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On January 13, 2023, we took over an existing six-screen cinema</w:t>
      </w:r>
      <w:r>
        <w:rPr>
          <w:rFonts w:ascii="Arial" w:cs="Arial" w:eastAsia="Arial" w:hAnsi="Arial"/>
          <w:sz w:val="20"/>
          <w:szCs w:val="20"/>
          <w:i w:val="1"/>
          <w:iCs w:val="1"/>
          <w:color w:val="auto"/>
        </w:rPr>
        <w:t xml:space="preserve"> </w:t>
      </w:r>
      <w:r>
        <w:rPr>
          <w:rFonts w:ascii="Arial" w:cs="Arial" w:eastAsia="Arial" w:hAnsi="Arial"/>
          <w:sz w:val="20"/>
          <w:szCs w:val="20"/>
          <w:color w:val="auto"/>
        </w:rPr>
        <w:t>in Armadale, Australia, a suburb of Perth in Western Australia.</w:t>
      </w:r>
    </w:p>
    <w:p>
      <w:pPr>
        <w:spacing w:after="0" w:line="117"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In addition, in the fourth quarter of 2025, we wound up our long term relationship with Sutton Hill Associates pursuant to a transaction whereby we purchased the 25% non-controlling minority interest in our Cinemas 1,2,3, property that we did not already own and the ground-lessee’s interest in the land and improvements constituting our Village East property, in consideration of our assumption of certain long term (10 years) fixed rate (4.75% per annum) debt owed by Sutton Hill Associates to a third party. That debt has been fair valued by our independent valuation consultant at $7.7 million. This transaction is sometimes referred to in this Report as the “SHA Windup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Cinema Pipeline</w:t>
      </w:r>
    </w:p>
    <w:p>
      <w:pPr>
        <w:spacing w:after="0" w:line="212" w:lineRule="exact"/>
        <w:rPr>
          <w:sz w:val="20"/>
          <w:szCs w:val="20"/>
          <w:color w:val="auto"/>
        </w:rPr>
      </w:pPr>
    </w:p>
    <w:p>
      <w:pPr>
        <w:jc w:val="both"/>
        <w:ind w:right="60"/>
        <w:spacing w:after="0" w:line="238" w:lineRule="auto"/>
        <w:rPr>
          <w:sz w:val="20"/>
          <w:szCs w:val="20"/>
          <w:color w:val="auto"/>
        </w:rPr>
      </w:pPr>
      <w:r>
        <w:rPr>
          <w:rFonts w:ascii="Arial" w:cs="Arial" w:eastAsia="Arial" w:hAnsi="Arial"/>
          <w:sz w:val="19"/>
          <w:szCs w:val="19"/>
          <w:color w:val="auto"/>
        </w:rPr>
        <w:t>On January 31, 2025, we entered into an agreement to lease to fit out and operate under a long term lease our existing 10 screen cinema at the to be redeveloped Courtenay Central in Wellington, New Zealand (the “ATL”). That same day we sold all our Wellington properties, including the existing Courtenay Central to Prime. Under the ATL, Prime is obligated to redevelop Courtenay Central and upgrade it to meet current earthquake standards. We intend to renovate the existing cinema to a “best-in-class” standard.</w:t>
      </w:r>
    </w:p>
    <w:p>
      <w:pPr>
        <w:spacing w:after="0" w:line="213"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Our Board has also authorized management to proceed with the negotiation of a lease for a new state-of-the-art cinema, located in Noosa, Queensland, Australia.</w:t>
      </w:r>
    </w:p>
    <w:p>
      <w:pPr>
        <w:spacing w:after="0" w:line="21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On February 9, 2025, we closed one under-performing cinema located in Queenstown, New Zealand upon expiration of that lease.</w:t>
      </w:r>
    </w:p>
    <w:p>
      <w:pPr>
        <w:spacing w:after="0" w:line="21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On April 15, 2025, we closed our underperforming cinema located in San Diego, California, upon termination of that lease.</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0"/>
          </w:cols>
          <w:pgMar w:left="1260"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20"/>
          </w:cols>
          <w:pgMar w:left="1260" w:top="1347" w:right="1226"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Upgrades to our Film Exhibition Technology and Theater Amenities</w:t>
      </w:r>
    </w:p>
    <w:p>
      <w:pPr>
        <w:spacing w:after="0" w:line="10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2025, all of the upgrades to our theater circuits’ film exhibition technology and amenities over the years are as summarized in the following table: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Screen</w:t>
            </w:r>
          </w:p>
        </w:tc>
      </w:tr>
      <w:tr>
        <w:trPr>
          <w:trHeight w:val="185"/>
        </w:trPr>
        <w:tc>
          <w:tcPr>
            <w:tcW w:w="7180" w:type="dxa"/>
            <w:vAlign w:val="bottom"/>
          </w:tcPr>
          <w:p>
            <w:pPr>
              <w:spacing w:after="0"/>
              <w:rPr>
                <w:sz w:val="16"/>
                <w:szCs w:val="16"/>
                <w:color w:val="auto"/>
              </w:rPr>
            </w:pPr>
          </w:p>
        </w:tc>
        <w:tc>
          <w:tcPr>
            <w:tcW w:w="10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Count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Count</w:t>
            </w:r>
          </w:p>
        </w:tc>
      </w:tr>
      <w:tr>
        <w:trPr>
          <w:trHeight w:val="216"/>
        </w:trPr>
        <w:tc>
          <w:tcPr>
            <w:tcW w:w="7180" w:type="dxa"/>
            <w:vAlign w:val="bottom"/>
          </w:tcPr>
          <w:p>
            <w:pPr>
              <w:spacing w:after="0" w:line="216" w:lineRule="exact"/>
              <w:rPr>
                <w:sz w:val="20"/>
                <w:szCs w:val="20"/>
                <w:color w:val="auto"/>
              </w:rPr>
            </w:pPr>
            <w:r>
              <w:rPr>
                <w:rFonts w:ascii="Arial" w:cs="Arial" w:eastAsia="Arial" w:hAnsi="Arial"/>
                <w:sz w:val="20"/>
                <w:szCs w:val="20"/>
                <w:i w:val="1"/>
                <w:iCs w:val="1"/>
                <w:color w:val="auto"/>
              </w:rPr>
              <w:t>Screen Format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18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Digital (all cinemas in our theater circuit)</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9"/>
              </w:rPr>
              <w:t>58</w:t>
            </w:r>
          </w:p>
        </w:tc>
        <w:tc>
          <w:tcPr>
            <w:tcW w:w="1200" w:type="dxa"/>
            <w:vAlign w:val="bottom"/>
            <w:gridSpan w:val="2"/>
            <w:shd w:val="clear" w:color="auto" w:fill="CCEEFF"/>
          </w:tcPr>
          <w:p>
            <w:pPr>
              <w:jc w:val="center"/>
              <w:ind w:left="40"/>
              <w:spacing w:after="0" w:line="216" w:lineRule="exact"/>
              <w:rPr>
                <w:sz w:val="20"/>
                <w:szCs w:val="20"/>
                <w:color w:val="auto"/>
              </w:rPr>
            </w:pPr>
            <w:r>
              <w:rPr>
                <w:rFonts w:ascii="Arial" w:cs="Arial" w:eastAsia="Arial" w:hAnsi="Arial"/>
                <w:sz w:val="20"/>
                <w:szCs w:val="20"/>
                <w:color w:val="auto"/>
                <w:w w:val="89"/>
              </w:rPr>
              <w:t>469</w:t>
            </w:r>
          </w:p>
        </w:tc>
      </w:tr>
      <w:tr>
        <w:trPr>
          <w:trHeight w:val="216"/>
        </w:trPr>
        <w:tc>
          <w:tcPr>
            <w:tcW w:w="7180" w:type="dxa"/>
            <w:vAlign w:val="bottom"/>
          </w:tcPr>
          <w:p>
            <w:pPr>
              <w:ind w:left="240"/>
              <w:spacing w:after="0" w:line="216" w:lineRule="exact"/>
              <w:rPr>
                <w:sz w:val="20"/>
                <w:szCs w:val="20"/>
                <w:color w:val="auto"/>
              </w:rPr>
            </w:pPr>
            <w:r>
              <w:rPr>
                <w:rFonts w:ascii="Arial" w:cs="Arial" w:eastAsia="Arial" w:hAnsi="Arial"/>
                <w:sz w:val="20"/>
                <w:szCs w:val="20"/>
                <w:color w:val="auto"/>
              </w:rPr>
              <w:t>IMAX</w:t>
            </w:r>
          </w:p>
        </w:tc>
        <w:tc>
          <w:tcPr>
            <w:tcW w:w="1020" w:type="dxa"/>
            <w:vAlign w:val="bottom"/>
          </w:tcPr>
          <w:p>
            <w:pPr>
              <w:jc w:val="center"/>
              <w:spacing w:after="0" w:line="216" w:lineRule="exact"/>
              <w:rPr>
                <w:sz w:val="20"/>
                <w:szCs w:val="20"/>
                <w:color w:val="auto"/>
              </w:rPr>
            </w:pPr>
            <w:r>
              <w:rPr>
                <w:rFonts w:ascii="Arial" w:cs="Arial" w:eastAsia="Arial" w:hAnsi="Arial"/>
                <w:sz w:val="20"/>
                <w:szCs w:val="20"/>
                <w:color w:val="auto"/>
                <w:w w:val="89"/>
              </w:rPr>
              <w:t>1</w:t>
            </w:r>
          </w:p>
        </w:tc>
        <w:tc>
          <w:tcPr>
            <w:tcW w:w="120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w w:val="89"/>
              </w:rPr>
              <w:t>1</w:t>
            </w:r>
          </w:p>
        </w:tc>
      </w:tr>
      <w:tr>
        <w:trPr>
          <w:trHeight w:val="216"/>
        </w:trPr>
        <w:tc>
          <w:tcPr>
            <w:tcW w:w="718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TITAN XC and LUXE</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9"/>
              </w:rPr>
              <w:t>27</w:t>
            </w:r>
          </w:p>
        </w:tc>
        <w:tc>
          <w:tcPr>
            <w:tcW w:w="1200" w:type="dxa"/>
            <w:vAlign w:val="bottom"/>
            <w:gridSpan w:val="2"/>
            <w:shd w:val="clear" w:color="auto" w:fill="CCEEFF"/>
          </w:tcPr>
          <w:p>
            <w:pPr>
              <w:jc w:val="center"/>
              <w:ind w:left="60"/>
              <w:spacing w:after="0" w:line="216" w:lineRule="exact"/>
              <w:rPr>
                <w:sz w:val="20"/>
                <w:szCs w:val="20"/>
                <w:color w:val="auto"/>
              </w:rPr>
            </w:pPr>
            <w:r>
              <w:rPr>
                <w:rFonts w:ascii="Arial" w:cs="Arial" w:eastAsia="Arial" w:hAnsi="Arial"/>
                <w:sz w:val="20"/>
                <w:szCs w:val="20"/>
                <w:color w:val="auto"/>
                <w:w w:val="89"/>
              </w:rPr>
              <w:t>33</w:t>
            </w:r>
          </w:p>
        </w:tc>
      </w:tr>
      <w:tr>
        <w:trPr>
          <w:trHeight w:val="216"/>
        </w:trPr>
        <w:tc>
          <w:tcPr>
            <w:tcW w:w="7180" w:type="dxa"/>
            <w:vAlign w:val="bottom"/>
          </w:tcPr>
          <w:p>
            <w:pPr>
              <w:spacing w:after="0" w:line="216" w:lineRule="exact"/>
              <w:rPr>
                <w:sz w:val="20"/>
                <w:szCs w:val="20"/>
                <w:color w:val="auto"/>
              </w:rPr>
            </w:pPr>
            <w:r>
              <w:rPr>
                <w:rFonts w:ascii="Arial" w:cs="Arial" w:eastAsia="Arial" w:hAnsi="Arial"/>
                <w:sz w:val="20"/>
                <w:szCs w:val="20"/>
                <w:i w:val="1"/>
                <w:iCs w:val="1"/>
                <w:color w:val="auto"/>
              </w:rPr>
              <w:t>Dine-in Service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1"/>
        </w:trPr>
        <w:tc>
          <w:tcPr>
            <w:tcW w:w="7180" w:type="dxa"/>
            <w:vAlign w:val="bottom"/>
            <w:shd w:val="clear" w:color="auto" w:fill="CCEEFF"/>
          </w:tcPr>
          <w:p>
            <w:pPr>
              <w:ind w:left="240"/>
              <w:spacing w:after="0" w:line="291" w:lineRule="exact"/>
              <w:rPr>
                <w:sz w:val="20"/>
                <w:szCs w:val="20"/>
                <w:color w:val="auto"/>
              </w:rPr>
            </w:pPr>
            <w:r>
              <w:rPr>
                <w:rFonts w:ascii="Arial" w:cs="Arial" w:eastAsia="Arial" w:hAnsi="Arial"/>
                <w:sz w:val="19"/>
                <w:szCs w:val="19"/>
                <w:color w:val="auto"/>
              </w:rPr>
              <w:t>Gold Lounge (AU/NZ)</w:t>
            </w:r>
            <w:r>
              <w:rPr>
                <w:rFonts w:ascii="Arial" w:cs="Arial" w:eastAsia="Arial" w:hAnsi="Arial"/>
                <w:sz w:val="33"/>
                <w:szCs w:val="33"/>
                <w:color w:val="auto"/>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0"/>
              </w:rPr>
              <w:t>11</w:t>
            </w:r>
          </w:p>
        </w:tc>
        <w:tc>
          <w:tcPr>
            <w:tcW w:w="1200" w:type="dxa"/>
            <w:vAlign w:val="bottom"/>
            <w:gridSpan w:val="2"/>
            <w:shd w:val="clear" w:color="auto" w:fill="CCEEFF"/>
          </w:tcPr>
          <w:p>
            <w:pPr>
              <w:jc w:val="center"/>
              <w:ind w:left="60"/>
              <w:spacing w:after="0"/>
              <w:rPr>
                <w:sz w:val="20"/>
                <w:szCs w:val="20"/>
                <w:color w:val="auto"/>
              </w:rPr>
            </w:pPr>
            <w:r>
              <w:rPr>
                <w:rFonts w:ascii="Arial" w:cs="Arial" w:eastAsia="Arial" w:hAnsi="Arial"/>
                <w:sz w:val="20"/>
                <w:szCs w:val="20"/>
                <w:color w:val="auto"/>
                <w:w w:val="89"/>
              </w:rPr>
              <w:t>29</w:t>
            </w:r>
          </w:p>
        </w:tc>
      </w:tr>
      <w:tr>
        <w:trPr>
          <w:trHeight w:val="291"/>
        </w:trPr>
        <w:tc>
          <w:tcPr>
            <w:tcW w:w="7180" w:type="dxa"/>
            <w:vAlign w:val="bottom"/>
          </w:tcPr>
          <w:p>
            <w:pPr>
              <w:ind w:left="240"/>
              <w:spacing w:after="0" w:line="291" w:lineRule="exact"/>
              <w:rPr>
                <w:sz w:val="20"/>
                <w:szCs w:val="20"/>
                <w:color w:val="auto"/>
              </w:rPr>
            </w:pPr>
            <w:r>
              <w:rPr>
                <w:rFonts w:ascii="Arial" w:cs="Arial" w:eastAsia="Arial" w:hAnsi="Arial"/>
                <w:sz w:val="19"/>
                <w:szCs w:val="19"/>
                <w:color w:val="auto"/>
              </w:rPr>
              <w:t>Premium (AU/NZ)</w:t>
            </w:r>
            <w:r>
              <w:rPr>
                <w:rFonts w:ascii="Arial" w:cs="Arial" w:eastAsia="Arial" w:hAnsi="Arial"/>
                <w:sz w:val="33"/>
                <w:szCs w:val="33"/>
                <w:color w:val="auto"/>
                <w:vertAlign w:val="superscript"/>
              </w:rPr>
              <w:t>(2)</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18</w:t>
            </w:r>
          </w:p>
        </w:tc>
        <w:tc>
          <w:tcPr>
            <w:tcW w:w="120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47</w:t>
            </w:r>
          </w:p>
        </w:tc>
      </w:tr>
      <w:tr>
        <w:trPr>
          <w:trHeight w:val="291"/>
        </w:trPr>
        <w:tc>
          <w:tcPr>
            <w:tcW w:w="7180" w:type="dxa"/>
            <w:vAlign w:val="bottom"/>
            <w:shd w:val="clear" w:color="auto" w:fill="CCEEFF"/>
          </w:tcPr>
          <w:p>
            <w:pPr>
              <w:ind w:left="240"/>
              <w:spacing w:after="0" w:line="291" w:lineRule="exact"/>
              <w:rPr>
                <w:sz w:val="20"/>
                <w:szCs w:val="20"/>
                <w:color w:val="auto"/>
              </w:rPr>
            </w:pPr>
            <w:r>
              <w:rPr>
                <w:rFonts w:ascii="Arial" w:cs="Arial" w:eastAsia="Arial" w:hAnsi="Arial"/>
                <w:sz w:val="19"/>
                <w:szCs w:val="19"/>
                <w:color w:val="auto"/>
              </w:rPr>
              <w:t>Spotlight (U.S.)</w:t>
            </w:r>
            <w:r>
              <w:rPr>
                <w:rFonts w:ascii="Arial" w:cs="Arial" w:eastAsia="Arial" w:hAnsi="Arial"/>
                <w:sz w:val="33"/>
                <w:szCs w:val="33"/>
                <w:color w:val="auto"/>
                <w:vertAlign w:val="superscript"/>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w:t>
            </w:r>
          </w:p>
        </w:tc>
        <w:tc>
          <w:tcPr>
            <w:tcW w:w="1200" w:type="dxa"/>
            <w:vAlign w:val="bottom"/>
            <w:gridSpan w:val="2"/>
            <w:shd w:val="clear" w:color="auto" w:fill="CCEEFF"/>
          </w:tcPr>
          <w:p>
            <w:pPr>
              <w:jc w:val="center"/>
              <w:ind w:left="40"/>
              <w:spacing w:after="0"/>
              <w:rPr>
                <w:sz w:val="20"/>
                <w:szCs w:val="20"/>
                <w:color w:val="auto"/>
              </w:rPr>
            </w:pPr>
            <w:r>
              <w:rPr>
                <w:rFonts w:ascii="Arial" w:cs="Arial" w:eastAsia="Arial" w:hAnsi="Arial"/>
                <w:sz w:val="20"/>
                <w:szCs w:val="20"/>
                <w:color w:val="auto"/>
                <w:w w:val="89"/>
              </w:rPr>
              <w:t>6</w:t>
            </w:r>
          </w:p>
        </w:tc>
      </w:tr>
      <w:tr>
        <w:trPr>
          <w:trHeight w:val="291"/>
        </w:trPr>
        <w:tc>
          <w:tcPr>
            <w:tcW w:w="7180" w:type="dxa"/>
            <w:vAlign w:val="bottom"/>
          </w:tcPr>
          <w:p>
            <w:pPr>
              <w:spacing w:after="0" w:line="291" w:lineRule="exact"/>
              <w:rPr>
                <w:sz w:val="20"/>
                <w:szCs w:val="20"/>
                <w:color w:val="auto"/>
              </w:rPr>
            </w:pPr>
            <w:r>
              <w:rPr>
                <w:rFonts w:ascii="Arial" w:cs="Arial" w:eastAsia="Arial" w:hAnsi="Arial"/>
                <w:sz w:val="19"/>
                <w:szCs w:val="19"/>
                <w:i w:val="1"/>
                <w:iCs w:val="1"/>
                <w:color w:val="auto"/>
              </w:rPr>
              <w:t>Upgraded Food &amp; Beverage menu (U.S.)</w:t>
            </w:r>
            <w:r>
              <w:rPr>
                <w:rFonts w:ascii="Arial" w:cs="Arial" w:eastAsia="Arial" w:hAnsi="Arial"/>
                <w:sz w:val="33"/>
                <w:szCs w:val="33"/>
                <w:color w:val="auto"/>
                <w:vertAlign w:val="superscript"/>
              </w:rPr>
              <w:t>(4)</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15</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0"/>
                <w:szCs w:val="20"/>
                <w:i w:val="1"/>
                <w:iCs w:val="1"/>
                <w:color w:val="auto"/>
                <w:w w:val="93"/>
              </w:rPr>
              <w:t>n/a</w:t>
            </w:r>
          </w:p>
        </w:tc>
      </w:tr>
      <w:tr>
        <w:trPr>
          <w:trHeight w:val="216"/>
        </w:trPr>
        <w:tc>
          <w:tcPr>
            <w:tcW w:w="7180" w:type="dxa"/>
            <w:vAlign w:val="bottom"/>
            <w:shd w:val="clear" w:color="auto" w:fill="CCEEFF"/>
          </w:tcPr>
          <w:p>
            <w:pPr>
              <w:spacing w:after="0" w:line="216" w:lineRule="exact"/>
              <w:rPr>
                <w:sz w:val="20"/>
                <w:szCs w:val="20"/>
                <w:color w:val="auto"/>
              </w:rPr>
            </w:pPr>
            <w:r>
              <w:rPr>
                <w:rFonts w:ascii="Arial" w:cs="Arial" w:eastAsia="Arial" w:hAnsi="Arial"/>
                <w:sz w:val="20"/>
                <w:szCs w:val="20"/>
                <w:i w:val="1"/>
                <w:iCs w:val="1"/>
                <w:color w:val="auto"/>
              </w:rPr>
              <w:t>Premium Seating (features recliner seating)</w:t>
            </w:r>
          </w:p>
        </w:tc>
        <w:tc>
          <w:tcPr>
            <w:tcW w:w="102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9"/>
              </w:rPr>
              <w:t>35</w:t>
            </w:r>
          </w:p>
        </w:tc>
        <w:tc>
          <w:tcPr>
            <w:tcW w:w="1200" w:type="dxa"/>
            <w:vAlign w:val="bottom"/>
            <w:gridSpan w:val="2"/>
            <w:shd w:val="clear" w:color="auto" w:fill="CCEEFF"/>
          </w:tcPr>
          <w:p>
            <w:pPr>
              <w:jc w:val="center"/>
              <w:ind w:left="40"/>
              <w:spacing w:after="0" w:line="216" w:lineRule="exact"/>
              <w:rPr>
                <w:sz w:val="20"/>
                <w:szCs w:val="20"/>
                <w:color w:val="auto"/>
              </w:rPr>
            </w:pPr>
            <w:r>
              <w:rPr>
                <w:rFonts w:ascii="Arial" w:cs="Arial" w:eastAsia="Arial" w:hAnsi="Arial"/>
                <w:sz w:val="20"/>
                <w:szCs w:val="20"/>
                <w:color w:val="auto"/>
                <w:w w:val="89"/>
              </w:rPr>
              <w:t>205</w:t>
            </w:r>
          </w:p>
        </w:tc>
      </w:tr>
      <w:tr>
        <w:trPr>
          <w:trHeight w:val="439"/>
        </w:trPr>
        <w:tc>
          <w:tcPr>
            <w:tcW w:w="7180" w:type="dxa"/>
            <w:vAlign w:val="bottom"/>
          </w:tcPr>
          <w:p>
            <w:pPr>
              <w:spacing w:after="0"/>
              <w:rPr>
                <w:sz w:val="20"/>
                <w:szCs w:val="20"/>
                <w:color w:val="auto"/>
              </w:rPr>
            </w:pPr>
            <w:r>
              <w:rPr>
                <w:rFonts w:ascii="Arial" w:cs="Arial" w:eastAsia="Arial" w:hAnsi="Arial"/>
                <w:sz w:val="20"/>
                <w:szCs w:val="20"/>
                <w:i w:val="1"/>
                <w:iCs w:val="1"/>
                <w:color w:val="auto"/>
              </w:rPr>
              <w:t>Liquor Licenses in Use</w:t>
            </w:r>
            <w:r>
              <w:rPr>
                <w:rFonts w:ascii="Arial" w:cs="Arial" w:eastAsia="Arial" w:hAnsi="Arial"/>
                <w:sz w:val="36"/>
                <w:szCs w:val="36"/>
                <w:color w:val="auto"/>
                <w:vertAlign w:val="superscript"/>
              </w:rPr>
              <w:t>(5)</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49</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0"/>
                <w:szCs w:val="20"/>
                <w:i w:val="1"/>
                <w:iCs w:val="1"/>
                <w:color w:val="auto"/>
                <w:w w:val="93"/>
              </w:rPr>
              <w:t>n/a</w:t>
            </w:r>
          </w:p>
        </w:tc>
      </w:tr>
    </w:tbl>
    <w:p>
      <w:pPr>
        <w:spacing w:after="0" w:line="66" w:lineRule="exact"/>
        <w:rPr>
          <w:sz w:val="20"/>
          <w:szCs w:val="20"/>
          <w:color w:val="auto"/>
        </w:rPr>
      </w:pPr>
    </w:p>
    <w:p>
      <w:pPr>
        <w:ind w:left="720" w:right="40" w:hanging="366"/>
        <w:spacing w:after="0"/>
        <w:tabs>
          <w:tab w:leader="none" w:pos="72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Gold Lounge</w:t>
      </w:r>
      <w:r>
        <w:rPr>
          <w:rFonts w:ascii="Arial" w:cs="Arial" w:eastAsia="Arial" w:hAnsi="Arial"/>
          <w:sz w:val="15"/>
          <w:szCs w:val="15"/>
          <w:color w:val="auto"/>
        </w:rPr>
        <w:t>: This is our "First Class Full Dine-in Service" in our Australian and New Zealand cinemas, which includes an upgraded</w:t>
      </w:r>
      <w:r>
        <w:rPr>
          <w:rFonts w:ascii="Arial" w:cs="Arial" w:eastAsia="Arial" w:hAnsi="Arial"/>
          <w:sz w:val="15"/>
          <w:szCs w:val="15"/>
          <w:b w:val="1"/>
          <w:bCs w:val="1"/>
          <w:color w:val="auto"/>
        </w:rPr>
        <w:t xml:space="preserve"> </w:t>
      </w:r>
      <w:r>
        <w:rPr>
          <w:rFonts w:ascii="Arial" w:cs="Arial" w:eastAsia="Arial" w:hAnsi="Arial"/>
          <w:sz w:val="15"/>
          <w:szCs w:val="15"/>
          <w:color w:val="auto"/>
        </w:rPr>
        <w:t>F&amp;B menu (with alcoholic beverages), luxury recliner seating features (intimate 25-50 seat cinemas) and waiter service.</w:t>
      </w:r>
    </w:p>
    <w:p>
      <w:pPr>
        <w:jc w:val="both"/>
        <w:ind w:left="720" w:right="40" w:hanging="366"/>
        <w:spacing w:after="0" w:line="225"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Premium Service</w:t>
      </w:r>
      <w:r>
        <w:rPr>
          <w:rFonts w:ascii="Arial" w:cs="Arial" w:eastAsia="Arial" w:hAnsi="Arial"/>
          <w:sz w:val="16"/>
          <w:szCs w:val="16"/>
          <w:color w:val="auto"/>
        </w:rPr>
        <w:t>: This is our "Business Class Dine-in Service" in our Australian and New Zealand cinemas, which typically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upgraded F&amp;B menu (some with alcoholic beverages) and may include luxury recliner seating features (less intimate 80-seat cinemas), but no waiter service.</w:t>
      </w:r>
    </w:p>
    <w:p>
      <w:pPr>
        <w:jc w:val="both"/>
        <w:ind w:left="720" w:right="60" w:hanging="366"/>
        <w:spacing w:after="0"/>
        <w:tabs>
          <w:tab w:leader="none" w:pos="72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Spotlight Service</w:t>
      </w:r>
      <w:r>
        <w:rPr>
          <w:rFonts w:ascii="Arial" w:cs="Arial" w:eastAsia="Arial" w:hAnsi="Arial"/>
          <w:sz w:val="15"/>
          <w:szCs w:val="15"/>
          <w:color w:val="auto"/>
        </w:rPr>
        <w:t>: Our first dine-in cinema concept in the U.S. at Reading Cinemas in Murrieta, California. Six of our 17 auditoriums</w:t>
      </w:r>
      <w:r>
        <w:rPr>
          <w:rFonts w:ascii="Arial" w:cs="Arial" w:eastAsia="Arial" w:hAnsi="Arial"/>
          <w:sz w:val="15"/>
          <w:szCs w:val="15"/>
          <w:b w:val="1"/>
          <w:bCs w:val="1"/>
          <w:color w:val="auto"/>
        </w:rPr>
        <w:t xml:space="preserve"> </w:t>
      </w:r>
      <w:r>
        <w:rPr>
          <w:rFonts w:ascii="Arial" w:cs="Arial" w:eastAsia="Arial" w:hAnsi="Arial"/>
          <w:sz w:val="15"/>
          <w:szCs w:val="15"/>
          <w:color w:val="auto"/>
        </w:rPr>
        <w:t>at this cinema feature waiter service before the movie begins with a full F&amp;B menu, luxury recliner seating, and laser focus on customer service. Our Spotlight service has been temporarily suspended since the initial COVID-19 shutdown.</w:t>
      </w:r>
    </w:p>
    <w:p>
      <w:pPr>
        <w:jc w:val="both"/>
        <w:ind w:left="720" w:right="20" w:hanging="366"/>
        <w:spacing w:after="0" w:line="225"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Upgraded Food &amp; Beverage Menu</w:t>
      </w:r>
      <w:r>
        <w:rPr>
          <w:rFonts w:ascii="Arial" w:cs="Arial" w:eastAsia="Arial" w:hAnsi="Arial"/>
          <w:sz w:val="16"/>
          <w:szCs w:val="16"/>
          <w:color w:val="auto"/>
        </w:rPr>
        <w:t>: Features an elevated F&amp;B menu including a menu of locally inspired and freshly prepared items</w:t>
      </w:r>
      <w:r>
        <w:rPr>
          <w:rFonts w:ascii="Arial" w:cs="Arial" w:eastAsia="Arial" w:hAnsi="Arial"/>
          <w:sz w:val="16"/>
          <w:szCs w:val="16"/>
          <w:b w:val="1"/>
          <w:bCs w:val="1"/>
          <w:color w:val="auto"/>
        </w:rPr>
        <w:t xml:space="preserve"> </w:t>
      </w:r>
      <w:r>
        <w:rPr>
          <w:rFonts w:ascii="Arial" w:cs="Arial" w:eastAsia="Arial" w:hAnsi="Arial"/>
          <w:sz w:val="16"/>
          <w:szCs w:val="16"/>
          <w:color w:val="auto"/>
        </w:rPr>
        <w:t>that go beyond traditional concessions, which we have worked with former Food Network executives to create. The elevated menu also includes beer, wine and/or spirits at most of our locations.</w:t>
      </w:r>
    </w:p>
    <w:p>
      <w:pPr>
        <w:ind w:left="720" w:hanging="366"/>
        <w:spacing w:after="0"/>
        <w:tabs>
          <w:tab w:leader="none" w:pos="72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Liquor Licenses: </w:t>
      </w:r>
      <w:r>
        <w:rPr>
          <w:rFonts w:ascii="Arial" w:cs="Arial" w:eastAsia="Arial" w:hAnsi="Arial"/>
          <w:sz w:val="14"/>
          <w:szCs w:val="14"/>
          <w:color w:val="auto"/>
        </w:rPr>
        <w:t>Licenses are applicable at each cinema location, rather than each cinema auditorium. As of December 31, 2025,</w:t>
      </w:r>
    </w:p>
    <w:p>
      <w:pPr>
        <w:spacing w:after="0" w:line="1" w:lineRule="exact"/>
        <w:rPr>
          <w:sz w:val="20"/>
          <w:szCs w:val="20"/>
          <w:color w:val="auto"/>
        </w:rPr>
      </w:pPr>
    </w:p>
    <w:p>
      <w:pPr>
        <w:ind w:left="720"/>
        <w:spacing w:after="0"/>
        <w:tabs>
          <w:tab w:leader="none" w:pos="2880" w:val="left"/>
          <w:tab w:leader="none" w:pos="4900" w:val="left"/>
          <w:tab w:leader="none" w:pos="700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our</w:t>
      </w:r>
      <w:r>
        <w:rPr>
          <w:sz w:val="20"/>
          <w:szCs w:val="20"/>
          <w:color w:val="auto"/>
        </w:rPr>
        <w:tab/>
      </w:r>
      <w:r>
        <w:rPr>
          <w:rFonts w:ascii="Arial" w:cs="Arial" w:eastAsia="Arial" w:hAnsi="Arial"/>
          <w:sz w:val="16"/>
          <w:szCs w:val="16"/>
          <w:color w:val="auto"/>
        </w:rPr>
        <w:t>AU/NZ</w:t>
      </w:r>
    </w:p>
    <w:p>
      <w:pPr>
        <w:ind w:left="720"/>
        <w:spacing w:after="0"/>
        <w:rPr>
          <w:sz w:val="20"/>
          <w:szCs w:val="20"/>
          <w:color w:val="auto"/>
        </w:rPr>
      </w:pPr>
      <w:r>
        <w:rPr>
          <w:rFonts w:ascii="Arial" w:cs="Arial" w:eastAsia="Arial" w:hAnsi="Arial"/>
          <w:sz w:val="14"/>
          <w:szCs w:val="14"/>
          <w:color w:val="auto"/>
        </w:rPr>
        <w:t>cinemas are licensed to sell alcohol, no liquor licenses pending in Australia and two liquor licenses pending in New Zealand. All U.S.</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Cinemas are licensed to sell beer and wine and all, but three, can sell spirits/liquor.</w:t>
      </w:r>
    </w:p>
    <w:p>
      <w:pPr>
        <w:spacing w:after="0" w:line="360" w:lineRule="exact"/>
        <w:rPr>
          <w:sz w:val="20"/>
          <w:szCs w:val="20"/>
          <w:color w:val="auto"/>
        </w:rPr>
      </w:pPr>
    </w:p>
    <w:p>
      <w:pPr>
        <w:ind w:left="720"/>
        <w:spacing w:after="0"/>
        <w:rPr>
          <w:sz w:val="20"/>
          <w:szCs w:val="20"/>
          <w:color w:val="auto"/>
        </w:rPr>
      </w:pPr>
      <w:r>
        <w:rPr>
          <w:rFonts w:ascii="Arial" w:cs="Arial" w:eastAsia="Arial" w:hAnsi="Arial"/>
          <w:sz w:val="22"/>
          <w:szCs w:val="22"/>
          <w:b w:val="1"/>
          <w:bCs w:val="1"/>
          <w:i w:val="1"/>
          <w:iCs w:val="1"/>
          <w:u w:val="single" w:color="auto"/>
          <w:color w:val="auto"/>
        </w:rPr>
        <w:t>Global Real Estate Developments</w:t>
      </w:r>
    </w:p>
    <w:p>
      <w:pPr>
        <w:spacing w:after="0" w:line="320" w:lineRule="exact"/>
        <w:rPr>
          <w:sz w:val="20"/>
          <w:szCs w:val="20"/>
          <w:color w:val="auto"/>
        </w:rPr>
      </w:pPr>
    </w:p>
    <w:p>
      <w:pPr>
        <w:jc w:val="both"/>
        <w:ind w:left="720" w:right="60" w:hanging="366"/>
        <w:spacing w:after="0" w:line="274" w:lineRule="auto"/>
        <w:tabs>
          <w:tab w:leader="none" w:pos="720" w:val="left"/>
        </w:tabs>
        <w:numPr>
          <w:ilvl w:val="0"/>
          <w:numId w:val="27"/>
        </w:numPr>
        <w:rPr>
          <w:rFonts w:ascii="Wingdings" w:cs="Wingdings" w:eastAsia="Wingdings" w:hAnsi="Wingdings"/>
          <w:sz w:val="19"/>
          <w:szCs w:val="19"/>
          <w:color w:val="auto"/>
        </w:rPr>
      </w:pPr>
      <w:r>
        <w:rPr>
          <w:rFonts w:ascii="Arial" w:cs="Arial" w:eastAsia="Arial" w:hAnsi="Arial"/>
          <w:sz w:val="19"/>
          <w:szCs w:val="19"/>
          <w:i w:val="1"/>
          <w:iCs w:val="1"/>
          <w:u w:val="single" w:color="auto"/>
          <w:color w:val="auto"/>
        </w:rPr>
        <w:t>44 Union Square Redevelopment (New York, N.Y.)</w:t>
      </w:r>
      <w:r>
        <w:rPr>
          <w:rFonts w:ascii="Arial" w:cs="Arial" w:eastAsia="Arial" w:hAnsi="Arial"/>
          <w:sz w:val="19"/>
          <w:szCs w:val="19"/>
          <w:i w:val="1"/>
          <w:iCs w:val="1"/>
          <w:color w:val="auto"/>
        </w:rPr>
        <w:t xml:space="preserve"> </w:t>
      </w:r>
      <w:r>
        <w:rPr>
          <w:rFonts w:ascii="Arial" w:cs="Arial" w:eastAsia="Arial" w:hAnsi="Arial"/>
          <w:sz w:val="19"/>
          <w:szCs w:val="19"/>
          <w:color w:val="auto"/>
        </w:rPr>
        <w:t>– We have made significant progress in the development</w:t>
      </w:r>
      <w:r>
        <w:rPr>
          <w:rFonts w:ascii="Arial" w:cs="Arial" w:eastAsia="Arial" w:hAnsi="Arial"/>
          <w:sz w:val="19"/>
          <w:szCs w:val="19"/>
          <w:i w:val="1"/>
          <w:iCs w:val="1"/>
          <w:color w:val="auto"/>
        </w:rPr>
        <w:t xml:space="preserve"> </w:t>
      </w:r>
      <w:r>
        <w:rPr>
          <w:rFonts w:ascii="Arial" w:cs="Arial" w:eastAsia="Arial" w:hAnsi="Arial"/>
          <w:sz w:val="19"/>
          <w:szCs w:val="19"/>
          <w:color w:val="auto"/>
        </w:rPr>
        <w:t>of our 44 Union Square property in Manhattan. On January 27, 2022, we entered a long-term lease with Petco for the cellar, ground, and second floors of the building, who is on a full rent cash paying basis. We continue our efforts to find a tenant for the remaining four floors of the building.</w:t>
      </w:r>
    </w:p>
    <w:p>
      <w:pPr>
        <w:spacing w:after="0" w:line="378" w:lineRule="exact"/>
        <w:rPr>
          <w:rFonts w:ascii="Wingdings" w:cs="Wingdings" w:eastAsia="Wingdings" w:hAnsi="Wingdings"/>
          <w:sz w:val="19"/>
          <w:szCs w:val="19"/>
          <w:color w:val="auto"/>
        </w:rPr>
      </w:pPr>
    </w:p>
    <w:p>
      <w:pPr>
        <w:jc w:val="both"/>
        <w:ind w:left="720" w:right="60" w:hanging="366"/>
        <w:spacing w:after="0" w:line="259" w:lineRule="auto"/>
        <w:tabs>
          <w:tab w:leader="none" w:pos="720" w:val="left"/>
        </w:tabs>
        <w:numPr>
          <w:ilvl w:val="0"/>
          <w:numId w:val="27"/>
        </w:numPr>
        <w:rPr>
          <w:rFonts w:ascii="Wingdings" w:cs="Wingdings" w:eastAsia="Wingdings" w:hAnsi="Wingdings"/>
          <w:sz w:val="20"/>
          <w:szCs w:val="20"/>
          <w:color w:val="auto"/>
        </w:rPr>
      </w:pPr>
      <w:r>
        <w:rPr>
          <w:rFonts w:ascii="Arial" w:cs="Arial" w:eastAsia="Arial" w:hAnsi="Arial"/>
          <w:sz w:val="20"/>
          <w:szCs w:val="20"/>
          <w:i w:val="1"/>
          <w:iCs w:val="1"/>
          <w:u w:val="single" w:color="auto"/>
          <w:color w:val="auto"/>
        </w:rPr>
        <w:t>Minetta Lane Theatre (New York, N.Y.</w:t>
      </w:r>
      <w:r>
        <w:rPr>
          <w:rFonts w:ascii="Arial" w:cs="Arial" w:eastAsia="Arial" w:hAnsi="Arial"/>
          <w:sz w:val="20"/>
          <w:szCs w:val="20"/>
          <w:i w:val="1"/>
          <w:iCs w:val="1"/>
          <w:color w:val="auto"/>
        </w:rPr>
        <w:t xml:space="preserve">) </w:t>
      </w:r>
      <w:r>
        <w:rPr>
          <w:rFonts w:ascii="Arial" w:cs="Arial" w:eastAsia="Arial" w:hAnsi="Arial"/>
          <w:sz w:val="20"/>
          <w:szCs w:val="20"/>
          <w:color w:val="auto"/>
        </w:rPr>
        <w:t>– Audible holds its license agreement with us through March 15,</w:t>
      </w:r>
      <w:r>
        <w:rPr>
          <w:rFonts w:ascii="Arial" w:cs="Arial" w:eastAsia="Arial" w:hAnsi="Arial"/>
          <w:sz w:val="20"/>
          <w:szCs w:val="20"/>
          <w:i w:val="1"/>
          <w:iCs w:val="1"/>
          <w:color w:val="auto"/>
        </w:rPr>
        <w:t xml:space="preserve"> </w:t>
      </w:r>
      <w:r>
        <w:rPr>
          <w:rFonts w:ascii="Arial" w:cs="Arial" w:eastAsia="Arial" w:hAnsi="Arial"/>
          <w:sz w:val="20"/>
          <w:szCs w:val="20"/>
          <w:color w:val="auto"/>
        </w:rPr>
        <w:t>2027 having exercised its a one-year renewal option. Under the agreement, Audible presents plays featuring a limited cast of one or two characters and special live performance engagements on the Audible streaming service. During 2025, we saw a great deal of shows including “The Energy Curfew Music Hour with Chris Thile &amp; Punch Brother”, “Sexual Misconduct of the Middle Classes”, “Creditors”, “Pansy Craze”, “Patton Oswalt: Black Coffee and Ice Water”, “Devon Franklin: Be True”, and “Mexodus”. The wide range of productions exemplify the diversity of programming and ongoing demand for live, high quality theatrical content.</w:t>
      </w:r>
    </w:p>
    <w:p>
      <w:pPr>
        <w:spacing w:after="0" w:line="200" w:lineRule="exact"/>
        <w:rPr>
          <w:sz w:val="20"/>
          <w:szCs w:val="20"/>
          <w:color w:val="auto"/>
        </w:rPr>
      </w:pPr>
    </w:p>
    <w:p>
      <w:pPr>
        <w:spacing w:after="0" w:line="352" w:lineRule="exact"/>
        <w:rPr>
          <w:sz w:val="20"/>
          <w:szCs w:val="20"/>
          <w:color w:val="auto"/>
        </w:rPr>
      </w:pPr>
    </w:p>
    <w:p>
      <w:pPr>
        <w:ind w:left="360"/>
        <w:spacing w:after="0"/>
        <w:tabs>
          <w:tab w:leader="none" w:pos="2460" w:val="left"/>
          <w:tab w:leader="none" w:pos="4100" w:val="left"/>
          <w:tab w:leader="none" w:pos="5520" w:val="left"/>
          <w:tab w:leader="none" w:pos="6960" w:val="left"/>
        </w:tabs>
        <w:rPr>
          <w:sz w:val="20"/>
          <w:szCs w:val="20"/>
          <w:color w:val="auto"/>
        </w:rPr>
      </w:pPr>
      <w:r>
        <w:rPr>
          <w:rFonts w:ascii="Wingdings" w:cs="Wingdings" w:eastAsia="Wingdings" w:hAnsi="Wingdings"/>
          <w:sz w:val="20"/>
          <w:szCs w:val="20"/>
          <w:color w:val="auto"/>
        </w:rPr>
        <w:t xml:space="preserve"> </w:t>
      </w:r>
      <w:r>
        <w:rPr>
          <w:rFonts w:ascii="Arial" w:cs="Arial" w:eastAsia="Arial" w:hAnsi="Arial"/>
          <w:sz w:val="20"/>
          <w:szCs w:val="20"/>
          <w:i w:val="1"/>
          <w:iCs w:val="1"/>
          <w:color w:val="auto"/>
        </w:rPr>
        <w:t>Orpheum</w:t>
      </w:r>
      <w:r>
        <w:rPr>
          <w:sz w:val="20"/>
          <w:szCs w:val="20"/>
          <w:color w:val="auto"/>
        </w:rPr>
        <w:tab/>
      </w:r>
      <w:r>
        <w:rPr>
          <w:rFonts w:ascii="Arial" w:cs="Arial" w:eastAsia="Arial" w:hAnsi="Arial"/>
          <w:sz w:val="20"/>
          <w:szCs w:val="20"/>
          <w:i w:val="1"/>
          <w:iCs w:val="1"/>
          <w:color w:val="auto"/>
        </w:rPr>
        <w:t>Theatre</w:t>
      </w:r>
      <w:r>
        <w:rPr>
          <w:sz w:val="20"/>
          <w:szCs w:val="20"/>
          <w:color w:val="auto"/>
        </w:rPr>
        <w:tab/>
      </w:r>
      <w:r>
        <w:rPr>
          <w:rFonts w:ascii="Arial" w:cs="Arial" w:eastAsia="Arial" w:hAnsi="Arial"/>
          <w:sz w:val="20"/>
          <w:szCs w:val="20"/>
          <w:i w:val="1"/>
          <w:iCs w:val="1"/>
          <w:color w:val="auto"/>
        </w:rPr>
        <w:t>(New</w:t>
      </w:r>
      <w:r>
        <w:rPr>
          <w:sz w:val="20"/>
          <w:szCs w:val="20"/>
          <w:color w:val="auto"/>
        </w:rPr>
        <w:tab/>
      </w:r>
      <w:r>
        <w:rPr>
          <w:rFonts w:ascii="Arial" w:cs="Arial" w:eastAsia="Arial" w:hAnsi="Arial"/>
          <w:sz w:val="20"/>
          <w:szCs w:val="20"/>
          <w:i w:val="1"/>
          <w:iCs w:val="1"/>
          <w:color w:val="auto"/>
        </w:rPr>
        <w:t>York,</w:t>
      </w:r>
      <w:r>
        <w:rPr>
          <w:sz w:val="20"/>
          <w:szCs w:val="20"/>
          <w:color w:val="auto"/>
        </w:rPr>
        <w:tab/>
      </w:r>
      <w:r>
        <w:rPr>
          <w:rFonts w:ascii="Arial" w:cs="Arial" w:eastAsia="Arial" w:hAnsi="Arial"/>
          <w:sz w:val="16"/>
          <w:szCs w:val="16"/>
          <w:i w:val="1"/>
          <w:iCs w:val="1"/>
          <w:color w:val="auto"/>
        </w:rPr>
        <w:t>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452755</wp:posOffset>
                </wp:positionH>
                <wp:positionV relativeFrom="paragraph">
                  <wp:posOffset>-9525</wp:posOffset>
                </wp:positionV>
                <wp:extent cx="422275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0" cy="4763"/>
                        </a:xfrm>
                        <a:prstGeom prst="line">
                          <a:avLst/>
                        </a:prstGeom>
                        <a:solidFill>
                          <a:srgbClr val="FFFFFF"/>
                        </a:solidFill>
                        <a:ln w="6204">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5pt,-0.7499pt" to="368.15pt,-0.7499pt" o:allowincell="f" strokecolor="#000000" strokeweight="0.4885pt"/>
            </w:pict>
          </mc:Fallback>
        </mc:AlternateContent>
      </w:r>
    </w:p>
    <w:p>
      <w:pPr>
        <w:spacing w:after="0" w:line="10" w:lineRule="exact"/>
        <w:rPr>
          <w:sz w:val="20"/>
          <w:szCs w:val="20"/>
          <w:color w:val="auto"/>
        </w:rPr>
      </w:pPr>
    </w:p>
    <w:p>
      <w:pPr>
        <w:jc w:val="both"/>
        <w:ind w:left="720" w:right="40"/>
        <w:spacing w:after="0" w:line="257" w:lineRule="auto"/>
        <w:rPr>
          <w:sz w:val="20"/>
          <w:szCs w:val="20"/>
          <w:color w:val="auto"/>
        </w:rPr>
      </w:pPr>
      <w:r>
        <w:rPr>
          <w:rFonts w:ascii="Arial" w:cs="Arial" w:eastAsia="Arial" w:hAnsi="Arial"/>
          <w:sz w:val="20"/>
          <w:szCs w:val="20"/>
          <w:color w:val="auto"/>
        </w:rPr>
        <w:t>STOMP closed (after 30 years at our theatre) on January 8, 2023. Under our termination agreement with the producers of STOMP, we have certain rights to provide the New York City venue for any future production of that show. Following STOMP’s historic run at the Orpheum, 2025 saw plays such as “The Jonathan Larson Project” and “Ginger Twinsies”.</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400"/>
          </w:cols>
          <w:pgMar w:left="1260" w:top="1337" w:right="1246" w:bottom="0" w:gutter="0" w:footer="0" w:header="0"/>
          <w:type w:val="continuous"/>
        </w:sectPr>
      </w:pPr>
    </w:p>
    <w:bookmarkStart w:id="62" w:name="page63"/>
    <w:bookmarkEnd w:id="62"/>
    <w:p>
      <w:pPr>
        <w:jc w:val="both"/>
        <w:ind w:left="540" w:hanging="366"/>
        <w:spacing w:after="0" w:line="259" w:lineRule="auto"/>
        <w:tabs>
          <w:tab w:leader="none" w:pos="540" w:val="left"/>
        </w:tabs>
        <w:numPr>
          <w:ilvl w:val="0"/>
          <w:numId w:val="28"/>
        </w:numPr>
        <w:rPr>
          <w:rFonts w:ascii="Wingdings" w:cs="Wingdings" w:eastAsia="Wingdings" w:hAnsi="Wingdings"/>
          <w:sz w:val="19"/>
          <w:szCs w:val="19"/>
          <w:color w:val="auto"/>
        </w:rPr>
      </w:pPr>
      <w:r>
        <w:rPr>
          <w:rFonts w:ascii="Arial" w:cs="Arial" w:eastAsia="Arial" w:hAnsi="Arial"/>
          <w:sz w:val="19"/>
          <w:szCs w:val="19"/>
          <w:i w:val="1"/>
          <w:iCs w:val="1"/>
          <w:u w:val="single" w:color="auto"/>
          <w:color w:val="auto"/>
        </w:rPr>
        <w:t>Cinemas 1,2,3 Redevelopment (New York, N.Y.)</w:t>
      </w:r>
      <w:r>
        <w:rPr>
          <w:rFonts w:ascii="Arial" w:cs="Arial" w:eastAsia="Arial" w:hAnsi="Arial"/>
          <w:sz w:val="19"/>
          <w:szCs w:val="19"/>
          <w:i w:val="1"/>
          <w:iCs w:val="1"/>
          <w:color w:val="auto"/>
        </w:rPr>
        <w:t xml:space="preserve"> </w:t>
      </w:r>
      <w:r>
        <w:rPr>
          <w:rFonts w:ascii="Arial" w:cs="Arial" w:eastAsia="Arial" w:hAnsi="Arial"/>
          <w:sz w:val="19"/>
          <w:szCs w:val="19"/>
          <w:color w:val="auto"/>
        </w:rPr>
        <w:t>– Currently operated as the Cinemas 123, we have</w:t>
      </w:r>
      <w:r>
        <w:rPr>
          <w:rFonts w:ascii="Arial" w:cs="Arial" w:eastAsia="Arial" w:hAnsi="Arial"/>
          <w:sz w:val="19"/>
          <w:szCs w:val="19"/>
          <w:i w:val="1"/>
          <w:iCs w:val="1"/>
          <w:color w:val="auto"/>
        </w:rPr>
        <w:t xml:space="preserve"> </w:t>
      </w:r>
      <w:r>
        <w:rPr>
          <w:rFonts w:ascii="Arial" w:cs="Arial" w:eastAsia="Arial" w:hAnsi="Arial"/>
          <w:sz w:val="19"/>
          <w:szCs w:val="19"/>
          <w:color w:val="auto"/>
        </w:rPr>
        <w:t>historically treated this property as an asset held for long term development. However, in light of a variety of factors, such as market conditions in Manhattan for real estate assets, cost of capital and demands on our liquidity, subsequent to balance sheet date, we have retained Newmark &amp; Company Real Estate, Inc. to sell that property. We now own 100% of this asset, as we acquired in the fourth quarter of 2025, as a part of the SHA Windup Transaction, the 25% interest that we did not own.</w:t>
      </w:r>
    </w:p>
    <w:p>
      <w:pPr>
        <w:spacing w:after="0" w:line="305" w:lineRule="exact"/>
        <w:rPr>
          <w:rFonts w:ascii="Wingdings" w:cs="Wingdings" w:eastAsia="Wingdings" w:hAnsi="Wingdings"/>
          <w:sz w:val="19"/>
          <w:szCs w:val="19"/>
          <w:color w:val="auto"/>
        </w:rPr>
      </w:pPr>
    </w:p>
    <w:p>
      <w:pPr>
        <w:ind w:left="4420" w:hanging="124"/>
        <w:spacing w:after="0"/>
        <w:tabs>
          <w:tab w:leader="none" w:pos="44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32"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160"/>
          </w:cols>
          <w:pgMar w:left="1440" w:top="1132" w:right="1306"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i w:val="1"/>
          <w:iCs w:val="1"/>
          <w:color w:val="auto"/>
        </w:rPr>
        <w:t>Australia:</w:t>
      </w:r>
    </w:p>
    <w:p>
      <w:pPr>
        <w:spacing w:after="0" w:line="97" w:lineRule="exact"/>
        <w:rPr>
          <w:sz w:val="20"/>
          <w:szCs w:val="20"/>
          <w:color w:val="auto"/>
        </w:rPr>
      </w:pPr>
    </w:p>
    <w:p>
      <w:pPr>
        <w:jc w:val="both"/>
        <w:ind w:left="720" w:hanging="366"/>
        <w:spacing w:after="0" w:line="259" w:lineRule="auto"/>
        <w:tabs>
          <w:tab w:leader="none" w:pos="720" w:val="left"/>
        </w:tabs>
        <w:numPr>
          <w:ilvl w:val="0"/>
          <w:numId w:val="29"/>
        </w:numPr>
        <w:rPr>
          <w:rFonts w:ascii="Wingdings" w:cs="Wingdings" w:eastAsia="Wingdings" w:hAnsi="Wingdings"/>
          <w:sz w:val="19"/>
          <w:szCs w:val="19"/>
          <w:color w:val="auto"/>
        </w:rPr>
      </w:pPr>
      <w:r>
        <w:rPr>
          <w:rFonts w:ascii="Arial" w:cs="Arial" w:eastAsia="Arial" w:hAnsi="Arial"/>
          <w:sz w:val="19"/>
          <w:szCs w:val="19"/>
          <w:i w:val="1"/>
          <w:iCs w:val="1"/>
          <w:u w:val="single" w:color="auto"/>
          <w:color w:val="auto"/>
        </w:rPr>
        <w:t>Newmarket Village ETC, (Brisbane, Australia)</w:t>
      </w:r>
      <w:r>
        <w:rPr>
          <w:rFonts w:ascii="Arial" w:cs="Arial" w:eastAsia="Arial" w:hAnsi="Arial"/>
          <w:sz w:val="19"/>
          <w:szCs w:val="19"/>
          <w:i w:val="1"/>
          <w:iCs w:val="1"/>
          <w:color w:val="auto"/>
        </w:rPr>
        <w:t xml:space="preserve"> </w:t>
      </w:r>
      <w:r>
        <w:rPr>
          <w:rFonts w:ascii="Arial" w:cs="Arial" w:eastAsia="Arial" w:hAnsi="Arial"/>
          <w:sz w:val="19"/>
          <w:szCs w:val="19"/>
          <w:color w:val="auto"/>
        </w:rPr>
        <w:t>– We continue to improve our Newmarket Village ETC by</w:t>
      </w:r>
      <w:r>
        <w:rPr>
          <w:rFonts w:ascii="Arial" w:cs="Arial" w:eastAsia="Arial" w:hAnsi="Arial"/>
          <w:sz w:val="19"/>
          <w:szCs w:val="19"/>
          <w:i w:val="1"/>
          <w:iCs w:val="1"/>
          <w:color w:val="auto"/>
        </w:rPr>
        <w:t xml:space="preserve"> </w:t>
      </w:r>
      <w:r>
        <w:rPr>
          <w:rFonts w:ascii="Arial" w:cs="Arial" w:eastAsia="Arial" w:hAnsi="Arial"/>
          <w:sz w:val="19"/>
          <w:szCs w:val="19"/>
          <w:color w:val="auto"/>
        </w:rPr>
        <w:t>adding new tenancies and focused marketing efforts. The site includes a 23,218 square foot parcel adjacent to the center, improved with an office building. Over the next few years, we will be evaluating development options for this space. The combined center and office building is currently 98% leased.</w:t>
      </w:r>
    </w:p>
    <w:p>
      <w:pPr>
        <w:spacing w:after="0" w:line="101" w:lineRule="exact"/>
        <w:rPr>
          <w:rFonts w:ascii="Wingdings" w:cs="Wingdings" w:eastAsia="Wingdings" w:hAnsi="Wingdings"/>
          <w:sz w:val="19"/>
          <w:szCs w:val="19"/>
          <w:color w:val="auto"/>
        </w:rPr>
      </w:pPr>
    </w:p>
    <w:p>
      <w:pPr>
        <w:jc w:val="both"/>
        <w:ind w:left="720" w:hanging="366"/>
        <w:spacing w:after="0"/>
        <w:tabs>
          <w:tab w:leader="none" w:pos="720" w:val="left"/>
        </w:tabs>
        <w:numPr>
          <w:ilvl w:val="0"/>
          <w:numId w:val="29"/>
        </w:numPr>
        <w:rPr>
          <w:rFonts w:ascii="Wingdings" w:cs="Wingdings" w:eastAsia="Wingdings" w:hAnsi="Wingdings"/>
          <w:sz w:val="20"/>
          <w:szCs w:val="20"/>
          <w:color w:val="auto"/>
        </w:rPr>
      </w:pPr>
      <w:r>
        <w:rPr>
          <w:rFonts w:ascii="Arial" w:cs="Arial" w:eastAsia="Arial" w:hAnsi="Arial"/>
          <w:sz w:val="20"/>
          <w:szCs w:val="20"/>
          <w:i w:val="1"/>
          <w:iCs w:val="1"/>
          <w:u w:val="single" w:color="auto"/>
          <w:color w:val="auto"/>
        </w:rPr>
        <w:t>The Belmont Common, (Belmont, Perth, Australia):</w:t>
      </w:r>
      <w:r>
        <w:rPr>
          <w:rFonts w:ascii="Arial" w:cs="Arial" w:eastAsia="Arial" w:hAnsi="Arial"/>
          <w:sz w:val="20"/>
          <w:szCs w:val="20"/>
          <w:i w:val="1"/>
          <w:iCs w:val="1"/>
          <w:color w:val="auto"/>
        </w:rPr>
        <w:t xml:space="preserve"> </w:t>
      </w:r>
      <w:r>
        <w:rPr>
          <w:rFonts w:ascii="Arial" w:cs="Arial" w:eastAsia="Arial" w:hAnsi="Arial"/>
          <w:sz w:val="20"/>
          <w:szCs w:val="20"/>
          <w:color w:val="auto"/>
        </w:rPr>
        <w:t>The total gross leasable area of the Belmont Common</w:t>
      </w:r>
      <w:r>
        <w:rPr>
          <w:rFonts w:ascii="Arial" w:cs="Arial" w:eastAsia="Arial" w:hAnsi="Arial"/>
          <w:sz w:val="20"/>
          <w:szCs w:val="20"/>
          <w:i w:val="1"/>
          <w:iCs w:val="1"/>
          <w:color w:val="auto"/>
        </w:rPr>
        <w:t xml:space="preserve"> </w:t>
      </w:r>
      <w:r>
        <w:rPr>
          <w:rFonts w:ascii="Arial" w:cs="Arial" w:eastAsia="Arial" w:hAnsi="Arial"/>
          <w:sz w:val="20"/>
          <w:szCs w:val="20"/>
          <w:color w:val="auto"/>
        </w:rPr>
        <w:t>is 60,117 Sq ft. Our multiplex cinema is the anchor tenant with six third-party tenants and our Reading Cinemas, the site is currently 100% leased.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Corporate Matters</w:t>
      </w:r>
    </w:p>
    <w:p>
      <w:pPr>
        <w:spacing w:after="0" w:line="96" w:lineRule="exact"/>
        <w:rPr>
          <w:sz w:val="20"/>
          <w:szCs w:val="20"/>
          <w:color w:val="auto"/>
        </w:rPr>
      </w:pPr>
    </w:p>
    <w:p>
      <w:pPr>
        <w:ind w:left="720" w:hanging="366"/>
        <w:spacing w:after="0"/>
        <w:tabs>
          <w:tab w:leader="none" w:pos="720" w:val="left"/>
        </w:tabs>
        <w:numPr>
          <w:ilvl w:val="0"/>
          <w:numId w:val="30"/>
        </w:numPr>
        <w:rPr>
          <w:rFonts w:ascii="Wingdings" w:cs="Wingdings" w:eastAsia="Wingdings" w:hAnsi="Wingdings"/>
          <w:sz w:val="14"/>
          <w:szCs w:val="14"/>
          <w:color w:val="auto"/>
        </w:rPr>
      </w:pPr>
      <w:r>
        <w:rPr>
          <w:rFonts w:ascii="Arial" w:cs="Arial" w:eastAsia="Arial" w:hAnsi="Arial"/>
          <w:sz w:val="18"/>
          <w:szCs w:val="18"/>
          <w:i w:val="1"/>
          <w:iCs w:val="1"/>
          <w:u w:val="single" w:color="auto"/>
          <w:color w:val="auto"/>
        </w:rPr>
        <w:t>Board Compensation and Stock Options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Refer to</w:t>
      </w:r>
      <w:r>
        <w:rPr>
          <w:rFonts w:ascii="Arial" w:cs="Arial" w:eastAsia="Arial" w:hAnsi="Arial"/>
          <w:sz w:val="18"/>
          <w:szCs w:val="18"/>
          <w:i w:val="1"/>
          <w:iCs w:val="1"/>
          <w:color w:val="auto"/>
        </w:rPr>
        <w:t xml:space="preserve"> Part II, Item 8 – Financial Statements and</w:t>
      </w:r>
    </w:p>
    <w:p>
      <w:pPr>
        <w:spacing w:after="0" w:line="38" w:lineRule="exact"/>
        <w:rPr>
          <w:rFonts w:ascii="Wingdings" w:cs="Wingdings" w:eastAsia="Wingdings" w:hAnsi="Wingdings"/>
          <w:sz w:val="14"/>
          <w:szCs w:val="14"/>
          <w:color w:val="auto"/>
        </w:rPr>
      </w:pPr>
    </w:p>
    <w:p>
      <w:pPr>
        <w:jc w:val="both"/>
        <w:ind w:left="720"/>
        <w:spacing w:after="0"/>
        <w:rPr>
          <w:rFonts w:ascii="Wingdings" w:cs="Wingdings" w:eastAsia="Wingdings" w:hAnsi="Wingdings"/>
          <w:sz w:val="14"/>
          <w:szCs w:val="14"/>
          <w:color w:val="auto"/>
        </w:rPr>
      </w:pPr>
      <w:r>
        <w:rPr>
          <w:rFonts w:ascii="Arial" w:cs="Arial" w:eastAsia="Arial" w:hAnsi="Arial"/>
          <w:sz w:val="20"/>
          <w:szCs w:val="20"/>
          <w:i w:val="1"/>
          <w:iCs w:val="1"/>
          <w:color w:val="auto"/>
        </w:rPr>
        <w:t xml:space="preserve">Supplementary Data—Notes to Consolidated Financial Statements-- Note 17 – Share-Based Compensation and Repurchase Plans </w:t>
      </w:r>
      <w:r>
        <w:rPr>
          <w:rFonts w:ascii="Arial" w:cs="Arial" w:eastAsia="Arial" w:hAnsi="Arial"/>
          <w:sz w:val="20"/>
          <w:szCs w:val="20"/>
          <w:color w:val="auto"/>
        </w:rPr>
        <w:t>for details regarding our Board, Executive and Employee stock-based remuneration</w:t>
      </w:r>
      <w:r>
        <w:rPr>
          <w:rFonts w:ascii="Arial" w:cs="Arial" w:eastAsia="Arial" w:hAnsi="Arial"/>
          <w:sz w:val="20"/>
          <w:szCs w:val="20"/>
          <w:i w:val="1"/>
          <w:iCs w:val="1"/>
          <w:color w:val="auto"/>
        </w:rPr>
        <w:t xml:space="preserve"> </w:t>
      </w:r>
      <w:r>
        <w:rPr>
          <w:rFonts w:ascii="Arial" w:cs="Arial" w:eastAsia="Arial" w:hAnsi="Arial"/>
          <w:sz w:val="20"/>
          <w:szCs w:val="20"/>
          <w:color w:val="auto"/>
        </w:rPr>
        <w:t>programs.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 RESULTS OF OPERATIONS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section, we discuss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3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340"/>
          </w:cols>
          <w:pgMar w:left="1260" w:top="1337" w:right="1306" w:bottom="0"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color w:val="auto"/>
        </w:rPr>
        <w:t>The following table sets forth the overall results of operations for the three years ended December 31,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 Change -</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spacing w:after="0" w:line="173" w:lineRule="exact"/>
              <w:rPr>
                <w:sz w:val="20"/>
                <w:szCs w:val="20"/>
                <w:color w:val="auto"/>
              </w:rPr>
            </w:pPr>
            <w:r>
              <w:rPr>
                <w:rFonts w:ascii="Arial" w:cs="Arial" w:eastAsia="Arial" w:hAnsi="Arial"/>
                <w:sz w:val="16"/>
                <w:szCs w:val="16"/>
                <w:b w:val="1"/>
                <w:bCs w:val="1"/>
                <w:color w:val="auto"/>
                <w:w w:val="92"/>
              </w:rPr>
              <w:t>Favorable/</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gridSpan w:val="4"/>
          </w:tcPr>
          <w:p>
            <w:pPr>
              <w:jc w:val="center"/>
              <w:spacing w:after="0" w:line="175" w:lineRule="exact"/>
              <w:rPr>
                <w:sz w:val="20"/>
                <w:szCs w:val="20"/>
                <w:color w:val="auto"/>
              </w:rPr>
            </w:pPr>
            <w:r>
              <w:rPr>
                <w:rFonts w:ascii="Arial" w:cs="Arial" w:eastAsia="Arial" w:hAnsi="Arial"/>
                <w:sz w:val="16"/>
                <w:szCs w:val="16"/>
                <w:b w:val="1"/>
                <w:bCs w:val="1"/>
                <w:color w:val="auto"/>
                <w:w w:val="93"/>
              </w:rPr>
              <w:t>(Unfavorable)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jc w:val="right"/>
              <w:ind w:right="80"/>
              <w:spacing w:after="0" w:line="171" w:lineRule="exact"/>
              <w:rPr>
                <w:sz w:val="20"/>
                <w:szCs w:val="20"/>
                <w:color w:val="auto"/>
              </w:rPr>
            </w:pPr>
            <w:r>
              <w:rPr>
                <w:rFonts w:ascii="Arial" w:cs="Arial" w:eastAsia="Arial" w:hAnsi="Arial"/>
                <w:sz w:val="16"/>
                <w:szCs w:val="16"/>
                <w:b w:val="1"/>
                <w:bCs w:val="1"/>
                <w:i w:val="1"/>
                <w:iCs w:val="1"/>
                <w:color w:val="auto"/>
              </w:rPr>
              <w:t>%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0"/>
              <w:spacing w:after="0" w:line="171" w:lineRule="exact"/>
              <w:rPr>
                <w:sz w:val="20"/>
                <w:szCs w:val="20"/>
                <w:color w:val="auto"/>
              </w:rPr>
            </w:pPr>
            <w:r>
              <w:rPr>
                <w:rFonts w:ascii="Arial" w:cs="Arial" w:eastAsia="Arial" w:hAnsi="Arial"/>
                <w:sz w:val="16"/>
                <w:szCs w:val="16"/>
                <w:b w:val="1"/>
                <w:bCs w:val="1"/>
                <w:i w:val="1"/>
                <w:iCs w:val="1"/>
                <w:color w:val="auto"/>
              </w:rPr>
              <w:t>%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0"/>
              <w:spacing w:after="0" w:line="171" w:lineRule="exact"/>
              <w:rPr>
                <w:sz w:val="20"/>
                <w:szCs w:val="20"/>
                <w:color w:val="auto"/>
              </w:rPr>
            </w:pPr>
            <w:r>
              <w:rPr>
                <w:rFonts w:ascii="Arial" w:cs="Arial" w:eastAsia="Arial" w:hAnsi="Arial"/>
                <w:sz w:val="16"/>
                <w:szCs w:val="16"/>
                <w:b w:val="1"/>
                <w:bCs w:val="1"/>
                <w:i w:val="1"/>
                <w:iCs w:val="1"/>
                <w:color w:val="auto"/>
              </w:rPr>
              <w:t>% of</w:t>
            </w:r>
          </w:p>
        </w:tc>
        <w:tc>
          <w:tcPr>
            <w:tcW w:w="80" w:type="dxa"/>
            <w:vAlign w:val="bottom"/>
          </w:tcPr>
          <w:p>
            <w:pPr>
              <w:spacing w:after="0"/>
              <w:rPr>
                <w:sz w:val="14"/>
                <w:szCs w:val="14"/>
                <w:color w:val="auto"/>
              </w:rPr>
            </w:pPr>
          </w:p>
        </w:tc>
        <w:tc>
          <w:tcPr>
            <w:tcW w:w="860" w:type="dxa"/>
            <w:vAlign w:val="bottom"/>
          </w:tcPr>
          <w:p>
            <w:pPr>
              <w:jc w:val="right"/>
              <w:ind w:right="100"/>
              <w:spacing w:after="0" w:line="171" w:lineRule="exact"/>
              <w:rPr>
                <w:sz w:val="20"/>
                <w:szCs w:val="20"/>
                <w:color w:val="auto"/>
              </w:rPr>
            </w:pPr>
            <w:r>
              <w:rPr>
                <w:rFonts w:ascii="Arial" w:cs="Arial" w:eastAsia="Arial" w:hAnsi="Arial"/>
                <w:sz w:val="16"/>
                <w:szCs w:val="16"/>
                <w:b w:val="1"/>
                <w:bCs w:val="1"/>
                <w:color w:val="auto"/>
              </w:rPr>
              <w:t>2025 vs.</w:t>
            </w:r>
          </w:p>
        </w:tc>
        <w:tc>
          <w:tcPr>
            <w:tcW w:w="80" w:type="dxa"/>
            <w:vAlign w:val="bottom"/>
          </w:tcPr>
          <w:p>
            <w:pPr>
              <w:spacing w:after="0"/>
              <w:rPr>
                <w:sz w:val="14"/>
                <w:szCs w:val="14"/>
                <w:color w:val="auto"/>
              </w:rPr>
            </w:pPr>
          </w:p>
        </w:tc>
        <w:tc>
          <w:tcPr>
            <w:tcW w:w="860" w:type="dxa"/>
            <w:vAlign w:val="bottom"/>
            <w:gridSpan w:val="2"/>
          </w:tcPr>
          <w:p>
            <w:pPr>
              <w:jc w:val="right"/>
              <w:ind w:right="106"/>
              <w:spacing w:after="0" w:line="171" w:lineRule="exact"/>
              <w:rPr>
                <w:sz w:val="20"/>
                <w:szCs w:val="20"/>
                <w:color w:val="auto"/>
              </w:rPr>
            </w:pPr>
            <w:r>
              <w:rPr>
                <w:rFonts w:ascii="Arial" w:cs="Arial" w:eastAsia="Arial" w:hAnsi="Arial"/>
                <w:sz w:val="16"/>
                <w:szCs w:val="16"/>
                <w:b w:val="1"/>
                <w:bCs w:val="1"/>
                <w:color w:val="auto"/>
              </w:rPr>
              <w:t>2024 vs.</w:t>
            </w:r>
          </w:p>
        </w:tc>
        <w:tc>
          <w:tcPr>
            <w:tcW w:w="0" w:type="dxa"/>
            <w:vAlign w:val="bottom"/>
          </w:tcPr>
          <w:p>
            <w:pPr>
              <w:spacing w:after="0"/>
              <w:rPr>
                <w:sz w:val="1"/>
                <w:szCs w:val="1"/>
                <w:color w:val="auto"/>
              </w:rPr>
            </w:pPr>
          </w:p>
        </w:tc>
      </w:tr>
      <w:tr>
        <w:trPr>
          <w:trHeight w:val="185"/>
        </w:trPr>
        <w:tc>
          <w:tcPr>
            <w:tcW w:w="2620" w:type="dxa"/>
            <w:vAlign w:val="bottom"/>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00"/>
              <w:spacing w:after="0" w:line="175" w:lineRule="exact"/>
              <w:rPr>
                <w:sz w:val="20"/>
                <w:szCs w:val="20"/>
                <w:color w:val="auto"/>
              </w:rPr>
            </w:pPr>
            <w:r>
              <w:rPr>
                <w:rFonts w:ascii="Arial" w:cs="Arial" w:eastAsia="Arial" w:hAnsi="Arial"/>
                <w:sz w:val="16"/>
                <w:szCs w:val="16"/>
                <w:b w:val="1"/>
                <w:bCs w:val="1"/>
                <w:color w:val="auto"/>
              </w:rPr>
              <w:t>2025</w:t>
            </w:r>
          </w:p>
        </w:tc>
        <w:tc>
          <w:tcPr>
            <w:tcW w:w="640" w:type="dxa"/>
            <w:vAlign w:val="bottom"/>
          </w:tcPr>
          <w:p>
            <w:pPr>
              <w:jc w:val="right"/>
              <w:spacing w:after="0" w:line="175" w:lineRule="exact"/>
              <w:rPr>
                <w:sz w:val="20"/>
                <w:szCs w:val="20"/>
                <w:color w:val="auto"/>
              </w:rPr>
            </w:pPr>
            <w:r>
              <w:rPr>
                <w:rFonts w:ascii="Arial" w:cs="Arial" w:eastAsia="Arial" w:hAnsi="Arial"/>
                <w:sz w:val="16"/>
                <w:szCs w:val="16"/>
                <w:b w:val="1"/>
                <w:bCs w:val="1"/>
                <w:i w:val="1"/>
                <w:iCs w:val="1"/>
                <w:color w:val="auto"/>
                <w:w w:val="86"/>
              </w:rPr>
              <w:t>Revenue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80"/>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b w:val="1"/>
                <w:bCs w:val="1"/>
                <w:i w:val="1"/>
                <w:iCs w:val="1"/>
                <w:color w:val="auto"/>
                <w:w w:val="89"/>
              </w:rPr>
              <w:t>Revenue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40"/>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b w:val="1"/>
                <w:bCs w:val="1"/>
                <w:i w:val="1"/>
                <w:iCs w:val="1"/>
                <w:color w:val="auto"/>
                <w:w w:val="86"/>
              </w:rPr>
              <w:t>Revenue</w:t>
            </w:r>
          </w:p>
        </w:tc>
        <w:tc>
          <w:tcPr>
            <w:tcW w:w="940" w:type="dxa"/>
            <w:vAlign w:val="bottom"/>
            <w:gridSpan w:val="2"/>
          </w:tcPr>
          <w:p>
            <w:pPr>
              <w:jc w:val="right"/>
              <w:ind w:right="180"/>
              <w:spacing w:after="0" w:line="175" w:lineRule="exact"/>
              <w:rPr>
                <w:sz w:val="20"/>
                <w:szCs w:val="20"/>
                <w:color w:val="auto"/>
              </w:rPr>
            </w:pPr>
            <w:r>
              <w:rPr>
                <w:rFonts w:ascii="Arial" w:cs="Arial" w:eastAsia="Arial" w:hAnsi="Arial"/>
                <w:sz w:val="16"/>
                <w:szCs w:val="16"/>
                <w:b w:val="1"/>
                <w:bCs w:val="1"/>
                <w:color w:val="auto"/>
              </w:rPr>
              <w:t>2024</w:t>
            </w: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2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SEGMENT RESULTS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240"/>
              <w:spacing w:after="0" w:line="171" w:lineRule="exact"/>
              <w:rPr>
                <w:sz w:val="20"/>
                <w:szCs w:val="20"/>
                <w:color w:val="auto"/>
              </w:rPr>
            </w:pPr>
            <w:r>
              <w:rPr>
                <w:rFonts w:ascii="Arial" w:cs="Arial" w:eastAsia="Arial" w:hAnsi="Arial"/>
                <w:sz w:val="16"/>
                <w:szCs w:val="16"/>
                <w:color w:val="auto"/>
                <w:w w:val="92"/>
              </w:rPr>
              <w:t>Cinema exhibition operating income</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rPr>
              <w:t>(loss)</w:t>
            </w:r>
          </w:p>
        </w:tc>
        <w:tc>
          <w:tcPr>
            <w:tcW w:w="260" w:type="dxa"/>
            <w:vAlign w:val="bottom"/>
            <w:gridSpan w:val="2"/>
            <w:shd w:val="clear" w:color="auto" w:fill="CCEEFF"/>
          </w:tcPr>
          <w:p>
            <w:pPr>
              <w:jc w:val="right"/>
              <w:ind w:right="26"/>
              <w:spacing w:after="0" w:line="175" w:lineRule="exact"/>
              <w:rPr>
                <w:sz w:val="20"/>
                <w:szCs w:val="20"/>
                <w:color w:val="auto"/>
              </w:rPr>
            </w:pPr>
            <w:r>
              <w:rPr>
                <w:rFonts w:ascii="Arial" w:cs="Arial" w:eastAsia="Arial" w:hAnsi="Arial"/>
                <w:sz w:val="16"/>
                <w:szCs w:val="16"/>
                <w:b w:val="1"/>
                <w:bCs w:val="1"/>
                <w:color w:val="auto"/>
              </w:rPr>
              <w:t>$</w:t>
            </w:r>
          </w:p>
        </w:tc>
        <w:tc>
          <w:tcPr>
            <w:tcW w:w="800" w:type="dxa"/>
            <w:vAlign w:val="bottom"/>
            <w:tcBorders>
              <w:right w:val="single" w:sz="8" w:color="CCEEFF"/>
            </w:tcBorders>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3,643</w:t>
            </w: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2 %</w:t>
            </w:r>
          </w:p>
        </w:tc>
        <w:tc>
          <w:tcPr>
            <w:tcW w:w="2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(2,797)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(1)%</w:t>
            </w:r>
          </w:p>
        </w:tc>
        <w:tc>
          <w:tcPr>
            <w:tcW w:w="2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0 %</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&gt;100%</w:t>
            </w:r>
          </w:p>
        </w:tc>
        <w:tc>
          <w:tcPr>
            <w:tcW w:w="7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40"/>
              <w:spacing w:after="0" w:line="173" w:lineRule="exact"/>
              <w:rPr>
                <w:sz w:val="20"/>
                <w:szCs w:val="20"/>
                <w:color w:val="auto"/>
              </w:rPr>
            </w:pPr>
            <w:r>
              <w:rPr>
                <w:rFonts w:ascii="Arial" w:cs="Arial" w:eastAsia="Arial" w:hAnsi="Arial"/>
                <w:sz w:val="16"/>
                <w:szCs w:val="16"/>
                <w:color w:val="auto"/>
                <w:w w:val="93"/>
              </w:rPr>
              <w:t>Real estate operating 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0"/>
              <w:spacing w:after="0" w:line="173" w:lineRule="exact"/>
              <w:rPr>
                <w:sz w:val="20"/>
                <w:szCs w:val="20"/>
                <w:color w:val="auto"/>
              </w:rPr>
            </w:pPr>
            <w:r>
              <w:rPr>
                <w:rFonts w:ascii="Arial" w:cs="Arial" w:eastAsia="Arial" w:hAnsi="Arial"/>
                <w:sz w:val="16"/>
                <w:szCs w:val="16"/>
                <w:color w:val="auto"/>
              </w:rPr>
              <w:t>5,917</w:t>
            </w: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4,679</w:t>
            </w:r>
          </w:p>
        </w:tc>
        <w:tc>
          <w:tcPr>
            <w:tcW w:w="8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3,791</w:t>
            </w:r>
          </w:p>
        </w:tc>
        <w:tc>
          <w:tcPr>
            <w:tcW w:w="80" w:type="dxa"/>
            <w:vAlign w:val="bottom"/>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2 %</w:t>
            </w:r>
          </w:p>
        </w:tc>
        <w:tc>
          <w:tcPr>
            <w:tcW w:w="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26 %</w:t>
            </w:r>
          </w:p>
        </w:tc>
        <w:tc>
          <w:tcPr>
            <w:tcW w:w="7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23</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NON-SEGMENT RESULTS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240"/>
              <w:spacing w:after="0" w:line="171" w:lineRule="exact"/>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40"/>
              <w:spacing w:after="0" w:line="175" w:lineRule="exact"/>
              <w:rPr>
                <w:sz w:val="20"/>
                <w:szCs w:val="20"/>
                <w:color w:val="auto"/>
              </w:rPr>
            </w:pPr>
            <w:r>
              <w:rPr>
                <w:rFonts w:ascii="Arial" w:cs="Arial" w:eastAsia="Arial" w:hAnsi="Arial"/>
                <w:sz w:val="16"/>
                <w:szCs w:val="16"/>
                <w:color w:val="auto"/>
              </w:rPr>
              <w:t>expense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(427)</w:t>
            </w:r>
          </w:p>
        </w:tc>
        <w:tc>
          <w:tcPr>
            <w:tcW w:w="640" w:type="dxa"/>
            <w:vAlign w:val="bottom"/>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(387)</w:t>
            </w:r>
          </w:p>
        </w:tc>
        <w:tc>
          <w:tcPr>
            <w:tcW w:w="660" w:type="dxa"/>
            <w:vAlign w:val="bottom"/>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(711)</w:t>
            </w:r>
          </w:p>
        </w:tc>
        <w:tc>
          <w:tcPr>
            <w:tcW w:w="640" w:type="dxa"/>
            <w:vAlign w:val="bottom"/>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w:t>
            </w:r>
          </w:p>
        </w:tc>
        <w:tc>
          <w:tcPr>
            <w:tcW w:w="940" w:type="dxa"/>
            <w:vAlign w:val="bottom"/>
            <w:gridSpan w:val="3"/>
          </w:tcPr>
          <w:p>
            <w:pPr>
              <w:jc w:val="right"/>
              <w:ind w:right="6"/>
              <w:spacing w:after="0" w:line="175" w:lineRule="exact"/>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40"/>
              <w:spacing w:after="0" w:line="173" w:lineRule="exact"/>
              <w:rPr>
                <w:sz w:val="20"/>
                <w:szCs w:val="20"/>
                <w:color w:val="auto"/>
              </w:rPr>
            </w:pPr>
            <w:r>
              <w:rPr>
                <w:rFonts w:ascii="Arial" w:cs="Arial" w:eastAsia="Arial" w:hAnsi="Arial"/>
                <w:sz w:val="16"/>
                <w:szCs w:val="16"/>
                <w:color w:val="auto"/>
                <w:w w:val="92"/>
              </w:rPr>
              <w:t>General and administrative expense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(14,440)</w:t>
            </w:r>
          </w:p>
        </w:tc>
        <w:tc>
          <w:tcPr>
            <w:tcW w:w="6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(15,528)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shd w:val="clear" w:color="auto" w:fill="CCEEFF"/>
              </w:rPr>
              <w:t>(15,235)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7 %</w:t>
            </w:r>
          </w:p>
        </w:tc>
        <w:tc>
          <w:tcPr>
            <w:tcW w:w="7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2620" w:type="dxa"/>
            <w:vAlign w:val="bottom"/>
          </w:tcPr>
          <w:p>
            <w:pPr>
              <w:ind w:left="240"/>
              <w:spacing w:after="0" w:line="173" w:lineRule="exact"/>
              <w:rPr>
                <w:sz w:val="20"/>
                <w:szCs w:val="20"/>
                <w:color w:val="auto"/>
              </w:rPr>
            </w:pPr>
            <w:r>
              <w:rPr>
                <w:rFonts w:ascii="Arial" w:cs="Arial" w:eastAsia="Arial" w:hAnsi="Arial"/>
                <w:sz w:val="16"/>
                <w:szCs w:val="16"/>
                <w:color w:val="auto"/>
              </w:rPr>
              <w:t>Interest expense, net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(17,930)</w:t>
            </w: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(21,154)</w:t>
            </w:r>
          </w:p>
        </w:tc>
        <w:tc>
          <w:tcPr>
            <w:tcW w:w="8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(19,418)</w:t>
            </w:r>
          </w:p>
        </w:tc>
        <w:tc>
          <w:tcPr>
            <w:tcW w:w="80" w:type="dxa"/>
            <w:vAlign w:val="bottom"/>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(9)%</w:t>
            </w:r>
          </w:p>
        </w:tc>
        <w:tc>
          <w:tcPr>
            <w:tcW w:w="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15 %</w:t>
            </w:r>
          </w:p>
        </w:tc>
        <w:tc>
          <w:tcPr>
            <w:tcW w:w="7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(9)</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240"/>
              <w:spacing w:after="0" w:line="171" w:lineRule="exact"/>
              <w:rPr>
                <w:sz w:val="20"/>
                <w:szCs w:val="20"/>
                <w:color w:val="auto"/>
              </w:rPr>
            </w:pPr>
            <w:r>
              <w:rPr>
                <w:rFonts w:ascii="Arial" w:cs="Arial" w:eastAsia="Arial" w:hAnsi="Arial"/>
                <w:sz w:val="16"/>
                <w:szCs w:val="16"/>
                <w:color w:val="auto"/>
                <w:w w:val="98"/>
              </w:rPr>
              <w:t>Equity earnings of unconsolidated</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rPr>
              <w:t>joint ventures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560</w:t>
            </w: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&gt;100%</w:t>
            </w:r>
          </w:p>
        </w:tc>
        <w:tc>
          <w:tcPr>
            <w:tcW w:w="7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40"/>
              <w:spacing w:after="0" w:line="173" w:lineRule="exact"/>
              <w:rPr>
                <w:sz w:val="20"/>
                <w:szCs w:val="20"/>
                <w:color w:val="auto"/>
              </w:rPr>
            </w:pPr>
            <w:r>
              <w:rPr>
                <w:rFonts w:ascii="Arial" w:cs="Arial" w:eastAsia="Arial" w:hAnsi="Arial"/>
                <w:sz w:val="16"/>
                <w:szCs w:val="16"/>
                <w:color w:val="auto"/>
              </w:rPr>
              <w:t>Gain (loss) on sale of assets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0"/>
              <w:spacing w:after="0" w:line="173" w:lineRule="exact"/>
              <w:rPr>
                <w:sz w:val="20"/>
                <w:szCs w:val="20"/>
                <w:color w:val="auto"/>
              </w:rPr>
            </w:pPr>
            <w:r>
              <w:rPr>
                <w:rFonts w:ascii="Arial" w:cs="Arial" w:eastAsia="Arial" w:hAnsi="Arial"/>
                <w:sz w:val="16"/>
                <w:szCs w:val="16"/>
                <w:color w:val="auto"/>
              </w:rPr>
              <w:t>8,365</w:t>
            </w: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(1,371)</w:t>
            </w:r>
          </w:p>
        </w:tc>
        <w:tc>
          <w:tcPr>
            <w:tcW w:w="8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562</w:t>
            </w:r>
          </w:p>
        </w:tc>
        <w:tc>
          <w:tcPr>
            <w:tcW w:w="80" w:type="dxa"/>
            <w:vAlign w:val="bottom"/>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&gt;100%</w:t>
            </w:r>
          </w:p>
        </w:tc>
        <w:tc>
          <w:tcPr>
            <w:tcW w:w="7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(&gt;100)%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240"/>
              <w:spacing w:after="0" w:line="171" w:lineRule="exact"/>
              <w:rPr>
                <w:sz w:val="20"/>
                <w:szCs w:val="20"/>
                <w:color w:val="auto"/>
              </w:rPr>
            </w:pPr>
            <w:r>
              <w:rPr>
                <w:rFonts w:ascii="Arial" w:cs="Arial" w:eastAsia="Arial" w:hAnsi="Arial"/>
                <w:sz w:val="16"/>
                <w:szCs w:val="16"/>
                <w:color w:val="auto"/>
              </w:rPr>
              <w:t>Gain (loss) on acquisition of</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rPr>
              <w:t>noncontrolling interest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2,691</w:t>
            </w: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1 %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i w:val="1"/>
                <w:iCs w:val="1"/>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2620" w:type="dxa"/>
            <w:vAlign w:val="bottom"/>
          </w:tcPr>
          <w:p>
            <w:pPr>
              <w:ind w:left="240"/>
              <w:spacing w:after="0" w:line="173" w:lineRule="exact"/>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(2,178)</w:t>
            </w: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1,528</w:t>
            </w:r>
          </w:p>
        </w:tc>
        <w:tc>
          <w:tcPr>
            <w:tcW w:w="8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(164)</w:t>
            </w:r>
          </w:p>
        </w:tc>
        <w:tc>
          <w:tcPr>
            <w:tcW w:w="80" w:type="dxa"/>
            <w:vAlign w:val="bottom"/>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w:t>
            </w:r>
          </w:p>
        </w:tc>
        <w:tc>
          <w:tcPr>
            <w:tcW w:w="9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(&gt;100)%</w:t>
            </w:r>
          </w:p>
        </w:tc>
        <w:tc>
          <w:tcPr>
            <w:tcW w:w="940" w:type="dxa"/>
            <w:vAlign w:val="bottom"/>
            <w:gridSpan w:val="3"/>
          </w:tcPr>
          <w:p>
            <w:pPr>
              <w:jc w:val="right"/>
              <w:ind w:right="6"/>
              <w:spacing w:after="0" w:line="173" w:lineRule="exact"/>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Income (loss) before income taxes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(13,799)</w:t>
            </w:r>
          </w:p>
        </w:tc>
        <w:tc>
          <w:tcPr>
            <w:tcW w:w="64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(35,417)</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shd w:val="clear" w:color="auto" w:fill="CCEEFF"/>
              </w:rPr>
              <w:t>(30,595)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(14)%</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61 %</w:t>
            </w:r>
          </w:p>
        </w:tc>
        <w:tc>
          <w:tcPr>
            <w:tcW w:w="740" w:type="dxa"/>
            <w:vAlign w:val="bottom"/>
            <w:tcBorders>
              <w:top w:val="single" w:sz="8" w:color="CCEEFF"/>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(16)</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2620" w:type="dxa"/>
            <w:vAlign w:val="bottom"/>
          </w:tcPr>
          <w:p>
            <w:pPr>
              <w:ind w:left="240"/>
              <w:spacing w:after="0" w:line="173" w:lineRule="exact"/>
              <w:rPr>
                <w:sz w:val="20"/>
                <w:szCs w:val="20"/>
                <w:color w:val="auto"/>
              </w:rPr>
            </w:pPr>
            <w:r>
              <w:rPr>
                <w:rFonts w:ascii="Arial" w:cs="Arial" w:eastAsia="Arial" w:hAnsi="Arial"/>
                <w:sz w:val="16"/>
                <w:szCs w:val="16"/>
                <w:color w:val="auto"/>
              </w:rPr>
              <w:t>Income tax benefit (expense)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(853)</w:t>
            </w: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(481)</w:t>
            </w:r>
          </w:p>
        </w:tc>
        <w:tc>
          <w:tcPr>
            <w:tcW w:w="80" w:type="dxa"/>
            <w:vAlign w:val="bottom"/>
          </w:tcPr>
          <w:p>
            <w:pPr>
              <w:spacing w:after="0"/>
              <w:rPr>
                <w:sz w:val="15"/>
                <w:szCs w:val="15"/>
                <w:color w:val="auto"/>
              </w:rPr>
            </w:pPr>
          </w:p>
        </w:tc>
        <w:tc>
          <w:tcPr>
            <w:tcW w:w="66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(590)</w:t>
            </w:r>
          </w:p>
        </w:tc>
        <w:tc>
          <w:tcPr>
            <w:tcW w:w="80" w:type="dxa"/>
            <w:vAlign w:val="bottom"/>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i w:val="1"/>
                <w:iCs w:val="1"/>
                <w:color w:val="auto"/>
              </w:rPr>
              <w:t>(0)%</w:t>
            </w:r>
          </w:p>
        </w:tc>
        <w:tc>
          <w:tcPr>
            <w:tcW w:w="9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(77)%</w:t>
            </w:r>
          </w:p>
        </w:tc>
        <w:tc>
          <w:tcPr>
            <w:tcW w:w="940" w:type="dxa"/>
            <w:vAlign w:val="bottom"/>
            <w:gridSpan w:val="3"/>
          </w:tcPr>
          <w:p>
            <w:pPr>
              <w:jc w:val="right"/>
              <w:ind w:right="6"/>
              <w:spacing w:after="0" w:line="173" w:lineRule="exact"/>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Net income (loss)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(14,652)</w:t>
            </w:r>
          </w:p>
        </w:tc>
        <w:tc>
          <w:tcPr>
            <w:tcW w:w="64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(35,898)</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shd w:val="clear" w:color="auto" w:fill="CCEEFF"/>
              </w:rPr>
              <w:t>(31,185)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i w:val="1"/>
                <w:iCs w:val="1"/>
                <w:color w:val="auto"/>
              </w:rPr>
              <w:t>(14)%</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59 %</w:t>
            </w:r>
          </w:p>
        </w:tc>
        <w:tc>
          <w:tcPr>
            <w:tcW w:w="740" w:type="dxa"/>
            <w:vAlign w:val="bottom"/>
            <w:tcBorders>
              <w:top w:val="single" w:sz="8" w:color="CCEEFF"/>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(15)</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1"/>
        </w:trPr>
        <w:tc>
          <w:tcPr>
            <w:tcW w:w="2620" w:type="dxa"/>
            <w:vAlign w:val="bottom"/>
          </w:tcPr>
          <w:p>
            <w:pPr>
              <w:ind w:left="240"/>
              <w:spacing w:after="0" w:line="171" w:lineRule="exact"/>
              <w:rPr>
                <w:sz w:val="20"/>
                <w:szCs w:val="20"/>
                <w:color w:val="auto"/>
              </w:rPr>
            </w:pPr>
            <w:r>
              <w:rPr>
                <w:rFonts w:ascii="Arial" w:cs="Arial" w:eastAsia="Arial" w:hAnsi="Arial"/>
                <w:sz w:val="16"/>
                <w:szCs w:val="16"/>
                <w:color w:val="auto"/>
                <w:w w:val="94"/>
              </w:rPr>
              <w:t>Less: Net income (loss) attributable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(512)</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(597)</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20" w:type="dxa"/>
            <w:vAlign w:val="bottom"/>
          </w:tcPr>
          <w:p>
            <w:pPr>
              <w:ind w:left="240"/>
              <w:spacing w:after="0" w:line="165" w:lineRule="exact"/>
              <w:rPr>
                <w:sz w:val="20"/>
                <w:szCs w:val="20"/>
                <w:color w:val="auto"/>
              </w:rPr>
            </w:pPr>
            <w:r>
              <w:rPr>
                <w:rFonts w:ascii="Arial" w:cs="Arial" w:eastAsia="Arial" w:hAnsi="Arial"/>
                <w:sz w:val="16"/>
                <w:szCs w:val="16"/>
                <w:color w:val="auto"/>
              </w:rPr>
              <w:t>to noncontrolling 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tcPr>
          <w:p>
            <w:pPr>
              <w:jc w:val="right"/>
              <w:spacing w:after="0" w:line="165" w:lineRule="exact"/>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Arial" w:cs="Arial" w:eastAsia="Arial" w:hAnsi="Arial"/>
                <w:sz w:val="16"/>
                <w:szCs w:val="16"/>
                <w:i w:val="1"/>
                <w:iCs w:val="1"/>
                <w:color w:val="auto"/>
              </w:rPr>
              <w:t>—%</w:t>
            </w:r>
          </w:p>
        </w:tc>
        <w:tc>
          <w:tcPr>
            <w:tcW w:w="9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14 %</w:t>
            </w:r>
          </w:p>
        </w:tc>
        <w:tc>
          <w:tcPr>
            <w:tcW w:w="940" w:type="dxa"/>
            <w:vAlign w:val="bottom"/>
            <w:gridSpan w:val="3"/>
          </w:tcPr>
          <w:p>
            <w:pPr>
              <w:jc w:val="right"/>
              <w:ind w:right="6"/>
              <w:spacing w:after="0" w:line="16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line="181" w:lineRule="exact"/>
              <w:rPr>
                <w:sz w:val="20"/>
                <w:szCs w:val="20"/>
                <w:color w:val="auto"/>
              </w:rPr>
            </w:pPr>
            <w:r>
              <w:rPr>
                <w:rFonts w:ascii="Arial" w:cs="Arial" w:eastAsia="Arial" w:hAnsi="Arial"/>
                <w:sz w:val="16"/>
                <w:szCs w:val="16"/>
                <w:color w:val="auto"/>
              </w:rPr>
              <w:t>Net income (loss) attributable to</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620" w:type="dxa"/>
            <w:vAlign w:val="bottom"/>
            <w:vMerge w:val="continue"/>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(14,140)</w:t>
            </w:r>
          </w:p>
        </w:tc>
        <w:tc>
          <w:tcPr>
            <w:tcW w:w="64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(35,301)</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(30,673)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Reading International, Inc.</w:t>
            </w:r>
          </w:p>
        </w:tc>
        <w:tc>
          <w:tcPr>
            <w:tcW w:w="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00" w:type="dxa"/>
            <w:vAlign w:val="bottom"/>
            <w:tcBorders>
              <w:right w:val="single" w:sz="8" w:color="CCEEFF"/>
            </w:tcBorders>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i w:val="1"/>
                <w:iCs w:val="1"/>
                <w:color w:val="auto"/>
              </w:rPr>
              <w:t>(7)%</w:t>
            </w:r>
          </w:p>
        </w:tc>
        <w:tc>
          <w:tcPr>
            <w:tcW w:w="8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i w:val="1"/>
                <w:iCs w:val="1"/>
                <w:color w:val="auto"/>
              </w:rPr>
              <w:t>(17)%</w:t>
            </w:r>
          </w:p>
        </w:tc>
        <w:tc>
          <w:tcPr>
            <w:tcW w:w="20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i w:val="1"/>
                <w:iCs w:val="1"/>
                <w:color w:val="auto"/>
              </w:rPr>
              <w:t>(14)%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color w:val="auto"/>
              </w:rPr>
              <w:t>60 %</w:t>
            </w:r>
          </w:p>
        </w:tc>
        <w:tc>
          <w:tcPr>
            <w:tcW w:w="74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jc w:val="right"/>
              <w:ind w:right="6"/>
              <w:spacing w:after="0" w:line="160" w:lineRule="exact"/>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tcBorders>
          </w:tcPr>
          <w:p>
            <w:pPr>
              <w:spacing w:after="0" w:line="163" w:lineRule="exact"/>
              <w:rPr>
                <w:sz w:val="20"/>
                <w:szCs w:val="20"/>
                <w:color w:val="auto"/>
              </w:rPr>
            </w:pPr>
            <w:r>
              <w:rPr>
                <w:rFonts w:ascii="Arial" w:cs="Arial" w:eastAsia="Arial" w:hAnsi="Arial"/>
                <w:sz w:val="16"/>
                <w:szCs w:val="16"/>
                <w:color w:val="auto"/>
              </w:rPr>
              <w:t>Basic earnings (loss) per share</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line="163" w:lineRule="exact"/>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(0.62)</w:t>
            </w:r>
          </w:p>
        </w:tc>
        <w:tc>
          <w:tcPr>
            <w:tcW w:w="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(1.58)</w:t>
            </w: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38)</w:t>
            </w: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2"/>
          </w:tcPr>
          <w:p>
            <w:pPr>
              <w:jc w:val="right"/>
              <w:spacing w:after="0" w:line="163" w:lineRule="exact"/>
              <w:rPr>
                <w:sz w:val="20"/>
                <w:szCs w:val="20"/>
                <w:color w:val="auto"/>
              </w:rPr>
            </w:pPr>
            <w:r>
              <w:rPr>
                <w:rFonts w:ascii="Arial" w:cs="Arial" w:eastAsia="Arial" w:hAnsi="Arial"/>
                <w:sz w:val="16"/>
                <w:szCs w:val="16"/>
                <w:color w:val="auto"/>
              </w:rPr>
              <w:t>61 %</w:t>
            </w:r>
          </w:p>
        </w:tc>
        <w:tc>
          <w:tcPr>
            <w:tcW w:w="940" w:type="dxa"/>
            <w:vAlign w:val="bottom"/>
            <w:tcBorders>
              <w:top w:val="single" w:sz="8" w:color="CCEEFF"/>
            </w:tcBorders>
            <w:gridSpan w:val="3"/>
          </w:tcPr>
          <w:p>
            <w:pPr>
              <w:jc w:val="right"/>
              <w:ind w:right="6"/>
              <w:spacing w:after="0" w:line="16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vs. 2024</w:t>
      </w:r>
    </w:p>
    <w:p>
      <w:pPr>
        <w:jc w:val="both"/>
        <w:ind w:right="60"/>
        <w:spacing w:after="0" w:line="237" w:lineRule="auto"/>
        <w:rPr>
          <w:sz w:val="20"/>
          <w:szCs w:val="20"/>
          <w:color w:val="auto"/>
        </w:rPr>
      </w:pPr>
      <w:r>
        <w:rPr>
          <w:rFonts w:ascii="Arial" w:cs="Arial" w:eastAsia="Arial" w:hAnsi="Arial"/>
          <w:sz w:val="19"/>
          <w:szCs w:val="19"/>
          <w:color w:val="auto"/>
        </w:rPr>
        <w:t>Net Loss attributed to Reading International, Inc. was $14.1 million for the year ended December 31, 2025, an improvement of $21.2 million from a Net Loss of $35.3 million for the year ended December 31, 2024. This improvement was primarily due to (i) an increase in cinema segment operating income and real estate segment operating income (ii) a $3.2 million decrease in interest expense partly due to principal pay down, (iii) a $2.7 million gain on acquisition of noncontrolling interest of Sutton Hills Properties LLC (iv) $8.4 million gain on the sale of assets from the monetization of the Courtenay Central and Cannon Park properties, compared to a loss of $(1.1) million on sale of our Culver City office in the same period prior year and (v) a $1.1 million reduction in G&amp;A expenses, partially offset by $3.7 million increase in other expense.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 RESULTS –2025 vs. 2024</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Presented below is the comparison of the segment operating income of our two business segments for the years ended December 31, 2025 and 2024,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5"/>
          </w:tcPr>
          <w:p>
            <w:pPr>
              <w:ind w:left="4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ind w:left="480"/>
              <w:spacing w:after="0" w:line="173" w:lineRule="exact"/>
              <w:rPr>
                <w:sz w:val="20"/>
                <w:szCs w:val="20"/>
                <w:color w:val="auto"/>
              </w:rPr>
            </w:pPr>
            <w:r>
              <w:rPr>
                <w:rFonts w:ascii="Arial" w:cs="Arial" w:eastAsia="Arial" w:hAnsi="Arial"/>
                <w:sz w:val="16"/>
                <w:szCs w:val="16"/>
                <w:b w:val="1"/>
                <w:bCs w:val="1"/>
                <w:color w:val="auto"/>
              </w:rPr>
              <w:t>Favorable/</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4"/>
              <w:spacing w:after="0" w:line="175" w:lineRule="exact"/>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bottom w:val="single" w:sz="8" w:color="auto"/>
            </w:tcBorders>
            <w:gridSpan w:val="5"/>
          </w:tcPr>
          <w:p>
            <w:pPr>
              <w:jc w:val="right"/>
              <w:ind w:right="306"/>
              <w:spacing w:after="0" w:line="175" w:lineRule="exact"/>
              <w:rPr>
                <w:sz w:val="20"/>
                <w:szCs w:val="20"/>
                <w:color w:val="auto"/>
              </w:rPr>
            </w:pPr>
            <w:r>
              <w:rPr>
                <w:rFonts w:ascii="Arial" w:cs="Arial" w:eastAsia="Arial" w:hAnsi="Arial"/>
                <w:sz w:val="16"/>
                <w:szCs w:val="16"/>
                <w:b w:val="1"/>
                <w:bCs w:val="1"/>
                <w:color w:val="auto"/>
              </w:rPr>
              <w:t>(Unfavorable)</w:t>
            </w:r>
          </w:p>
        </w:tc>
        <w:tc>
          <w:tcPr>
            <w:tcW w:w="0" w:type="dxa"/>
            <w:vAlign w:val="bottom"/>
          </w:tcPr>
          <w:p>
            <w:pPr>
              <w:spacing w:after="0"/>
              <w:rPr>
                <w:sz w:val="1"/>
                <w:szCs w:val="1"/>
                <w:color w:val="auto"/>
              </w:rPr>
            </w:pPr>
          </w:p>
        </w:tc>
      </w:tr>
      <w:tr>
        <w:trPr>
          <w:trHeight w:val="183"/>
        </w:trPr>
        <w:tc>
          <w:tcPr>
            <w:tcW w:w="3800" w:type="dxa"/>
            <w:vAlign w:val="bottom"/>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80"/>
              <w:spacing w:after="0" w:line="173" w:lineRule="exact"/>
              <w:rPr>
                <w:sz w:val="20"/>
                <w:szCs w:val="20"/>
                <w:color w:val="auto"/>
              </w:rPr>
            </w:pPr>
            <w:r>
              <w:rPr>
                <w:rFonts w:ascii="Arial" w:cs="Arial" w:eastAsia="Arial" w:hAnsi="Arial"/>
                <w:sz w:val="16"/>
                <w:szCs w:val="16"/>
                <w:b w:val="1"/>
                <w:bCs w:val="1"/>
                <w:color w:val="auto"/>
                <w:w w:val="96"/>
              </w:rPr>
              <w:t>Cinema</w:t>
            </w:r>
          </w:p>
        </w:tc>
        <w:tc>
          <w:tcPr>
            <w:tcW w:w="80" w:type="dxa"/>
            <w:vAlign w:val="bottom"/>
          </w:tcPr>
          <w:p>
            <w:pPr>
              <w:spacing w:after="0"/>
              <w:rPr>
                <w:sz w:val="15"/>
                <w:szCs w:val="15"/>
                <w:color w:val="auto"/>
              </w:rPr>
            </w:pPr>
          </w:p>
        </w:tc>
        <w:tc>
          <w:tcPr>
            <w:tcW w:w="88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w w:val="92"/>
              </w:rPr>
              <w:t>Real Estate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auto"/>
              </w:rPr>
              <w:t>Cinema</w:t>
            </w:r>
          </w:p>
        </w:tc>
        <w:tc>
          <w:tcPr>
            <w:tcW w:w="88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w w:val="95"/>
              </w:rPr>
              <w:t>Real Estate</w:t>
            </w:r>
          </w:p>
        </w:tc>
        <w:tc>
          <w:tcPr>
            <w:tcW w:w="80" w:type="dxa"/>
            <w:vAlign w:val="bottom"/>
          </w:tcPr>
          <w:p>
            <w:pPr>
              <w:spacing w:after="0"/>
              <w:rPr>
                <w:sz w:val="15"/>
                <w:szCs w:val="15"/>
                <w:color w:val="auto"/>
              </w:rPr>
            </w:pPr>
          </w:p>
        </w:tc>
        <w:tc>
          <w:tcPr>
            <w:tcW w:w="840" w:type="dxa"/>
            <w:vAlign w:val="bottom"/>
            <w:gridSpan w:val="2"/>
          </w:tcPr>
          <w:p>
            <w:pPr>
              <w:jc w:val="right"/>
              <w:ind w:right="86"/>
              <w:spacing w:after="0" w:line="173" w:lineRule="exact"/>
              <w:rPr>
                <w:sz w:val="20"/>
                <w:szCs w:val="20"/>
                <w:color w:val="auto"/>
              </w:rPr>
            </w:pPr>
            <w:r>
              <w:rPr>
                <w:rFonts w:ascii="Arial" w:cs="Arial" w:eastAsia="Arial" w:hAnsi="Arial"/>
                <w:sz w:val="16"/>
                <w:szCs w:val="16"/>
                <w:b w:val="1"/>
                <w:bCs w:val="1"/>
                <w:color w:val="auto"/>
              </w:rPr>
              <w:t>Cinema</w:t>
            </w:r>
          </w:p>
        </w:tc>
        <w:tc>
          <w:tcPr>
            <w:tcW w:w="80" w:type="dxa"/>
            <w:vAlign w:val="bottom"/>
          </w:tcPr>
          <w:p>
            <w:pPr>
              <w:spacing w:after="0"/>
              <w:rPr>
                <w:sz w:val="15"/>
                <w:szCs w:val="15"/>
                <w:color w:val="auto"/>
              </w:rPr>
            </w:pPr>
          </w:p>
        </w:tc>
        <w:tc>
          <w:tcPr>
            <w:tcW w:w="80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w w:val="88"/>
              </w:rPr>
              <w:t>Real Estate</w:t>
            </w:r>
          </w:p>
        </w:tc>
        <w:tc>
          <w:tcPr>
            <w:tcW w:w="0" w:type="dxa"/>
            <w:vAlign w:val="bottom"/>
          </w:tcPr>
          <w:p>
            <w:pPr>
              <w:spacing w:after="0"/>
              <w:rPr>
                <w:sz w:val="1"/>
                <w:szCs w:val="1"/>
                <w:color w:val="auto"/>
              </w:rPr>
            </w:pPr>
          </w:p>
        </w:tc>
      </w:tr>
      <w:tr>
        <w:trPr>
          <w:trHeight w:val="173"/>
        </w:trPr>
        <w:tc>
          <w:tcPr>
            <w:tcW w:w="38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Segment Revenues</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188,603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18,421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195,130</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shd w:val="clear" w:color="auto" w:fill="CCEEFF"/>
              </w:rPr>
              <w:t>$</w:t>
            </w:r>
          </w:p>
        </w:tc>
        <w:tc>
          <w:tcPr>
            <w:tcW w:w="7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20,006</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w:t>
            </w:r>
          </w:p>
        </w:tc>
        <w:tc>
          <w:tcPr>
            <w:tcW w:w="2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4"/>
              </w:rPr>
              <w:t>%</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(8)</w:t>
            </w:r>
          </w:p>
        </w:tc>
        <w:tc>
          <w:tcPr>
            <w:tcW w:w="2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3800" w:type="dxa"/>
            <w:vAlign w:val="bottom"/>
          </w:tcPr>
          <w:p>
            <w:pPr>
              <w:spacing w:after="0" w:line="173" w:lineRule="exact"/>
              <w:rPr>
                <w:sz w:val="20"/>
                <w:szCs w:val="20"/>
                <w:color w:val="auto"/>
              </w:rPr>
            </w:pPr>
            <w:r>
              <w:rPr>
                <w:rFonts w:ascii="Arial" w:cs="Arial" w:eastAsia="Arial" w:hAnsi="Arial"/>
                <w:sz w:val="16"/>
                <w:szCs w:val="16"/>
                <w:b w:val="1"/>
                <w:bCs w:val="1"/>
                <w:color w:val="auto"/>
              </w:rPr>
              <w:t>Segment Operating Expenses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right"/>
              <w:ind w:right="26"/>
              <w:spacing w:after="0"/>
              <w:rPr>
                <w:sz w:val="20"/>
                <w:szCs w:val="20"/>
                <w:color w:val="auto"/>
              </w:rPr>
            </w:pPr>
            <w:r>
              <w:rPr>
                <w:rFonts w:ascii="Arial" w:cs="Arial" w:eastAsia="Arial" w:hAnsi="Arial"/>
                <w:sz w:val="16"/>
                <w:szCs w:val="16"/>
                <w:color w:val="auto"/>
              </w:rPr>
              <w:t>6%</w:t>
            </w:r>
          </w:p>
        </w:tc>
        <w:tc>
          <w:tcPr>
            <w:tcW w:w="880" w:type="dxa"/>
            <w:vAlign w:val="bottom"/>
            <w:gridSpan w:val="3"/>
            <w:vMerge w:val="restart"/>
          </w:tcPr>
          <w:p>
            <w:pPr>
              <w:jc w:val="right"/>
              <w:ind w:right="26"/>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Operating Expense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(172,364)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6"/>
                <w:szCs w:val="16"/>
                <w:color w:val="auto"/>
              </w:rPr>
              <w:t>(7,463)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(183,986)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(9,243)</w:t>
            </w:r>
          </w:p>
        </w:tc>
        <w:tc>
          <w:tcPr>
            <w:tcW w:w="80" w:type="dxa"/>
            <w:vAlign w:val="bottom"/>
            <w:shd w:val="clear" w:color="auto" w:fill="CCEEFF"/>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100"/>
              <w:spacing w:after="0" w:line="171" w:lineRule="exact"/>
              <w:rPr>
                <w:sz w:val="20"/>
                <w:szCs w:val="20"/>
                <w:color w:val="auto"/>
              </w:rPr>
            </w:pPr>
            <w:r>
              <w:rPr>
                <w:rFonts w:ascii="Arial" w:cs="Arial" w:eastAsia="Arial" w:hAnsi="Arial"/>
                <w:sz w:val="16"/>
                <w:szCs w:val="16"/>
                <w:color w:val="auto"/>
              </w:rPr>
              <w:t>Depreciation and 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(8,457)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(4,314)</w:t>
            </w:r>
          </w:p>
        </w:tc>
        <w:tc>
          <w:tcPr>
            <w:tcW w:w="14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(10,232)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(5,160)</w:t>
            </w:r>
          </w:p>
        </w:tc>
        <w:tc>
          <w:tcPr>
            <w:tcW w:w="80" w:type="dxa"/>
            <w:vAlign w:val="bottom"/>
          </w:tcPr>
          <w:p>
            <w:pPr>
              <w:spacing w:after="0"/>
              <w:rPr>
                <w:sz w:val="14"/>
                <w:szCs w:val="14"/>
                <w:color w:val="auto"/>
              </w:rPr>
            </w:pPr>
          </w:p>
        </w:tc>
        <w:tc>
          <w:tcPr>
            <w:tcW w:w="840" w:type="dxa"/>
            <w:vAlign w:val="bottom"/>
            <w:gridSpan w:val="2"/>
          </w:tcPr>
          <w:p>
            <w:pPr>
              <w:jc w:val="right"/>
              <w:ind w:right="26"/>
              <w:spacing w:after="0" w:line="171" w:lineRule="exact"/>
              <w:rPr>
                <w:sz w:val="20"/>
                <w:szCs w:val="20"/>
                <w:color w:val="auto"/>
              </w:rPr>
            </w:pPr>
            <w:r>
              <w:rPr>
                <w:rFonts w:ascii="Arial" w:cs="Arial" w:eastAsia="Arial" w:hAnsi="Arial"/>
                <w:sz w:val="16"/>
                <w:szCs w:val="16"/>
                <w:color w:val="auto"/>
              </w:rPr>
              <w:t>17%</w:t>
            </w:r>
          </w:p>
        </w:tc>
        <w:tc>
          <w:tcPr>
            <w:tcW w:w="880" w:type="dxa"/>
            <w:vAlign w:val="bottom"/>
            <w:gridSpan w:val="3"/>
          </w:tcPr>
          <w:p>
            <w:pPr>
              <w:jc w:val="right"/>
              <w:ind w:right="26"/>
              <w:spacing w:after="0" w:line="171"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General and administrative expense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(4,139)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(727)</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(3,709)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(924)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w:t>
            </w:r>
          </w:p>
        </w:tc>
        <w:tc>
          <w:tcPr>
            <w:tcW w:w="220" w:type="dxa"/>
            <w:vAlign w:val="bottom"/>
          </w:tcPr>
          <w:p>
            <w:pPr>
              <w:jc w:val="right"/>
              <w:ind w:right="26"/>
              <w:spacing w:after="0"/>
              <w:rPr>
                <w:sz w:val="20"/>
                <w:szCs w:val="20"/>
                <w:color w:val="auto"/>
              </w:rPr>
            </w:pPr>
            <w:r>
              <w:rPr>
                <w:rFonts w:ascii="Arial" w:cs="Arial" w:eastAsia="Arial" w:hAnsi="Arial"/>
                <w:sz w:val="15"/>
                <w:szCs w:val="15"/>
                <w:color w:val="auto"/>
                <w:w w:val="74"/>
              </w:rPr>
              <w:t>%</w:t>
            </w:r>
          </w:p>
        </w:tc>
        <w:tc>
          <w:tcPr>
            <w:tcW w:w="880" w:type="dxa"/>
            <w:vAlign w:val="bottom"/>
            <w:gridSpan w:val="3"/>
          </w:tcPr>
          <w:p>
            <w:pPr>
              <w:jc w:val="right"/>
              <w:ind w:right="26"/>
              <w:spacing w:after="0" w:line="17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3800" w:type="dxa"/>
            <w:vAlign w:val="bottom"/>
          </w:tcPr>
          <w:p>
            <w:pPr>
              <w:ind w:left="100"/>
              <w:spacing w:after="0"/>
              <w:rPr>
                <w:sz w:val="20"/>
                <w:szCs w:val="20"/>
                <w:color w:val="auto"/>
              </w:rPr>
            </w:pPr>
            <w:r>
              <w:rPr>
                <w:rFonts w:ascii="Arial" w:cs="Arial" w:eastAsia="Arial" w:hAnsi="Arial"/>
                <w:sz w:val="16"/>
                <w:szCs w:val="16"/>
                <w:color w:val="auto"/>
              </w:rPr>
              <w:t>Impairment of long-lived assets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ind w:left="480"/>
              <w:spacing w:after="0" w:line="206" w:lineRule="exact"/>
              <w:rPr>
                <w:sz w:val="20"/>
                <w:szCs w:val="20"/>
                <w:color w:val="auto"/>
              </w:rPr>
            </w:pPr>
            <w:r>
              <w:rPr>
                <w:rFonts w:ascii="Arial" w:cs="Arial" w:eastAsia="Arial" w:hAnsi="Arial"/>
                <w:sz w:val="20"/>
                <w:szCs w:val="20"/>
                <w:color w:val="auto"/>
              </w:rPr>
              <w:t>-</w:t>
            </w:r>
          </w:p>
        </w:tc>
        <w:tc>
          <w:tcPr>
            <w:tcW w:w="220" w:type="dxa"/>
            <w:vAlign w:val="bottom"/>
          </w:tcPr>
          <w:p>
            <w:pPr>
              <w:jc w:val="right"/>
              <w:ind w:right="26"/>
              <w:spacing w:after="0"/>
              <w:rPr>
                <w:sz w:val="20"/>
                <w:szCs w:val="20"/>
                <w:color w:val="auto"/>
              </w:rPr>
            </w:pPr>
            <w:r>
              <w:rPr>
                <w:rFonts w:ascii="Arial" w:cs="Arial" w:eastAsia="Arial" w:hAnsi="Arial"/>
                <w:sz w:val="15"/>
                <w:szCs w:val="15"/>
                <w:color w:val="auto"/>
                <w:w w:val="74"/>
              </w:rPr>
              <w:t>%</w:t>
            </w:r>
          </w:p>
        </w:tc>
        <w:tc>
          <w:tcPr>
            <w:tcW w:w="80" w:type="dxa"/>
            <w:vAlign w:val="bottom"/>
          </w:tcPr>
          <w:p>
            <w:pPr>
              <w:spacing w:after="0"/>
              <w:rPr>
                <w:sz w:val="17"/>
                <w:szCs w:val="17"/>
                <w:color w:val="auto"/>
              </w:rPr>
            </w:pPr>
          </w:p>
        </w:tc>
        <w:tc>
          <w:tcPr>
            <w:tcW w:w="80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800" w:type="dxa"/>
            <w:vAlign w:val="bottom"/>
            <w:tcBorders>
              <w:top w:val="single" w:sz="8" w:color="CCEEFF"/>
              <w:bottom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Total segment expenses</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(184,960)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(12,504)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(197,927)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(15,327)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gridSpan w:val="2"/>
          </w:tcPr>
          <w:p>
            <w:pPr>
              <w:jc w:val="right"/>
              <w:ind w:right="26"/>
              <w:spacing w:after="0" w:line="173" w:lineRule="exact"/>
              <w:rPr>
                <w:sz w:val="20"/>
                <w:szCs w:val="20"/>
                <w:color w:val="auto"/>
              </w:rPr>
            </w:pPr>
            <w:r>
              <w:rPr>
                <w:rFonts w:ascii="Arial" w:cs="Arial" w:eastAsia="Arial" w:hAnsi="Arial"/>
                <w:sz w:val="16"/>
                <w:szCs w:val="16"/>
                <w:color w:val="auto"/>
              </w:rPr>
              <w:t>7%</w:t>
            </w:r>
          </w:p>
        </w:tc>
        <w:tc>
          <w:tcPr>
            <w:tcW w:w="880" w:type="dxa"/>
            <w:vAlign w:val="bottom"/>
            <w:gridSpan w:val="3"/>
          </w:tcPr>
          <w:p>
            <w:pPr>
              <w:jc w:val="right"/>
              <w:ind w:right="26"/>
              <w:spacing w:after="0" w:line="17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3"/>
        </w:trPr>
        <w:tc>
          <w:tcPr>
            <w:tcW w:w="3800" w:type="dxa"/>
            <w:vAlign w:val="bottom"/>
            <w:tcBorders>
              <w:bottom w:val="single" w:sz="8" w:color="CCEEFF"/>
            </w:tcBorders>
          </w:tcPr>
          <w:p>
            <w:pPr>
              <w:spacing w:after="0" w:line="153" w:lineRule="exact"/>
              <w:rPr>
                <w:sz w:val="20"/>
                <w:szCs w:val="20"/>
                <w:color w:val="auto"/>
              </w:rPr>
            </w:pPr>
            <w:r>
              <w:rPr>
                <w:rFonts w:ascii="Arial" w:cs="Arial" w:eastAsia="Arial" w:hAnsi="Arial"/>
                <w:sz w:val="16"/>
                <w:szCs w:val="16"/>
                <w:b w:val="1"/>
                <w:bCs w:val="1"/>
                <w:color w:val="auto"/>
              </w:rPr>
              <w:t>Segment operating income (loss)</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3,643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53"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5,917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(2,797)</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53"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4,679</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right"/>
              <w:spacing w:after="0" w:line="153" w:lineRule="exact"/>
              <w:rPr>
                <w:sz w:val="20"/>
                <w:szCs w:val="20"/>
                <w:color w:val="auto"/>
              </w:rPr>
            </w:pPr>
            <w:r>
              <w:rPr>
                <w:rFonts w:ascii="Arial" w:cs="Arial" w:eastAsia="Arial" w:hAnsi="Arial"/>
                <w:sz w:val="16"/>
                <w:szCs w:val="16"/>
                <w:b w:val="1"/>
                <w:bCs w:val="1"/>
                <w:color w:val="auto"/>
              </w:rPr>
              <w:t>&gt;100%</w:t>
            </w:r>
          </w:p>
        </w:tc>
        <w:tc>
          <w:tcPr>
            <w:tcW w:w="880" w:type="dxa"/>
            <w:vAlign w:val="bottom"/>
            <w:tcBorders>
              <w:bottom w:val="single" w:sz="8" w:color="CCEEFF"/>
            </w:tcBorders>
            <w:gridSpan w:val="3"/>
          </w:tcPr>
          <w:p>
            <w:pPr>
              <w:jc w:val="right"/>
              <w:spacing w:after="0" w:line="153" w:lineRule="exact"/>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ind w:left="360"/>
              <w:spacing w:after="0" w:line="173" w:lineRule="exact"/>
              <w:rPr>
                <w:sz w:val="20"/>
                <w:szCs w:val="20"/>
                <w:color w:val="auto"/>
              </w:rPr>
            </w:pPr>
            <w:r>
              <w:rPr>
                <w:rFonts w:ascii="Arial" w:cs="Arial" w:eastAsia="Arial" w:hAnsi="Arial"/>
                <w:sz w:val="16"/>
                <w:szCs w:val="16"/>
                <w:b w:val="1"/>
                <w:bCs w:val="1"/>
                <w:i w:val="1"/>
                <w:iCs w:val="1"/>
                <w:color w:val="auto"/>
              </w:rPr>
              <w:t>Breakdown by country: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600"/>
              <w:spacing w:after="0" w:line="171" w:lineRule="exact"/>
              <w:rPr>
                <w:sz w:val="20"/>
                <w:szCs w:val="20"/>
                <w:color w:val="auto"/>
              </w:rPr>
            </w:pPr>
            <w:r>
              <w:rPr>
                <w:rFonts w:ascii="Arial" w:cs="Arial" w:eastAsia="Arial" w:hAnsi="Arial"/>
                <w:sz w:val="16"/>
                <w:szCs w:val="16"/>
                <w:color w:val="auto"/>
              </w:rPr>
              <w:t>United States</w:t>
            </w:r>
          </w:p>
        </w:tc>
        <w:tc>
          <w:tcPr>
            <w:tcW w:w="20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220</w:t>
            </w:r>
          </w:p>
        </w:tc>
        <w:tc>
          <w:tcPr>
            <w:tcW w:w="300" w:type="dxa"/>
            <w:vAlign w:val="bottom"/>
            <w:gridSpan w:val="2"/>
          </w:tcPr>
          <w:p>
            <w:pPr>
              <w:jc w:val="right"/>
              <w:ind w:right="64"/>
              <w:spacing w:after="0" w:line="17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586</w:t>
            </w: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(7,251)</w:t>
            </w:r>
          </w:p>
        </w:tc>
        <w:tc>
          <w:tcPr>
            <w:tcW w:w="60" w:type="dxa"/>
            <w:vAlign w:val="bottom"/>
          </w:tcPr>
          <w:p>
            <w:pPr>
              <w:spacing w:after="0"/>
              <w:rPr>
                <w:sz w:val="14"/>
                <w:szCs w:val="14"/>
                <w:color w:val="auto"/>
              </w:rPr>
            </w:pPr>
          </w:p>
        </w:tc>
        <w:tc>
          <w:tcPr>
            <w:tcW w:w="160" w:type="dxa"/>
            <w:vAlign w:val="bottom"/>
          </w:tcPr>
          <w:p>
            <w:pPr>
              <w:jc w:val="right"/>
              <w:ind w:right="5"/>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1" w:lineRule="exact"/>
              <w:rPr>
                <w:sz w:val="20"/>
                <w:szCs w:val="20"/>
                <w:color w:val="auto"/>
              </w:rPr>
            </w:pPr>
            <w:r>
              <w:rPr>
                <w:rFonts w:ascii="Arial" w:cs="Arial" w:eastAsia="Arial" w:hAnsi="Arial"/>
                <w:sz w:val="16"/>
                <w:szCs w:val="16"/>
                <w:color w:val="auto"/>
              </w:rPr>
              <w:t>(361)</w:t>
            </w:r>
          </w:p>
        </w:tc>
        <w:tc>
          <w:tcPr>
            <w:tcW w:w="80" w:type="dxa"/>
            <w:vAlign w:val="bottom"/>
          </w:tcPr>
          <w:p>
            <w:pPr>
              <w:spacing w:after="0"/>
              <w:rPr>
                <w:sz w:val="14"/>
                <w:szCs w:val="14"/>
                <w:color w:val="auto"/>
              </w:rPr>
            </w:pPr>
          </w:p>
        </w:tc>
        <w:tc>
          <w:tcPr>
            <w:tcW w:w="840" w:type="dxa"/>
            <w:vAlign w:val="bottom"/>
            <w:gridSpan w:val="2"/>
          </w:tcPr>
          <w:p>
            <w:pPr>
              <w:jc w:val="right"/>
              <w:ind w:right="26"/>
              <w:spacing w:after="0" w:line="171" w:lineRule="exact"/>
              <w:rPr>
                <w:sz w:val="20"/>
                <w:szCs w:val="20"/>
                <w:color w:val="auto"/>
              </w:rPr>
            </w:pPr>
            <w:r>
              <w:rPr>
                <w:rFonts w:ascii="Arial" w:cs="Arial" w:eastAsia="Arial" w:hAnsi="Arial"/>
                <w:sz w:val="16"/>
                <w:szCs w:val="16"/>
                <w:color w:val="auto"/>
              </w:rPr>
              <w:t>&gt;100%</w:t>
            </w:r>
          </w:p>
        </w:tc>
        <w:tc>
          <w:tcPr>
            <w:tcW w:w="880" w:type="dxa"/>
            <w:vAlign w:val="bottom"/>
            <w:gridSpan w:val="3"/>
          </w:tcPr>
          <w:p>
            <w:pPr>
              <w:jc w:val="right"/>
              <w:ind w:right="26"/>
              <w:spacing w:after="0" w:line="171" w:lineRule="exact"/>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600"/>
              <w:spacing w:after="0" w:line="175" w:lineRule="exact"/>
              <w:rPr>
                <w:sz w:val="20"/>
                <w:szCs w:val="20"/>
                <w:color w:val="auto"/>
              </w:rPr>
            </w:pPr>
            <w:r>
              <w:rPr>
                <w:rFonts w:ascii="Arial" w:cs="Arial" w:eastAsia="Arial" w:hAnsi="Arial"/>
                <w:sz w:val="16"/>
                <w:szCs w:val="16"/>
                <w:color w:val="auto"/>
              </w:rPr>
              <w:t>Australia</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3,902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5,280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4,026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5,973</w:t>
            </w:r>
          </w:p>
        </w:tc>
        <w:tc>
          <w:tcPr>
            <w:tcW w:w="80" w:type="dxa"/>
            <w:vAlign w:val="bottom"/>
            <w:shd w:val="clear" w:color="auto" w:fill="CCEEFF"/>
          </w:tcPr>
          <w:p>
            <w:pPr>
              <w:spacing w:after="0"/>
              <w:rPr>
                <w:sz w:val="15"/>
                <w:szCs w:val="15"/>
                <w:color w:val="auto"/>
              </w:rPr>
            </w:pPr>
          </w:p>
        </w:tc>
        <w:tc>
          <w:tcPr>
            <w:tcW w:w="840" w:type="dxa"/>
            <w:vAlign w:val="bottom"/>
            <w:gridSpan w:val="2"/>
          </w:tcPr>
          <w:p>
            <w:pPr>
              <w:jc w:val="right"/>
              <w:ind w:right="26"/>
              <w:spacing w:after="0" w:line="175" w:lineRule="exact"/>
              <w:rPr>
                <w:sz w:val="20"/>
                <w:szCs w:val="20"/>
                <w:color w:val="auto"/>
              </w:rPr>
            </w:pPr>
            <w:r>
              <w:rPr>
                <w:rFonts w:ascii="Arial" w:cs="Arial" w:eastAsia="Arial" w:hAnsi="Arial"/>
                <w:sz w:val="16"/>
                <w:szCs w:val="16"/>
                <w:color w:val="auto"/>
              </w:rPr>
              <w:t>(3)%</w:t>
            </w:r>
          </w:p>
        </w:tc>
        <w:tc>
          <w:tcPr>
            <w:tcW w:w="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3"/>
        </w:trPr>
        <w:tc>
          <w:tcPr>
            <w:tcW w:w="3800" w:type="dxa"/>
            <w:vAlign w:val="bottom"/>
          </w:tcPr>
          <w:p>
            <w:pPr>
              <w:ind w:left="600"/>
              <w:spacing w:after="0" w:line="173" w:lineRule="exact"/>
              <w:rPr>
                <w:sz w:val="20"/>
                <w:szCs w:val="20"/>
                <w:color w:val="auto"/>
              </w:rPr>
            </w:pPr>
            <w:r>
              <w:rPr>
                <w:rFonts w:ascii="Arial" w:cs="Arial" w:eastAsia="Arial" w:hAnsi="Arial"/>
                <w:sz w:val="16"/>
                <w:szCs w:val="16"/>
                <w:color w:val="auto"/>
              </w:rPr>
              <w:t>New Zealand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Arial" w:cs="Arial" w:eastAsia="Arial" w:hAnsi="Arial"/>
                <w:sz w:val="16"/>
                <w:szCs w:val="16"/>
                <w:color w:val="auto"/>
              </w:rPr>
              <w:t>(479)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51</w:t>
            </w:r>
          </w:p>
        </w:tc>
        <w:tc>
          <w:tcPr>
            <w:tcW w:w="14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Arial" w:cs="Arial" w:eastAsia="Arial" w:hAnsi="Arial"/>
                <w:sz w:val="16"/>
                <w:szCs w:val="16"/>
                <w:color w:val="auto"/>
              </w:rPr>
              <w:t>428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(933)</w:t>
            </w:r>
          </w:p>
        </w:tc>
        <w:tc>
          <w:tcPr>
            <w:tcW w:w="80" w:type="dxa"/>
            <w:vAlign w:val="bottom"/>
          </w:tcPr>
          <w:p>
            <w:pPr>
              <w:spacing w:after="0"/>
              <w:rPr>
                <w:sz w:val="15"/>
                <w:szCs w:val="15"/>
                <w:color w:val="auto"/>
              </w:rPr>
            </w:pPr>
          </w:p>
        </w:tc>
        <w:tc>
          <w:tcPr>
            <w:tcW w:w="840" w:type="dxa"/>
            <w:vAlign w:val="bottom"/>
            <w:gridSpan w:val="2"/>
          </w:tcPr>
          <w:p>
            <w:pPr>
              <w:jc w:val="right"/>
              <w:ind w:right="26"/>
              <w:spacing w:after="0" w:line="173" w:lineRule="exact"/>
              <w:rPr>
                <w:sz w:val="20"/>
                <w:szCs w:val="20"/>
                <w:color w:val="auto"/>
              </w:rPr>
            </w:pPr>
            <w:r>
              <w:rPr>
                <w:rFonts w:ascii="Arial" w:cs="Arial" w:eastAsia="Arial" w:hAnsi="Arial"/>
                <w:sz w:val="16"/>
                <w:szCs w:val="16"/>
                <w:color w:val="auto"/>
              </w:rPr>
              <w:t>(&gt;100)%</w:t>
            </w:r>
          </w:p>
        </w:tc>
        <w:tc>
          <w:tcPr>
            <w:tcW w:w="880" w:type="dxa"/>
            <w:vAlign w:val="bottom"/>
            <w:gridSpan w:val="3"/>
          </w:tcPr>
          <w:p>
            <w:pPr>
              <w:jc w:val="right"/>
              <w:ind w:right="26"/>
              <w:spacing w:after="0" w:line="173" w:lineRule="exact"/>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3,643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5,917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(2,797)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4,679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rPr>
              <w:t>&gt;100%</w:t>
            </w:r>
          </w:p>
        </w:tc>
        <w:tc>
          <w:tcPr>
            <w:tcW w:w="880" w:type="dxa"/>
            <w:vAlign w:val="bottom"/>
            <w:gridSpan w:val="3"/>
          </w:tcPr>
          <w:p>
            <w:pPr>
              <w:jc w:val="right"/>
              <w:spacing w:after="0" w:line="173" w:lineRule="exact"/>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-1303655</wp:posOffset>
            </wp:positionV>
            <wp:extent cx="1084580" cy="1098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1084580" cy="10985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-1083945</wp:posOffset>
            </wp:positionV>
            <wp:extent cx="502920" cy="109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502920" cy="1098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-837565</wp:posOffset>
            </wp:positionV>
            <wp:extent cx="1084580" cy="122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1084580" cy="1225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-360045</wp:posOffset>
            </wp:positionV>
            <wp:extent cx="946785" cy="109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946785" cy="1098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-134620</wp:posOffset>
            </wp:positionV>
            <wp:extent cx="946785" cy="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946785" cy="12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0"/>
          </w:cols>
          <w:pgMar w:left="1260" w:top="1347" w:right="1246"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color w:val="auto"/>
        </w:rPr>
        <w:t>A discussion for each segment follows:</w:t>
      </w:r>
    </w:p>
    <w:p>
      <w:pPr>
        <w:spacing w:after="0" w:line="212" w:lineRule="exact"/>
        <w:rPr>
          <w:sz w:val="20"/>
          <w:szCs w:val="20"/>
          <w:color w:val="auto"/>
        </w:rPr>
      </w:pPr>
    </w:p>
    <w:p>
      <w:pPr>
        <w:ind w:right="280"/>
        <w:spacing w:after="0" w:line="225" w:lineRule="auto"/>
        <w:rPr>
          <w:sz w:val="20"/>
          <w:szCs w:val="20"/>
          <w:color w:val="auto"/>
        </w:rPr>
      </w:pPr>
      <w:r>
        <w:rPr>
          <w:rFonts w:ascii="Arial" w:cs="Arial" w:eastAsia="Arial" w:hAnsi="Arial"/>
          <w:sz w:val="20"/>
          <w:szCs w:val="20"/>
          <w:b w:val="1"/>
          <w:bCs w:val="1"/>
          <w:u w:val="single" w:color="auto"/>
          <w:color w:val="auto"/>
        </w:rPr>
        <w:t>Cinema Exhibition</w:t>
      </w:r>
      <w:r>
        <w:rPr>
          <w:rFonts w:ascii="Arial" w:cs="Arial" w:eastAsia="Arial" w:hAnsi="Arial"/>
          <w:sz w:val="20"/>
          <w:szCs w:val="20"/>
          <w:b w:val="1"/>
          <w:bCs w:val="1"/>
          <w:color w:val="auto"/>
        </w:rPr>
        <w:t xml:space="preserve"> – </w:t>
      </w:r>
      <w:r>
        <w:rPr>
          <w:rFonts w:ascii="Arial" w:cs="Arial" w:eastAsia="Arial" w:hAnsi="Arial"/>
          <w:sz w:val="20"/>
          <w:szCs w:val="20"/>
          <w:b w:val="1"/>
          <w:bCs w:val="1"/>
          <w:i w:val="1"/>
          <w:iCs w:val="1"/>
          <w:color w:val="auto"/>
        </w:rPr>
        <w:t>The following table details our Cinema Exhibition segment operating results for the years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ended</w:t>
      </w:r>
    </w:p>
    <w:p>
      <w:pPr>
        <w:spacing w:after="0" w:line="230" w:lineRule="auto"/>
        <w:rPr>
          <w:sz w:val="20"/>
          <w:szCs w:val="20"/>
          <w:color w:val="auto"/>
        </w:rPr>
      </w:pPr>
      <w:r>
        <w:rPr>
          <w:rFonts w:ascii="Arial" w:cs="Arial" w:eastAsia="Arial" w:hAnsi="Arial"/>
          <w:sz w:val="20"/>
          <w:szCs w:val="20"/>
          <w:b w:val="1"/>
          <w:bCs w:val="1"/>
          <w:i w:val="1"/>
          <w:iCs w:val="1"/>
          <w:color w:val="auto"/>
        </w:rPr>
        <w:t>December 31, 2025 and 2024, respectively: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2025 vs.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left="30"/>
              <w:spacing w:after="0" w:line="151" w:lineRule="exact"/>
              <w:rPr>
                <w:sz w:val="20"/>
                <w:szCs w:val="20"/>
                <w:color w:val="auto"/>
              </w:rPr>
            </w:pPr>
            <w:r>
              <w:rPr>
                <w:rFonts w:ascii="Arial" w:cs="Arial" w:eastAsia="Arial" w:hAnsi="Arial"/>
                <w:sz w:val="14"/>
                <w:szCs w:val="14"/>
                <w:b w:val="1"/>
                <w:bCs w:val="1"/>
                <w:color w:val="auto"/>
                <w:w w:val="89"/>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60"/>
              <w:spacing w:after="0" w:line="151" w:lineRule="exact"/>
              <w:rPr>
                <w:sz w:val="20"/>
                <w:szCs w:val="20"/>
                <w:color w:val="auto"/>
              </w:rPr>
            </w:pPr>
            <w:r>
              <w:rPr>
                <w:rFonts w:ascii="Arial" w:cs="Arial" w:eastAsia="Arial" w:hAnsi="Arial"/>
                <w:sz w:val="14"/>
                <w:szCs w:val="14"/>
                <w:i w:val="1"/>
                <w:iCs w:val="1"/>
                <w:color w:val="auto"/>
                <w:w w:val="92"/>
              </w:rPr>
              <w:t>%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line="151" w:lineRule="exact"/>
              <w:rPr>
                <w:sz w:val="20"/>
                <w:szCs w:val="20"/>
                <w:color w:val="auto"/>
              </w:rPr>
            </w:pPr>
            <w:r>
              <w:rPr>
                <w:rFonts w:ascii="Arial" w:cs="Arial" w:eastAsia="Arial" w:hAnsi="Arial"/>
                <w:sz w:val="14"/>
                <w:szCs w:val="14"/>
                <w:i w:val="1"/>
                <w:iCs w:val="1"/>
                <w:color w:val="auto"/>
                <w:w w:val="92"/>
              </w:rPr>
              <w:t>% of</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63"/>
        </w:trPr>
        <w:tc>
          <w:tcPr>
            <w:tcW w:w="14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50"/>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line="153" w:lineRule="exact"/>
              <w:rPr>
                <w:sz w:val="20"/>
                <w:szCs w:val="20"/>
                <w:color w:val="auto"/>
              </w:rPr>
            </w:pPr>
            <w:r>
              <w:rPr>
                <w:rFonts w:ascii="Arial" w:cs="Arial" w:eastAsia="Arial" w:hAnsi="Arial"/>
                <w:sz w:val="14"/>
                <w:szCs w:val="14"/>
                <w:i w:val="1"/>
                <w:iCs w:val="1"/>
                <w:color w:val="auto"/>
                <w:w w:val="85"/>
              </w:rPr>
              <w:t>Revenue</w:t>
            </w:r>
          </w:p>
        </w:tc>
        <w:tc>
          <w:tcPr>
            <w:tcW w:w="12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i w:val="1"/>
                <w:iCs w:val="1"/>
                <w:color w:val="auto"/>
                <w:w w:val="85"/>
              </w:rPr>
              <w:t>Revenue</w:t>
            </w:r>
          </w:p>
        </w:tc>
        <w:tc>
          <w:tcPr>
            <w:tcW w:w="20" w:type="dxa"/>
            <w:vAlign w:val="bottom"/>
          </w:tcPr>
          <w:p>
            <w:pPr>
              <w:spacing w:after="0"/>
              <w:rPr>
                <w:sz w:val="14"/>
                <w:szCs w:val="14"/>
                <w:color w:val="auto"/>
              </w:rPr>
            </w:pPr>
          </w:p>
        </w:tc>
        <w:tc>
          <w:tcPr>
            <w:tcW w:w="8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Inc/(Dec)</w:t>
            </w:r>
          </w:p>
        </w:tc>
        <w:tc>
          <w:tcPr>
            <w:tcW w:w="9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w w:val="90"/>
              </w:rPr>
              <w:t>(Unfavorable)</w:t>
            </w:r>
          </w:p>
        </w:tc>
        <w:tc>
          <w:tcPr>
            <w:tcW w:w="0" w:type="dxa"/>
            <w:vAlign w:val="bottom"/>
          </w:tcPr>
          <w:p>
            <w:pPr>
              <w:spacing w:after="0"/>
              <w:rPr>
                <w:sz w:val="1"/>
                <w:szCs w:val="1"/>
                <w:color w:val="auto"/>
              </w:rPr>
            </w:pPr>
          </w:p>
        </w:tc>
      </w:tr>
      <w:tr>
        <w:trPr>
          <w:trHeight w:val="151"/>
        </w:trPr>
        <w:tc>
          <w:tcPr>
            <w:tcW w:w="140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Admission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54,214</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55,782</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56%</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(1,568)</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Food &amp; beverage revenue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35,523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34,314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1,209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Advertising and other revenue</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9,751</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9,842</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10%</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99,488</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99,938</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(450)</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Admission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47,413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48,186</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59%</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(773)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Food &amp; beverage revenue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24,373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27,670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(3,297)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Advertising and other revenue</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5,949</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6,176</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(227)</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(4)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77,735</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82,032</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(4,297)</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Admission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7,257</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7,662</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58%</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(405)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Food &amp; beverage revenue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3,541</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4,375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(834)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(19)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Advertising and other revenue</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582</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1,123</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(541)</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(48)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11,380</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13,160</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(1,780)</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41" w:lineRule="exact"/>
              <w:rPr>
                <w:sz w:val="20"/>
                <w:szCs w:val="20"/>
                <w:color w:val="auto"/>
              </w:rPr>
            </w:pPr>
            <w:r>
              <w:rPr>
                <w:rFonts w:ascii="Arial" w:cs="Arial" w:eastAsia="Arial" w:hAnsi="Arial"/>
                <w:sz w:val="14"/>
                <w:szCs w:val="14"/>
                <w:b w:val="1"/>
                <w:bCs w:val="1"/>
                <w:color w:val="auto"/>
              </w:rPr>
              <w:t>Total revenue</w:t>
            </w: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188,603</w:t>
            </w:r>
          </w:p>
        </w:tc>
        <w:tc>
          <w:tcPr>
            <w:tcW w:w="140" w:type="dxa"/>
            <w:vAlign w:val="bottom"/>
          </w:tcPr>
          <w:p>
            <w:pPr>
              <w:spacing w:after="0"/>
              <w:rPr>
                <w:sz w:val="13"/>
                <w:szCs w:val="13"/>
                <w:color w:val="auto"/>
              </w:rPr>
            </w:pPr>
          </w:p>
        </w:tc>
        <w:tc>
          <w:tcPr>
            <w:tcW w:w="640" w:type="dxa"/>
            <w:vAlign w:val="bottom"/>
          </w:tcPr>
          <w:p>
            <w:pPr>
              <w:jc w:val="right"/>
              <w:ind w:right="30"/>
              <w:spacing w:after="0" w:line="14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20"/>
              <w:spacing w:after="0" w:line="141" w:lineRule="exact"/>
              <w:rPr>
                <w:sz w:val="20"/>
                <w:szCs w:val="20"/>
                <w:color w:val="auto"/>
              </w:rPr>
            </w:pPr>
            <w:r>
              <w:rPr>
                <w:rFonts w:ascii="Arial" w:cs="Arial" w:eastAsia="Arial" w:hAnsi="Arial"/>
                <w:sz w:val="14"/>
                <w:szCs w:val="14"/>
                <w:b w:val="1"/>
                <w:bCs w:val="1"/>
                <w:color w:val="auto"/>
              </w:rPr>
              <w:t>195,130</w:t>
            </w:r>
          </w:p>
        </w:tc>
        <w:tc>
          <w:tcPr>
            <w:tcW w:w="120" w:type="dxa"/>
            <w:vAlign w:val="bottom"/>
          </w:tcPr>
          <w:p>
            <w:pPr>
              <w:spacing w:after="0"/>
              <w:rPr>
                <w:sz w:val="13"/>
                <w:szCs w:val="13"/>
                <w:color w:val="auto"/>
              </w:rPr>
            </w:pPr>
          </w:p>
        </w:tc>
        <w:tc>
          <w:tcPr>
            <w:tcW w:w="720" w:type="dxa"/>
            <w:vAlign w:val="bottom"/>
          </w:tcPr>
          <w:p>
            <w:pPr>
              <w:jc w:val="right"/>
              <w:ind w:right="10"/>
              <w:spacing w:after="0" w:line="14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7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(6,527)</w:t>
            </w:r>
          </w:p>
        </w:tc>
        <w:tc>
          <w:tcPr>
            <w:tcW w:w="120" w:type="dxa"/>
            <w:vAlign w:val="bottom"/>
            <w:gridSpan w:val="2"/>
          </w:tcPr>
          <w:p>
            <w:pPr>
              <w:spacing w:after="0"/>
              <w:rPr>
                <w:sz w:val="13"/>
                <w:szCs w:val="13"/>
                <w:color w:val="auto"/>
              </w:rPr>
            </w:pPr>
          </w:p>
        </w:tc>
        <w:tc>
          <w:tcPr>
            <w:tcW w:w="8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1380" w:type="dxa"/>
            <w:vAlign w:val="bottom"/>
          </w:tcPr>
          <w:p>
            <w:pPr>
              <w:spacing w:after="0" w:line="151" w:lineRule="exact"/>
              <w:rPr>
                <w:sz w:val="20"/>
                <w:szCs w:val="20"/>
                <w:color w:val="auto"/>
              </w:rPr>
            </w:pPr>
            <w:r>
              <w:rPr>
                <w:rFonts w:ascii="Arial" w:cs="Arial" w:eastAsia="Arial" w:hAnsi="Arial"/>
                <w:sz w:val="14"/>
                <w:szCs w:val="14"/>
                <w:b w:val="1"/>
                <w:bCs w:val="1"/>
                <w:color w:val="auto"/>
                <w:w w:val="88"/>
              </w:rPr>
              <w:t>OPERATING EXPENSE</w:t>
            </w:r>
          </w:p>
        </w:tc>
        <w:tc>
          <w:tcPr>
            <w:tcW w:w="20" w:type="dxa"/>
            <w:vAlign w:val="bottom"/>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Film rent and advertising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(28,971)</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(30,315)</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(30)%</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(1,344)</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Food &amp; beverage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(9,108)</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(9,071)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(16,962)</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(22,516)</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(23)%</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(5,554)</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Labor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(16,482)</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(17,323)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(841)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(5,413)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(5,973)</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(560)</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9 %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(6,670)</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(6,664)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(8,665)</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(7,948)</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717</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(92,271)</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(93)%</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(99,810)</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(7,539)</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Film rent and advertising cost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vMerge w:val="continue"/>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(21,081)</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(27)%</w:t>
            </w:r>
          </w:p>
        </w:tc>
        <w:tc>
          <w:tcPr>
            <w:tcW w:w="14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(22,124)</w:t>
            </w: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(27)%</w:t>
            </w: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(1,043)</w:t>
            </w: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Food &amp; beverage cost</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(5,290)</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(6,141)</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(851)</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(17,708)</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(18,086)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(22)%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(378)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Labor cost</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(13,613)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(14,040)</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(427)</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(3,207)</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(2,861)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346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(4,614)</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(5,069)</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(455)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9 %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(3,342)</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(3,597)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(68,855)</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(89)%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(71,918)</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(88)%</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(3,063)</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Film rent and advertising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vMerge w:val="continue"/>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(3,313)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(3,473)</w:t>
            </w:r>
          </w:p>
        </w:tc>
        <w:tc>
          <w:tcPr>
            <w:tcW w:w="20" w:type="dxa"/>
            <w:vAlign w:val="bottom"/>
            <w:vMerge w:val="continue"/>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(26)%</w:t>
            </w:r>
          </w:p>
        </w:tc>
        <w:tc>
          <w:tcPr>
            <w:tcW w:w="14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(160)</w:t>
            </w:r>
          </w:p>
        </w:tc>
        <w:tc>
          <w:tcPr>
            <w:tcW w:w="20" w:type="dxa"/>
            <w:vAlign w:val="bottom"/>
            <w:vMerge w:val="continue"/>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Food &amp; beverage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(733)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(947)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(2,883)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(3,106)</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(24)%</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(223)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Labor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(2,115)</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(2,385)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(501)</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(394)</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(759)</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(886)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(934)</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(1,067)</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(11,238)</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(99)%</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(12,258)</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(93)%</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(1,020)</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20" w:type="dxa"/>
            <w:vAlign w:val="bottom"/>
            <w:gridSpan w:val="4"/>
          </w:tcPr>
          <w:p>
            <w:pPr>
              <w:ind w:left="120"/>
              <w:spacing w:after="0" w:line="141" w:lineRule="exact"/>
              <w:rPr>
                <w:sz w:val="20"/>
                <w:szCs w:val="20"/>
                <w:color w:val="auto"/>
              </w:rPr>
            </w:pPr>
            <w:r>
              <w:rPr>
                <w:rFonts w:ascii="Arial" w:cs="Arial" w:eastAsia="Arial" w:hAnsi="Arial"/>
                <w:sz w:val="14"/>
                <w:szCs w:val="14"/>
                <w:b w:val="1"/>
                <w:bCs w:val="1"/>
                <w:color w:val="auto"/>
              </w:rPr>
              <w:t>Total operating expense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(172,364)</w:t>
            </w:r>
          </w:p>
        </w:tc>
        <w:tc>
          <w:tcPr>
            <w:tcW w:w="140" w:type="dxa"/>
            <w:vAlign w:val="bottom"/>
          </w:tcPr>
          <w:p>
            <w:pPr>
              <w:spacing w:after="0"/>
              <w:rPr>
                <w:sz w:val="13"/>
                <w:szCs w:val="13"/>
                <w:color w:val="auto"/>
              </w:rPr>
            </w:pPr>
          </w:p>
        </w:tc>
        <w:tc>
          <w:tcPr>
            <w:tcW w:w="640" w:type="dxa"/>
            <w:vAlign w:val="bottom"/>
          </w:tcPr>
          <w:p>
            <w:pPr>
              <w:jc w:val="right"/>
              <w:ind w:right="30"/>
              <w:spacing w:after="0" w:line="141" w:lineRule="exact"/>
              <w:rPr>
                <w:sz w:val="20"/>
                <w:szCs w:val="20"/>
                <w:color w:val="auto"/>
              </w:rPr>
            </w:pPr>
            <w:r>
              <w:rPr>
                <w:rFonts w:ascii="Arial" w:cs="Arial" w:eastAsia="Arial" w:hAnsi="Arial"/>
                <w:sz w:val="14"/>
                <w:szCs w:val="14"/>
                <w:i w:val="1"/>
                <w:iCs w:val="1"/>
                <w:color w:val="auto"/>
              </w:rPr>
              <w:t>(91)%</w:t>
            </w:r>
          </w:p>
        </w:tc>
        <w:tc>
          <w:tcPr>
            <w:tcW w:w="14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20"/>
              <w:spacing w:after="0" w:line="141" w:lineRule="exact"/>
              <w:rPr>
                <w:sz w:val="20"/>
                <w:szCs w:val="20"/>
                <w:color w:val="auto"/>
              </w:rPr>
            </w:pPr>
            <w:r>
              <w:rPr>
                <w:rFonts w:ascii="Arial" w:cs="Arial" w:eastAsia="Arial" w:hAnsi="Arial"/>
                <w:sz w:val="14"/>
                <w:szCs w:val="14"/>
                <w:b w:val="1"/>
                <w:bCs w:val="1"/>
                <w:color w:val="auto"/>
              </w:rPr>
              <w:t>(183,986)</w:t>
            </w:r>
          </w:p>
        </w:tc>
        <w:tc>
          <w:tcPr>
            <w:tcW w:w="120" w:type="dxa"/>
            <w:vAlign w:val="bottom"/>
          </w:tcPr>
          <w:p>
            <w:pPr>
              <w:spacing w:after="0"/>
              <w:rPr>
                <w:sz w:val="13"/>
                <w:szCs w:val="13"/>
                <w:color w:val="auto"/>
              </w:rPr>
            </w:pPr>
          </w:p>
        </w:tc>
        <w:tc>
          <w:tcPr>
            <w:tcW w:w="720" w:type="dxa"/>
            <w:vAlign w:val="bottom"/>
          </w:tcPr>
          <w:p>
            <w:pPr>
              <w:jc w:val="right"/>
              <w:ind w:right="10"/>
              <w:spacing w:after="0" w:line="141" w:lineRule="exact"/>
              <w:rPr>
                <w:sz w:val="20"/>
                <w:szCs w:val="20"/>
                <w:color w:val="auto"/>
              </w:rPr>
            </w:pPr>
            <w:r>
              <w:rPr>
                <w:rFonts w:ascii="Arial" w:cs="Arial" w:eastAsia="Arial" w:hAnsi="Arial"/>
                <w:sz w:val="14"/>
                <w:szCs w:val="14"/>
                <w:i w:val="1"/>
                <w:iCs w:val="1"/>
                <w:color w:val="auto"/>
              </w:rPr>
              <w:t>(94)%</w:t>
            </w:r>
          </w:p>
        </w:tc>
        <w:tc>
          <w:tcPr>
            <w:tcW w:w="140" w:type="dxa"/>
            <w:vAlign w:val="bottom"/>
          </w:tcPr>
          <w:p>
            <w:pPr>
              <w:spacing w:after="0"/>
              <w:rPr>
                <w:sz w:val="13"/>
                <w:szCs w:val="13"/>
                <w:color w:val="auto"/>
              </w:rPr>
            </w:pPr>
          </w:p>
        </w:tc>
        <w:tc>
          <w:tcPr>
            <w:tcW w:w="7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(11,622)</w:t>
            </w:r>
          </w:p>
        </w:tc>
        <w:tc>
          <w:tcPr>
            <w:tcW w:w="120" w:type="dxa"/>
            <w:vAlign w:val="bottom"/>
            <w:gridSpan w:val="2"/>
          </w:tcPr>
          <w:p>
            <w:pPr>
              <w:spacing w:after="0"/>
              <w:rPr>
                <w:sz w:val="13"/>
                <w:szCs w:val="13"/>
                <w:color w:val="auto"/>
              </w:rPr>
            </w:pPr>
          </w:p>
        </w:tc>
        <w:tc>
          <w:tcPr>
            <w:tcW w:w="8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b w:val="1"/>
                <w:bCs w:val="1"/>
                <w:color w:val="auto"/>
              </w:rPr>
              <w:t>DEPRECIATION,</w:t>
            </w:r>
          </w:p>
        </w:tc>
        <w:tc>
          <w:tcPr>
            <w:tcW w:w="20" w:type="dxa"/>
            <w:vAlign w:val="bottom"/>
            <w:vMerge w:val="continue"/>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AMORTIZATION, GENERAL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40" w:type="dxa"/>
            <w:vAlign w:val="bottom"/>
            <w:gridSpan w:val="5"/>
          </w:tcPr>
          <w:p>
            <w:pPr>
              <w:spacing w:after="0" w:line="153" w:lineRule="exact"/>
              <w:rPr>
                <w:sz w:val="20"/>
                <w:szCs w:val="20"/>
                <w:color w:val="auto"/>
              </w:rPr>
            </w:pPr>
            <w:r>
              <w:rPr>
                <w:rFonts w:ascii="Arial" w:cs="Arial" w:eastAsia="Arial" w:hAnsi="Arial"/>
                <w:sz w:val="14"/>
                <w:szCs w:val="14"/>
                <w:b w:val="1"/>
                <w:bCs w:val="1"/>
                <w:color w:val="auto"/>
              </w:rPr>
              <w:t>ADMINISTRATIVE EXPENSE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(4,403)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(5,011)</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(608)</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(2,594)</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(2,368)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226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(6,997)</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(7,379)</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45" w:lineRule="exact"/>
              <w:rPr>
                <w:sz w:val="20"/>
                <w:szCs w:val="20"/>
                <w:color w:val="auto"/>
              </w:rPr>
            </w:pPr>
            <w:r>
              <w:rPr>
                <w:rFonts w:ascii="Arial" w:cs="Arial" w:eastAsia="Arial" w:hAnsi="Arial"/>
                <w:sz w:val="14"/>
                <w:szCs w:val="14"/>
                <w:i w:val="1"/>
                <w:iCs w:val="1"/>
                <w:color w:val="auto"/>
              </w:rPr>
              <w:t>(7)%</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(382)</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(3,623)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(4,763)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(1,140)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(1,355)</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(1,325)</w:t>
            </w: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(4,978)</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(6)%</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(6,088)</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(7)%</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rPr>
              <w:t>(1,110)</w:t>
            </w:r>
          </w:p>
        </w:tc>
        <w:tc>
          <w:tcPr>
            <w:tcW w:w="20" w:type="dxa"/>
            <w:vAlign w:val="bottom"/>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18 %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(432)</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(458)</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(189)</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line="151" w:lineRule="exact"/>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(621)</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i w:val="1"/>
                <w:iCs w:val="1"/>
                <w:color w:val="auto"/>
              </w:rPr>
              <w:t>(5)%</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(474)</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45" w:lineRule="exact"/>
              <w:rPr>
                <w:sz w:val="20"/>
                <w:szCs w:val="20"/>
                <w:color w:val="auto"/>
              </w:rPr>
            </w:pPr>
            <w:r>
              <w:rPr>
                <w:rFonts w:ascii="Arial" w:cs="Arial" w:eastAsia="Arial" w:hAnsi="Arial"/>
                <w:sz w:val="14"/>
                <w:szCs w:val="14"/>
                <w:i w:val="1"/>
                <w:iCs w:val="1"/>
                <w:color w:val="auto"/>
              </w:rPr>
              <w:t>(4)%</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147</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gridSpan w:val="3"/>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20" w:type="dxa"/>
            <w:vAlign w:val="bottom"/>
            <w:gridSpan w:val="4"/>
            <w:shd w:val="clear" w:color="auto" w:fill="CCEEFF"/>
          </w:tcPr>
          <w:p>
            <w:pPr>
              <w:ind w:left="120"/>
              <w:spacing w:after="0" w:line="139" w:lineRule="exact"/>
              <w:rPr>
                <w:sz w:val="20"/>
                <w:szCs w:val="20"/>
                <w:color w:val="auto"/>
              </w:rPr>
            </w:pPr>
            <w:r>
              <w:rPr>
                <w:rFonts w:ascii="Arial" w:cs="Arial" w:eastAsia="Arial" w:hAnsi="Arial"/>
                <w:sz w:val="14"/>
                <w:szCs w:val="14"/>
                <w:b w:val="1"/>
                <w:bCs w:val="1"/>
                <w:color w:val="auto"/>
              </w:rPr>
              <w:t>Total depreciation, amortization, and general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(12,596)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(13,941)</w:t>
            </w:r>
          </w:p>
        </w:tc>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4"/>
            <w:shd w:val="clear" w:color="auto" w:fill="CCEEFF"/>
          </w:tcPr>
          <w:p>
            <w:pPr>
              <w:ind w:left="120"/>
              <w:spacing w:after="0" w:line="138" w:lineRule="exact"/>
              <w:rPr>
                <w:sz w:val="20"/>
                <w:szCs w:val="20"/>
                <w:color w:val="auto"/>
              </w:rPr>
            </w:pPr>
            <w:r>
              <w:rPr>
                <w:rFonts w:ascii="Arial" w:cs="Arial" w:eastAsia="Arial" w:hAnsi="Arial"/>
                <w:sz w:val="14"/>
                <w:szCs w:val="14"/>
                <w:b w:val="1"/>
                <w:bCs w:val="1"/>
                <w:color w:val="auto"/>
              </w:rPr>
              <w:t>administrative expense</w:t>
            </w:r>
          </w:p>
        </w:tc>
        <w:tc>
          <w:tcPr>
            <w:tcW w:w="1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jc w:val="right"/>
              <w:ind w:right="30"/>
              <w:spacing w:after="0" w:line="138" w:lineRule="exact"/>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0"/>
              <w:spacing w:after="0" w:line="138" w:lineRule="exact"/>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(1,345)</w:t>
            </w:r>
          </w:p>
        </w:tc>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3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64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CCEEFF"/>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Total expenses</w:t>
            </w:r>
          </w:p>
        </w:tc>
        <w:tc>
          <w:tcPr>
            <w:tcW w:w="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(184,960)</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(98)%</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(197,927)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(101)%</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(12,967)</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7 %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92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OPERATING INCOME (LOSS)</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220</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(7,251)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7,471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3,902</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4,026</w:t>
            </w: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w:t>
            </w: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(479)</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428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5"/>
                <w:szCs w:val="15"/>
                <w:color w:val="auto"/>
              </w:rPr>
            </w:pPr>
          </w:p>
        </w:tc>
        <w:tc>
          <w:tcPr>
            <w:tcW w:w="860" w:type="dxa"/>
            <w:vAlign w:val="bottom"/>
            <w:gridSpan w:val="4"/>
          </w:tcPr>
          <w:p>
            <w:pPr>
              <w:jc w:val="right"/>
              <w:ind w:right="120"/>
              <w:spacing w:after="0" w:line="151" w:lineRule="exact"/>
              <w:rPr>
                <w:sz w:val="20"/>
                <w:szCs w:val="20"/>
                <w:color w:val="auto"/>
              </w:rPr>
            </w:pPr>
            <w:r>
              <w:rPr>
                <w:rFonts w:ascii="Arial" w:cs="Arial" w:eastAsia="Arial" w:hAnsi="Arial"/>
                <w:sz w:val="14"/>
                <w:szCs w:val="14"/>
                <w:color w:val="auto"/>
              </w:rPr>
              <w:t>(907)</w:t>
            </w: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20" w:type="dxa"/>
            <w:vAlign w:val="bottom"/>
            <w:tcBorders>
              <w:top w:val="single" w:sz="8" w:color="CCEEFF"/>
              <w:bottom w:val="single" w:sz="8" w:color="CCEEFF"/>
            </w:tcBorders>
            <w:gridSpan w:val="4"/>
            <w:shd w:val="clear" w:color="auto" w:fill="CCEEFF"/>
          </w:tcPr>
          <w:p>
            <w:pPr>
              <w:ind w:left="120"/>
              <w:spacing w:after="0" w:line="137" w:lineRule="exact"/>
              <w:rPr>
                <w:sz w:val="20"/>
                <w:szCs w:val="20"/>
                <w:color w:val="auto"/>
              </w:rPr>
            </w:pPr>
            <w:r>
              <w:rPr>
                <w:rFonts w:ascii="Arial" w:cs="Arial" w:eastAsia="Arial" w:hAnsi="Arial"/>
                <w:sz w:val="14"/>
                <w:szCs w:val="14"/>
                <w:b w:val="1"/>
                <w:bCs w:val="1"/>
                <w:color w:val="auto"/>
              </w:rPr>
              <w:t>Total operating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3,643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jc w:val="right"/>
              <w:ind w:right="30"/>
              <w:spacing w:after="0" w:line="137" w:lineRule="exact"/>
              <w:rPr>
                <w:sz w:val="20"/>
                <w:szCs w:val="20"/>
                <w:color w:val="auto"/>
              </w:rPr>
            </w:pPr>
            <w:r>
              <w:rPr>
                <w:rFonts w:ascii="Arial" w:cs="Arial" w:eastAsia="Arial" w:hAnsi="Arial"/>
                <w:sz w:val="14"/>
                <w:szCs w:val="14"/>
                <w:i w:val="1"/>
                <w:iCs w:val="1"/>
                <w:color w:val="auto"/>
              </w:rPr>
              <w:t>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(2,797)</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jc w:val="right"/>
              <w:ind w:right="10"/>
              <w:spacing w:after="0" w:line="137" w:lineRule="exact"/>
              <w:rPr>
                <w:sz w:val="20"/>
                <w:szCs w:val="20"/>
                <w:color w:val="auto"/>
              </w:rPr>
            </w:pPr>
            <w:r>
              <w:rPr>
                <w:rFonts w:ascii="Arial" w:cs="Arial" w:eastAsia="Arial" w:hAnsi="Arial"/>
                <w:sz w:val="14"/>
                <w:szCs w:val="14"/>
                <w:i w:val="1"/>
                <w:iCs w:val="1"/>
                <w:color w:val="auto"/>
              </w:rPr>
              <w:t>(1)%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6,440</w:t>
            </w:r>
          </w:p>
        </w:tc>
        <w:tc>
          <w:tcPr>
            <w:tcW w:w="20" w:type="dxa"/>
            <w:vAlign w:val="bottom"/>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260" w:top="1121"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80"/>
          </w:cols>
          <w:pgMar w:left="1260" w:top="1121" w:right="1166" w:bottom="0" w:gutter="0" w:footer="0" w:header="0"/>
          <w:type w:val="continuous"/>
        </w:sectPr>
      </w:pPr>
    </w:p>
    <w:bookmarkStart w:id="66" w:name="page67"/>
    <w:bookmarkEnd w:id="66"/>
    <w:p>
      <w:pPr>
        <w:jc w:val="center"/>
        <w:ind w:right="6"/>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4</w:t>
      </w:r>
    </w:p>
    <w:p>
      <w:pPr>
        <w:sectPr>
          <w:pgSz w:w="11900" w:h="16838" w:orient="portrait"/>
          <w:cols w:equalWidth="0" w:num="1">
            <w:col w:w="9026"/>
          </w:cols>
          <w:pgMar w:left="1440" w:top="1251" w:right="1440" w:bottom="0" w:gutter="0" w:footer="0" w:header="0"/>
          <w:type w:val="continuous"/>
        </w:sectPr>
      </w:pPr>
    </w:p>
    <w:bookmarkStart w:id="67" w:name="page68"/>
    <w:bookmarkEnd w:id="67"/>
    <w:p>
      <w:pPr>
        <w:ind w:right="760"/>
        <w:spacing w:after="0" w:line="227" w:lineRule="auto"/>
        <w:rPr>
          <w:sz w:val="20"/>
          <w:szCs w:val="20"/>
          <w:color w:val="auto"/>
        </w:rPr>
      </w:pPr>
      <w:r>
        <w:rPr>
          <w:rFonts w:ascii="Arial" w:cs="Arial" w:eastAsia="Arial" w:hAnsi="Arial"/>
          <w:sz w:val="20"/>
          <w:szCs w:val="20"/>
          <w:b w:val="1"/>
          <w:bCs w:val="1"/>
          <w:u w:val="single" w:color="auto"/>
          <w:color w:val="auto"/>
        </w:rPr>
        <w:t>Cinema Exhibition</w:t>
      </w:r>
      <w:r>
        <w:rPr>
          <w:rFonts w:ascii="Arial" w:cs="Arial" w:eastAsia="Arial" w:hAnsi="Arial"/>
          <w:sz w:val="20"/>
          <w:szCs w:val="20"/>
          <w:b w:val="1"/>
          <w:bCs w:val="1"/>
          <w:color w:val="auto"/>
        </w:rPr>
        <w:t xml:space="preserve"> – </w:t>
      </w:r>
      <w:r>
        <w:rPr>
          <w:rFonts w:ascii="Arial" w:cs="Arial" w:eastAsia="Arial" w:hAnsi="Arial"/>
          <w:sz w:val="20"/>
          <w:szCs w:val="20"/>
          <w:b w:val="1"/>
          <w:bCs w:val="1"/>
          <w:i w:val="1"/>
          <w:iCs w:val="1"/>
          <w:color w:val="auto"/>
        </w:rPr>
        <w:t>The following table details our Cinema Exhibition segment operating results for the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quarters ended December 31, 2025 and 2024, respectively</w:t>
      </w:r>
      <w:r>
        <w:rPr>
          <w:rFonts w:ascii="Arial" w:cs="Arial" w:eastAsia="Arial" w:hAnsi="Arial"/>
          <w:sz w:val="20"/>
          <w:szCs w:val="20"/>
          <w:i w:val="1"/>
          <w:iCs w:val="1"/>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2025 vs. 2024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00"/>
              <w:spacing w:after="0" w:line="151" w:lineRule="exact"/>
              <w:rPr>
                <w:sz w:val="20"/>
                <w:szCs w:val="20"/>
                <w:color w:val="auto"/>
              </w:rPr>
            </w:pPr>
            <w:r>
              <w:rPr>
                <w:rFonts w:ascii="Arial" w:cs="Arial" w:eastAsia="Arial" w:hAnsi="Arial"/>
                <w:sz w:val="14"/>
                <w:szCs w:val="14"/>
                <w:i w:val="1"/>
                <w:iCs w:val="1"/>
                <w:color w:val="auto"/>
                <w:w w:val="92"/>
              </w:rPr>
              <w:t>% of</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200"/>
              <w:spacing w:after="0" w:line="151" w:lineRule="exact"/>
              <w:rPr>
                <w:sz w:val="20"/>
                <w:szCs w:val="20"/>
                <w:color w:val="auto"/>
              </w:rPr>
            </w:pPr>
            <w:r>
              <w:rPr>
                <w:rFonts w:ascii="Arial" w:cs="Arial" w:eastAsia="Arial" w:hAnsi="Arial"/>
                <w:sz w:val="14"/>
                <w:szCs w:val="14"/>
                <w:i w:val="1"/>
                <w:iCs w:val="1"/>
                <w:color w:val="auto"/>
                <w:w w:val="92"/>
              </w:rPr>
              <w:t>% of</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63"/>
        </w:trPr>
        <w:tc>
          <w:tcPr>
            <w:tcW w:w="354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70"/>
              <w:spacing w:after="0" w:line="153"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line="153" w:lineRule="exact"/>
              <w:rPr>
                <w:sz w:val="20"/>
                <w:szCs w:val="20"/>
                <w:color w:val="auto"/>
              </w:rPr>
            </w:pPr>
            <w:r>
              <w:rPr>
                <w:rFonts w:ascii="Arial" w:cs="Arial" w:eastAsia="Arial" w:hAnsi="Arial"/>
                <w:sz w:val="14"/>
                <w:szCs w:val="14"/>
                <w:i w:val="1"/>
                <w:iCs w:val="1"/>
                <w:color w:val="auto"/>
                <w:w w:val="82"/>
              </w:rPr>
              <w:t>Revenue</w:t>
            </w:r>
          </w:p>
        </w:tc>
        <w:tc>
          <w:tcPr>
            <w:tcW w:w="14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80"/>
              <w:spacing w:after="0" w:line="153" w:lineRule="exact"/>
              <w:rPr>
                <w:sz w:val="20"/>
                <w:szCs w:val="20"/>
                <w:color w:val="auto"/>
              </w:rPr>
            </w:pPr>
            <w:r>
              <w:rPr>
                <w:rFonts w:ascii="Arial" w:cs="Arial" w:eastAsia="Arial" w:hAnsi="Arial"/>
                <w:sz w:val="14"/>
                <w:szCs w:val="14"/>
                <w:i w:val="1"/>
                <w:iCs w:val="1"/>
                <w:color w:val="auto"/>
                <w:w w:val="85"/>
              </w:rPr>
              <w:t>Revenue</w:t>
            </w:r>
          </w:p>
        </w:tc>
        <w:tc>
          <w:tcPr>
            <w:tcW w:w="20" w:type="dxa"/>
            <w:vAlign w:val="bottom"/>
          </w:tcPr>
          <w:p>
            <w:pPr>
              <w:spacing w:after="0"/>
              <w:rPr>
                <w:sz w:val="14"/>
                <w:szCs w:val="14"/>
                <w:color w:val="auto"/>
              </w:rPr>
            </w:pPr>
          </w:p>
        </w:tc>
        <w:tc>
          <w:tcPr>
            <w:tcW w:w="8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Inc/(Dec)</w:t>
            </w:r>
          </w:p>
        </w:tc>
        <w:tc>
          <w:tcPr>
            <w:tcW w:w="9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w w:val="90"/>
              </w:rPr>
              <w:t>(Unfavorable)</w:t>
            </w:r>
          </w:p>
        </w:tc>
        <w:tc>
          <w:tcPr>
            <w:tcW w:w="0" w:type="dxa"/>
            <w:vAlign w:val="bottom"/>
          </w:tcPr>
          <w:p>
            <w:pPr>
              <w:spacing w:after="0"/>
              <w:rPr>
                <w:sz w:val="1"/>
                <w:szCs w:val="1"/>
                <w:color w:val="auto"/>
              </w:rPr>
            </w:pPr>
          </w:p>
        </w:tc>
      </w:tr>
      <w:tr>
        <w:trPr>
          <w:trHeight w:val="151"/>
        </w:trPr>
        <w:tc>
          <w:tcPr>
            <w:tcW w:w="108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REVENUE</w:t>
            </w:r>
          </w:p>
        </w:tc>
        <w:tc>
          <w:tcPr>
            <w:tcW w:w="2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United States</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Admission revenue</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14,086</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55%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16,414</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56%</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(2,328)</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(14)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Food &amp; beverage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8,864</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10,077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(1,213)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Advertising and other revenue</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2,862</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11%</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2,847</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10%</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40" w:type="dxa"/>
            <w:vAlign w:val="bottom"/>
            <w:tcBorders>
              <w:bottom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25,812</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29,338</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(3,526)</w:t>
            </w:r>
          </w:p>
        </w:tc>
        <w:tc>
          <w:tcPr>
            <w:tcW w:w="120" w:type="dxa"/>
            <w:vAlign w:val="bottom"/>
            <w:gridSpan w:val="2"/>
          </w:tcPr>
          <w:p>
            <w:pPr>
              <w:spacing w:after="0"/>
              <w:rPr>
                <w:sz w:val="11"/>
                <w:szCs w:val="11"/>
                <w:color w:val="auto"/>
              </w:rPr>
            </w:pP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Australia</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Admission revenue</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11,112</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12,627</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59%</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(1,515)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Food &amp; beverage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5,845</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6,865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Advertising and other revenue</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1,675</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9%</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1,928</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40" w:type="dxa"/>
            <w:vAlign w:val="bottom"/>
            <w:tcBorders>
              <w:bottom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(253)</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(13)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18,632</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21,420</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(2,788)</w:t>
            </w:r>
          </w:p>
        </w:tc>
        <w:tc>
          <w:tcPr>
            <w:tcW w:w="120" w:type="dxa"/>
            <w:vAlign w:val="bottom"/>
            <w:gridSpan w:val="2"/>
          </w:tcPr>
          <w:p>
            <w:pPr>
              <w:spacing w:after="0"/>
              <w:rPr>
                <w:sz w:val="11"/>
                <w:szCs w:val="11"/>
                <w:color w:val="auto"/>
              </w:rPr>
            </w:pP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(13)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New Zealand</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Admission revenue</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1,539</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2,103</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55%</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(564)</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Food &amp; beverage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734</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1,113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(379)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(34)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Advertising and other revenue</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146</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586</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15%</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40" w:type="dxa"/>
            <w:vAlign w:val="bottom"/>
            <w:tcBorders>
              <w:bottom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(440)</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(75)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2,419</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3,802</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(1,383)</w:t>
            </w:r>
          </w:p>
        </w:tc>
        <w:tc>
          <w:tcPr>
            <w:tcW w:w="120" w:type="dxa"/>
            <w:vAlign w:val="bottom"/>
            <w:gridSpan w:val="2"/>
          </w:tcPr>
          <w:p>
            <w:pPr>
              <w:spacing w:after="0"/>
              <w:rPr>
                <w:sz w:val="11"/>
                <w:szCs w:val="11"/>
                <w:color w:val="auto"/>
              </w:rPr>
            </w:pP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(36)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ind w:left="140"/>
              <w:spacing w:after="0" w:line="141" w:lineRule="exact"/>
              <w:rPr>
                <w:sz w:val="20"/>
                <w:szCs w:val="20"/>
                <w:color w:val="auto"/>
              </w:rPr>
            </w:pPr>
            <w:r>
              <w:rPr>
                <w:rFonts w:ascii="Arial" w:cs="Arial" w:eastAsia="Arial" w:hAnsi="Arial"/>
                <w:sz w:val="14"/>
                <w:szCs w:val="14"/>
                <w:b w:val="1"/>
                <w:bCs w:val="1"/>
                <w:color w:val="auto"/>
                <w:w w:val="98"/>
              </w:rPr>
              <w:t>Total revenue</w:t>
            </w:r>
          </w:p>
        </w:tc>
        <w:tc>
          <w:tcPr>
            <w:tcW w:w="24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46,863</w:t>
            </w:r>
          </w:p>
        </w:tc>
        <w:tc>
          <w:tcPr>
            <w:tcW w:w="160" w:type="dxa"/>
            <w:vAlign w:val="bottom"/>
          </w:tcPr>
          <w:p>
            <w:pPr>
              <w:spacing w:after="0"/>
              <w:rPr>
                <w:sz w:val="13"/>
                <w:szCs w:val="13"/>
                <w:color w:val="auto"/>
              </w:rPr>
            </w:pPr>
          </w:p>
        </w:tc>
        <w:tc>
          <w:tcPr>
            <w:tcW w:w="660" w:type="dxa"/>
            <w:vAlign w:val="bottom"/>
          </w:tcPr>
          <w:p>
            <w:pPr>
              <w:jc w:val="right"/>
              <w:ind w:right="50"/>
              <w:spacing w:after="0" w:line="14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3"/>
                <w:szCs w:val="13"/>
                <w:color w:val="auto"/>
              </w:rPr>
            </w:pPr>
          </w:p>
        </w:tc>
        <w:tc>
          <w:tcPr>
            <w:tcW w:w="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54,560</w:t>
            </w:r>
          </w:p>
        </w:tc>
        <w:tc>
          <w:tcPr>
            <w:tcW w:w="160" w:type="dxa"/>
            <w:vAlign w:val="bottom"/>
            <w:gridSpan w:val="2"/>
          </w:tcPr>
          <w:p>
            <w:pPr>
              <w:spacing w:after="0"/>
              <w:rPr>
                <w:sz w:val="13"/>
                <w:szCs w:val="13"/>
                <w:color w:val="auto"/>
              </w:rPr>
            </w:pPr>
          </w:p>
        </w:tc>
        <w:tc>
          <w:tcPr>
            <w:tcW w:w="760" w:type="dxa"/>
            <w:vAlign w:val="bottom"/>
            <w:gridSpan w:val="2"/>
          </w:tcPr>
          <w:p>
            <w:pPr>
              <w:jc w:val="right"/>
              <w:ind w:right="30"/>
              <w:spacing w:after="0" w:line="141"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3"/>
                <w:szCs w:val="13"/>
                <w:color w:val="auto"/>
              </w:rPr>
            </w:pPr>
          </w:p>
        </w:tc>
        <w:tc>
          <w:tcPr>
            <w:tcW w:w="880" w:type="dxa"/>
            <w:vAlign w:val="bottom"/>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(7,697)</w:t>
            </w:r>
          </w:p>
        </w:tc>
        <w:tc>
          <w:tcPr>
            <w:tcW w:w="9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(14)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5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OPERATING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United States</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Film rent and advertising cost</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(7,248)</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(9,124)</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(31)%</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(1,876)</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Food &amp; beverage 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(2,250)</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(2,519)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(269)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Occupancy expense</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(4,463)</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(4,986)</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(17)%</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(523)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Labor 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(4,005)</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(4,516)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(511)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Utilities</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(1,206)</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(1,371)</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(165)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Cleaning and maintenance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(1,624)</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(1,667)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Other operating expenses</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(2,326)</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(9)%</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(1,871)</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455</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(23,122)</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(90)%</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(26,054)</w:t>
            </w:r>
          </w:p>
        </w:tc>
        <w:tc>
          <w:tcPr>
            <w:tcW w:w="160" w:type="dxa"/>
            <w:vAlign w:val="bottom"/>
            <w:gridSpan w:val="2"/>
          </w:tcPr>
          <w:p>
            <w:pPr>
              <w:spacing w:after="0"/>
              <w:rPr>
                <w:sz w:val="11"/>
                <w:szCs w:val="11"/>
                <w:color w:val="auto"/>
              </w:rPr>
            </w:pPr>
          </w:p>
        </w:tc>
        <w:tc>
          <w:tcPr>
            <w:tcW w:w="760" w:type="dxa"/>
            <w:vAlign w:val="bottom"/>
            <w:gridSpan w:val="2"/>
          </w:tcPr>
          <w:p>
            <w:pPr>
              <w:jc w:val="right"/>
              <w:ind w:right="30"/>
              <w:spacing w:after="0" w:line="131" w:lineRule="exact"/>
              <w:rPr>
                <w:sz w:val="20"/>
                <w:szCs w:val="20"/>
                <w:color w:val="auto"/>
              </w:rPr>
            </w:pPr>
            <w:r>
              <w:rPr>
                <w:rFonts w:ascii="Arial" w:cs="Arial" w:eastAsia="Arial" w:hAnsi="Arial"/>
                <w:sz w:val="14"/>
                <w:szCs w:val="14"/>
                <w:i w:val="1"/>
                <w:iCs w:val="1"/>
                <w:color w:val="auto"/>
              </w:rPr>
              <w:t>(89)%</w:t>
            </w:r>
          </w:p>
        </w:tc>
        <w:tc>
          <w:tcPr>
            <w:tcW w:w="160" w:type="dxa"/>
            <w:vAlign w:val="bottom"/>
          </w:tcPr>
          <w:p>
            <w:pPr>
              <w:spacing w:after="0"/>
              <w:rPr>
                <w:sz w:val="11"/>
                <w:szCs w:val="11"/>
                <w:color w:val="auto"/>
              </w:rPr>
            </w:pPr>
          </w:p>
        </w:tc>
        <w:tc>
          <w:tcPr>
            <w:tcW w:w="880" w:type="dxa"/>
            <w:vAlign w:val="bottom"/>
            <w:gridSpan w:val="4"/>
          </w:tcPr>
          <w:p>
            <w:pPr>
              <w:jc w:val="right"/>
              <w:ind w:right="120"/>
              <w:spacing w:after="0" w:line="131" w:lineRule="exact"/>
              <w:rPr>
                <w:sz w:val="20"/>
                <w:szCs w:val="20"/>
                <w:color w:val="auto"/>
              </w:rPr>
            </w:pPr>
            <w:r>
              <w:rPr>
                <w:rFonts w:ascii="Arial" w:cs="Arial" w:eastAsia="Arial" w:hAnsi="Arial"/>
                <w:sz w:val="14"/>
                <w:szCs w:val="14"/>
                <w:color w:val="auto"/>
              </w:rPr>
              <w:t>(2,932)</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11 %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Australia</w:t>
            </w: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Film rent and advertising cost</w:t>
            </w:r>
          </w:p>
        </w:tc>
        <w:tc>
          <w:tcPr>
            <w:tcW w:w="20" w:type="dxa"/>
            <w:vAlign w:val="bottom"/>
            <w:vMerge w:val="continue"/>
          </w:tcPr>
          <w:p>
            <w:pPr>
              <w:spacing w:after="0"/>
              <w:rPr>
                <w:sz w:val="13"/>
                <w:szCs w:val="13"/>
                <w:color w:val="auto"/>
              </w:rPr>
            </w:pPr>
          </w:p>
        </w:tc>
        <w:tc>
          <w:tcPr>
            <w:tcW w:w="260" w:type="dxa"/>
            <w:vAlign w:val="bottom"/>
            <w:gridSpan w:val="2"/>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(5,055)</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(27)%</w:t>
            </w:r>
          </w:p>
        </w:tc>
        <w:tc>
          <w:tcPr>
            <w:tcW w:w="16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(5,955)</w:t>
            </w:r>
          </w:p>
        </w:tc>
        <w:tc>
          <w:tcPr>
            <w:tcW w:w="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(28)%</w:t>
            </w:r>
          </w:p>
        </w:tc>
        <w:tc>
          <w:tcPr>
            <w:tcW w:w="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(900)</w:t>
            </w: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Food &amp; beverage cost</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(1,356)</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(1,510)</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Occupancy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(4,487)</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(4,473)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Labor cost</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(3,505)</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(3,530)</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(16)%</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Utilities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(899)</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(690)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209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Cleaning and maintenance</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(1,148)</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(1,341)</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14 %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Other operating expenses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(865)</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(851)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60" w:type="dxa"/>
            <w:vAlign w:val="bottom"/>
          </w:tcPr>
          <w:p>
            <w:pPr>
              <w:spacing w:after="0"/>
              <w:rPr>
                <w:sz w:val="13"/>
                <w:szCs w:val="13"/>
                <w:color w:val="auto"/>
              </w:rPr>
            </w:pPr>
          </w:p>
        </w:tc>
        <w:tc>
          <w:tcPr>
            <w:tcW w:w="880" w:type="dxa"/>
            <w:vAlign w:val="bottom"/>
            <w:gridSpan w:val="4"/>
          </w:tcPr>
          <w:p>
            <w:pPr>
              <w:jc w:val="right"/>
              <w:ind w:right="120"/>
              <w:spacing w:after="0" w:line="151" w:lineRule="exact"/>
              <w:rPr>
                <w:sz w:val="20"/>
                <w:szCs w:val="20"/>
                <w:color w:val="auto"/>
              </w:rPr>
            </w:pPr>
            <w:r>
              <w:rPr>
                <w:rFonts w:ascii="Arial" w:cs="Arial" w:eastAsia="Arial" w:hAnsi="Arial"/>
                <w:sz w:val="14"/>
                <w:szCs w:val="14"/>
                <w:color w:val="auto"/>
              </w:rPr>
              <w:t>14</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(17,315)</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(93)%</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(18,350)</w:t>
            </w: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(86)%</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(1,035)</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6 %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New Zealand</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Film rent and advertising cost</w:t>
            </w:r>
          </w:p>
        </w:tc>
        <w:tc>
          <w:tcPr>
            <w:tcW w:w="20" w:type="dxa"/>
            <w:vAlign w:val="bottom"/>
            <w:vMerge w:val="continue"/>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(721)</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(991)</w:t>
            </w:r>
          </w:p>
        </w:tc>
        <w:tc>
          <w:tcPr>
            <w:tcW w:w="20" w:type="dxa"/>
            <w:vAlign w:val="bottom"/>
            <w:vMerge w:val="continue"/>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(26)%</w:t>
            </w:r>
          </w:p>
        </w:tc>
        <w:tc>
          <w:tcPr>
            <w:tcW w:w="16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(270)</w:t>
            </w:r>
          </w:p>
        </w:tc>
        <w:tc>
          <w:tcPr>
            <w:tcW w:w="20" w:type="dxa"/>
            <w:vAlign w:val="bottom"/>
            <w:vMerge w:val="continue"/>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Food &amp; beverage 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(158)</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(244)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Occupancy expense</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(667)</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(760)</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(20)%</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Labor 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(498)</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(599)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Utilities</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(94)</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(16)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Cleaning and maintenance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(187)</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(237)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Other operating expenses</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(310)</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(13)%</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(263)</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(2,635)</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(109)%</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(3,175)</w:t>
            </w:r>
          </w:p>
        </w:tc>
        <w:tc>
          <w:tcPr>
            <w:tcW w:w="160" w:type="dxa"/>
            <w:vAlign w:val="bottom"/>
            <w:gridSpan w:val="2"/>
          </w:tcPr>
          <w:p>
            <w:pPr>
              <w:spacing w:after="0"/>
              <w:rPr>
                <w:sz w:val="11"/>
                <w:szCs w:val="11"/>
                <w:color w:val="auto"/>
              </w:rPr>
            </w:pPr>
          </w:p>
        </w:tc>
        <w:tc>
          <w:tcPr>
            <w:tcW w:w="760" w:type="dxa"/>
            <w:vAlign w:val="bottom"/>
            <w:gridSpan w:val="2"/>
          </w:tcPr>
          <w:p>
            <w:pPr>
              <w:jc w:val="right"/>
              <w:ind w:right="30"/>
              <w:spacing w:after="0" w:line="131" w:lineRule="exact"/>
              <w:rPr>
                <w:sz w:val="20"/>
                <w:szCs w:val="20"/>
                <w:color w:val="auto"/>
              </w:rPr>
            </w:pPr>
            <w:r>
              <w:rPr>
                <w:rFonts w:ascii="Arial" w:cs="Arial" w:eastAsia="Arial" w:hAnsi="Arial"/>
                <w:sz w:val="14"/>
                <w:szCs w:val="14"/>
                <w:i w:val="1"/>
                <w:iCs w:val="1"/>
                <w:color w:val="auto"/>
              </w:rPr>
              <w:t>(84)%</w:t>
            </w:r>
          </w:p>
        </w:tc>
        <w:tc>
          <w:tcPr>
            <w:tcW w:w="160" w:type="dxa"/>
            <w:vAlign w:val="bottom"/>
          </w:tcPr>
          <w:p>
            <w:pPr>
              <w:spacing w:after="0"/>
              <w:rPr>
                <w:sz w:val="11"/>
                <w:szCs w:val="11"/>
                <w:color w:val="auto"/>
              </w:rPr>
            </w:pPr>
          </w:p>
        </w:tc>
        <w:tc>
          <w:tcPr>
            <w:tcW w:w="880" w:type="dxa"/>
            <w:vAlign w:val="bottom"/>
            <w:gridSpan w:val="4"/>
          </w:tcPr>
          <w:p>
            <w:pPr>
              <w:jc w:val="right"/>
              <w:ind w:right="120"/>
              <w:spacing w:after="0" w:line="131" w:lineRule="exact"/>
              <w:rPr>
                <w:sz w:val="20"/>
                <w:szCs w:val="20"/>
                <w:color w:val="auto"/>
              </w:rPr>
            </w:pPr>
            <w:r>
              <w:rPr>
                <w:rFonts w:ascii="Arial" w:cs="Arial" w:eastAsia="Arial" w:hAnsi="Arial"/>
                <w:sz w:val="14"/>
                <w:szCs w:val="14"/>
                <w:color w:val="auto"/>
              </w:rPr>
              <w:t>(540)</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17 %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2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Total operating expense</w:t>
            </w:r>
          </w:p>
        </w:tc>
        <w:tc>
          <w:tcPr>
            <w:tcW w:w="160" w:type="dxa"/>
            <w:vAlign w:val="bottom"/>
            <w:gridSpan w:val="2"/>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(43,072)</w:t>
            </w:r>
          </w:p>
        </w:tc>
        <w:tc>
          <w:tcPr>
            <w:tcW w:w="160" w:type="dxa"/>
            <w:vAlign w:val="bottom"/>
          </w:tcPr>
          <w:p>
            <w:pPr>
              <w:spacing w:after="0"/>
              <w:rPr>
                <w:sz w:val="13"/>
                <w:szCs w:val="13"/>
                <w:color w:val="auto"/>
              </w:rPr>
            </w:pPr>
          </w:p>
        </w:tc>
        <w:tc>
          <w:tcPr>
            <w:tcW w:w="660" w:type="dxa"/>
            <w:vAlign w:val="bottom"/>
          </w:tcPr>
          <w:p>
            <w:pPr>
              <w:jc w:val="right"/>
              <w:ind w:right="50"/>
              <w:spacing w:after="0" w:line="141" w:lineRule="exact"/>
              <w:rPr>
                <w:sz w:val="20"/>
                <w:szCs w:val="20"/>
                <w:color w:val="auto"/>
              </w:rPr>
            </w:pPr>
            <w:r>
              <w:rPr>
                <w:rFonts w:ascii="Arial" w:cs="Arial" w:eastAsia="Arial" w:hAnsi="Arial"/>
                <w:sz w:val="14"/>
                <w:szCs w:val="14"/>
                <w:i w:val="1"/>
                <w:iCs w:val="1"/>
                <w:color w:val="auto"/>
              </w:rPr>
              <w:t>(92)%</w:t>
            </w:r>
          </w:p>
        </w:tc>
        <w:tc>
          <w:tcPr>
            <w:tcW w:w="160" w:type="dxa"/>
            <w:vAlign w:val="bottom"/>
          </w:tcPr>
          <w:p>
            <w:pPr>
              <w:spacing w:after="0"/>
              <w:rPr>
                <w:sz w:val="13"/>
                <w:szCs w:val="13"/>
                <w:color w:val="auto"/>
              </w:rPr>
            </w:pPr>
          </w:p>
        </w:tc>
        <w:tc>
          <w:tcPr>
            <w:tcW w:w="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(47,579)</w:t>
            </w:r>
          </w:p>
        </w:tc>
        <w:tc>
          <w:tcPr>
            <w:tcW w:w="160" w:type="dxa"/>
            <w:vAlign w:val="bottom"/>
            <w:gridSpan w:val="2"/>
          </w:tcPr>
          <w:p>
            <w:pPr>
              <w:spacing w:after="0"/>
              <w:rPr>
                <w:sz w:val="13"/>
                <w:szCs w:val="13"/>
                <w:color w:val="auto"/>
              </w:rPr>
            </w:pPr>
          </w:p>
        </w:tc>
        <w:tc>
          <w:tcPr>
            <w:tcW w:w="760" w:type="dxa"/>
            <w:vAlign w:val="bottom"/>
            <w:gridSpan w:val="2"/>
          </w:tcPr>
          <w:p>
            <w:pPr>
              <w:jc w:val="right"/>
              <w:ind w:right="30"/>
              <w:spacing w:after="0" w:line="141" w:lineRule="exact"/>
              <w:rPr>
                <w:sz w:val="20"/>
                <w:szCs w:val="20"/>
                <w:color w:val="auto"/>
              </w:rPr>
            </w:pPr>
            <w:r>
              <w:rPr>
                <w:rFonts w:ascii="Arial" w:cs="Arial" w:eastAsia="Arial" w:hAnsi="Arial"/>
                <w:sz w:val="14"/>
                <w:szCs w:val="14"/>
                <w:i w:val="1"/>
                <w:iCs w:val="1"/>
                <w:color w:val="auto"/>
              </w:rPr>
              <w:t>(87)%</w:t>
            </w:r>
          </w:p>
        </w:tc>
        <w:tc>
          <w:tcPr>
            <w:tcW w:w="160" w:type="dxa"/>
            <w:vAlign w:val="bottom"/>
          </w:tcPr>
          <w:p>
            <w:pPr>
              <w:spacing w:after="0"/>
              <w:rPr>
                <w:sz w:val="13"/>
                <w:szCs w:val="13"/>
                <w:color w:val="auto"/>
              </w:rPr>
            </w:pPr>
          </w:p>
        </w:tc>
        <w:tc>
          <w:tcPr>
            <w:tcW w:w="880" w:type="dxa"/>
            <w:vAlign w:val="bottom"/>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(4,507)</w:t>
            </w:r>
          </w:p>
        </w:tc>
        <w:tc>
          <w:tcPr>
            <w:tcW w:w="9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9 %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DEPRECIATION, AMORTIZATION, IMPAIRMENT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AND GENERAL AND ADMINISTRATIVE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United States</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(1,082)</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(1,227)</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General and administrative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(464)</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(483)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
              <w:spacing w:after="0" w:line="151" w:lineRule="exact"/>
              <w:rPr>
                <w:sz w:val="20"/>
                <w:szCs w:val="20"/>
                <w:color w:val="auto"/>
              </w:rPr>
            </w:pPr>
            <w:r>
              <w:rPr>
                <w:rFonts w:ascii="Arial" w:cs="Arial" w:eastAsia="Arial" w:hAnsi="Arial"/>
                <w:sz w:val="14"/>
                <w:szCs w:val="14"/>
                <w:i w:val="1"/>
                <w:iCs w:val="1"/>
                <w:color w:val="auto"/>
              </w:rPr>
              <w:t>(2)%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(1,546)</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(1,710)</w:t>
            </w: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i w:val="1"/>
                <w:iCs w:val="1"/>
                <w:color w:val="auto"/>
              </w:rPr>
              <w:t>(6)%</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(164)</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Australia</w:t>
            </w: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3"/>
                <w:szCs w:val="13"/>
                <w:color w:val="auto"/>
              </w:rPr>
            </w:pPr>
          </w:p>
        </w:tc>
        <w:tc>
          <w:tcPr>
            <w:tcW w:w="260" w:type="dxa"/>
            <w:vAlign w:val="bottom"/>
            <w:gridSpan w:val="2"/>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(909)</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(1,144)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(235)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General and administrative expense</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(269)</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40" w:type="dxa"/>
            <w:vAlign w:val="bottom"/>
            <w:tcBorders>
              <w:bottom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(13)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(1,178)</w:t>
            </w:r>
          </w:p>
        </w:tc>
        <w:tc>
          <w:tcPr>
            <w:tcW w:w="160" w:type="dxa"/>
            <w:vAlign w:val="bottom"/>
          </w:tcPr>
          <w:p>
            <w:pPr>
              <w:spacing w:after="0"/>
              <w:rPr>
                <w:sz w:val="11"/>
                <w:szCs w:val="11"/>
                <w:color w:val="auto"/>
              </w:rPr>
            </w:pPr>
          </w:p>
        </w:tc>
        <w:tc>
          <w:tcPr>
            <w:tcW w:w="66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(1,382)</w:t>
            </w: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30"/>
              <w:spacing w:after="0" w:line="131" w:lineRule="exact"/>
              <w:rPr>
                <w:sz w:val="20"/>
                <w:szCs w:val="20"/>
                <w:color w:val="auto"/>
              </w:rPr>
            </w:pPr>
            <w:r>
              <w:rPr>
                <w:rFonts w:ascii="Arial" w:cs="Arial" w:eastAsia="Arial" w:hAnsi="Arial"/>
                <w:sz w:val="14"/>
                <w:szCs w:val="14"/>
                <w:i w:val="1"/>
                <w:iCs w:val="1"/>
                <w:color w:val="auto"/>
              </w:rPr>
              <w:t>(6)%</w:t>
            </w:r>
          </w:p>
        </w:tc>
        <w:tc>
          <w:tcPr>
            <w:tcW w:w="1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(204)</w:t>
            </w:r>
          </w:p>
        </w:tc>
        <w:tc>
          <w:tcPr>
            <w:tcW w:w="120" w:type="dxa"/>
            <w:vAlign w:val="bottom"/>
            <w:gridSpan w:val="2"/>
          </w:tcPr>
          <w:p>
            <w:pPr>
              <w:spacing w:after="0"/>
              <w:rPr>
                <w:sz w:val="11"/>
                <w:szCs w:val="11"/>
                <w:color w:val="auto"/>
              </w:rPr>
            </w:pP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15 %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New Zealand</w:t>
            </w:r>
          </w:p>
        </w:tc>
        <w:tc>
          <w:tcPr>
            <w:tcW w:w="246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3"/>
                <w:szCs w:val="13"/>
                <w:color w:val="auto"/>
              </w:rPr>
            </w:pPr>
          </w:p>
        </w:tc>
        <w:tc>
          <w:tcPr>
            <w:tcW w:w="260" w:type="dxa"/>
            <w:vAlign w:val="bottom"/>
            <w:gridSpan w:val="2"/>
            <w:shd w:val="clear" w:color="auto" w:fill="CCEEFF"/>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(109)</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(3)%</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ind w:left="60"/>
              <w:spacing w:after="0" w:line="151" w:lineRule="exact"/>
              <w:rPr>
                <w:sz w:val="20"/>
                <w:szCs w:val="20"/>
                <w:color w:val="auto"/>
              </w:rPr>
            </w:pPr>
            <w:r>
              <w:rPr>
                <w:rFonts w:ascii="Arial" w:cs="Arial" w:eastAsia="Arial" w:hAnsi="Arial"/>
                <w:sz w:val="14"/>
                <w:szCs w:val="14"/>
                <w:color w:val="auto"/>
              </w:rPr>
              <w:t>General and administrative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(47)</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260"/>
              <w:spacing w:after="0" w:line="151" w:lineRule="exact"/>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(156)</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(123)</w:t>
            </w:r>
          </w:p>
        </w:tc>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i w:val="1"/>
                <w:iCs w:val="1"/>
                <w:color w:val="auto"/>
              </w:rPr>
              <w:t>(3)%</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33</w:t>
            </w:r>
          </w:p>
        </w:tc>
        <w:tc>
          <w:tcPr>
            <w:tcW w:w="2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20" w:type="dxa"/>
            <w:vAlign w:val="bottom"/>
            <w:tcBorders>
              <w:bottom w:val="single" w:sz="8" w:color="CCEE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b w:val="1"/>
                <w:bCs w:val="1"/>
                <w:color w:val="auto"/>
              </w:rPr>
              <w:t>Total depreciation, amortization, impairment and</w:t>
            </w:r>
          </w:p>
        </w:tc>
        <w:tc>
          <w:tcPr>
            <w:tcW w:w="20" w:type="dxa"/>
            <w:vAlign w:val="bottom"/>
          </w:tcPr>
          <w:p>
            <w:pPr>
              <w:spacing w:after="0"/>
              <w:rPr>
                <w:sz w:val="12"/>
                <w:szCs w:val="12"/>
                <w:color w:val="auto"/>
              </w:rPr>
            </w:pPr>
          </w:p>
        </w:tc>
        <w:tc>
          <w:tcPr>
            <w:tcW w:w="2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(2,880)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(3,215)</w:t>
            </w:r>
          </w:p>
        </w:tc>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b w:val="1"/>
                <w:bCs w:val="1"/>
                <w:color w:val="auto"/>
              </w:rPr>
              <w:t>general and administrative expense</w:t>
            </w:r>
          </w:p>
        </w:tc>
        <w:tc>
          <w:tcPr>
            <w:tcW w:w="20" w:type="dxa"/>
            <w:vAlign w:val="bottom"/>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660" w:type="dxa"/>
            <w:vAlign w:val="bottom"/>
            <w:shd w:val="clear" w:color="auto" w:fill="CCEEFF"/>
          </w:tcPr>
          <w:p>
            <w:pPr>
              <w:jc w:val="right"/>
              <w:ind w:right="50"/>
              <w:spacing w:after="0" w:line="138" w:lineRule="exact"/>
              <w:rPr>
                <w:sz w:val="20"/>
                <w:szCs w:val="20"/>
                <w:color w:val="auto"/>
              </w:rPr>
            </w:pPr>
            <w:r>
              <w:rPr>
                <w:rFonts w:ascii="Arial" w:cs="Arial" w:eastAsia="Arial" w:hAnsi="Arial"/>
                <w:sz w:val="14"/>
                <w:szCs w:val="14"/>
                <w:i w:val="1"/>
                <w:iCs w:val="1"/>
                <w:color w:val="auto"/>
              </w:rPr>
              <w:t>(6)%</w:t>
            </w:r>
          </w:p>
        </w:tc>
        <w:tc>
          <w:tcPr>
            <w:tcW w:w="16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CCEEFF"/>
          </w:tcPr>
          <w:p>
            <w:pPr>
              <w:jc w:val="right"/>
              <w:ind w:right="30"/>
              <w:spacing w:after="0" w:line="138" w:lineRule="exact"/>
              <w:rPr>
                <w:sz w:val="20"/>
                <w:szCs w:val="20"/>
                <w:color w:val="auto"/>
              </w:rPr>
            </w:pPr>
            <w:r>
              <w:rPr>
                <w:rFonts w:ascii="Arial" w:cs="Arial" w:eastAsia="Arial" w:hAnsi="Arial"/>
                <w:sz w:val="14"/>
                <w:szCs w:val="14"/>
                <w:i w:val="1"/>
                <w:iCs w:val="1"/>
                <w:color w:val="auto"/>
              </w:rPr>
              <w:t>(6)%</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(335)</w:t>
            </w:r>
          </w:p>
        </w:tc>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Borders>
              <w:top w:val="single" w:sz="8" w:color="CCEEFF"/>
              <w:bottom w:val="single" w:sz="8" w:color="CCEEFF"/>
            </w:tcBorders>
          </w:tcPr>
          <w:p>
            <w:pPr>
              <w:spacing w:after="0"/>
              <w:rPr>
                <w:sz w:val="14"/>
                <w:szCs w:val="14"/>
                <w:color w:val="auto"/>
              </w:rPr>
            </w:pPr>
          </w:p>
        </w:tc>
        <w:tc>
          <w:tcPr>
            <w:tcW w:w="2460" w:type="dxa"/>
            <w:vAlign w:val="bottom"/>
            <w:tcBorders>
              <w:top w:val="single" w:sz="8" w:color="CCEEFF"/>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6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CCEEFF"/>
              <w:bottom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Borders>
              <w:bottom w:val="single" w:sz="8" w:color="CCEEFF"/>
            </w:tcBorders>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w w:val="88"/>
              </w:rPr>
              <w:t>Total expenses</w:t>
            </w:r>
          </w:p>
        </w:tc>
        <w:tc>
          <w:tcPr>
            <w:tcW w:w="24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(45,952)</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(98)%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(50,794)</w:t>
            </w:r>
          </w:p>
        </w:tc>
        <w:tc>
          <w:tcPr>
            <w:tcW w:w="20" w:type="dxa"/>
            <w:vAlign w:val="bottom"/>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(93)%</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(4,842)</w:t>
            </w: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OPERATING INCOME (LOSS)</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United States</w:t>
            </w: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ind w:right="8"/>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1,144</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4%</w:t>
            </w:r>
          </w:p>
        </w:tc>
        <w:tc>
          <w:tcPr>
            <w:tcW w:w="16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1,574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(430)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b w:val="1"/>
                <w:bCs w:val="1"/>
                <w:color w:val="auto"/>
              </w:rPr>
              <w:t>Australia</w:t>
            </w:r>
          </w:p>
        </w:tc>
        <w:tc>
          <w:tcPr>
            <w:tcW w:w="2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139</w:t>
            </w:r>
          </w:p>
        </w:tc>
        <w:tc>
          <w:tcPr>
            <w:tcW w:w="66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1,688</w:t>
            </w:r>
          </w:p>
        </w:tc>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8%</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(1,549)</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(92)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New Zealand</w:t>
            </w: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(372)</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504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13%</w:t>
            </w:r>
          </w:p>
        </w:tc>
        <w:tc>
          <w:tcPr>
            <w:tcW w:w="160" w:type="dxa"/>
            <w:vAlign w:val="bottom"/>
          </w:tcPr>
          <w:p>
            <w:pPr>
              <w:spacing w:after="0"/>
              <w:rPr>
                <w:sz w:val="15"/>
                <w:szCs w:val="15"/>
                <w:color w:val="auto"/>
              </w:rPr>
            </w:pPr>
          </w:p>
        </w:tc>
        <w:tc>
          <w:tcPr>
            <w:tcW w:w="880" w:type="dxa"/>
            <w:vAlign w:val="bottom"/>
            <w:gridSpan w:val="4"/>
          </w:tcPr>
          <w:p>
            <w:pPr>
              <w:jc w:val="right"/>
              <w:ind w:right="120"/>
              <w:spacing w:after="0" w:line="151" w:lineRule="exact"/>
              <w:rPr>
                <w:sz w:val="20"/>
                <w:szCs w:val="20"/>
                <w:color w:val="auto"/>
              </w:rPr>
            </w:pPr>
            <w:r>
              <w:rPr>
                <w:rFonts w:ascii="Arial" w:cs="Arial" w:eastAsia="Arial" w:hAnsi="Arial"/>
                <w:sz w:val="14"/>
                <w:szCs w:val="14"/>
                <w:color w:val="auto"/>
              </w:rPr>
              <w:t>(876)</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Borders>
              <w:top w:val="single" w:sz="8" w:color="CCEEFF"/>
              <w:bottom w:val="single" w:sz="8" w:color="CCEEFF"/>
            </w:tcBorders>
            <w:gridSpan w:val="2"/>
            <w:shd w:val="clear" w:color="auto" w:fill="CCEEFF"/>
          </w:tcPr>
          <w:p>
            <w:pPr>
              <w:ind w:left="140"/>
              <w:spacing w:after="0" w:line="137" w:lineRule="exact"/>
              <w:rPr>
                <w:sz w:val="20"/>
                <w:szCs w:val="20"/>
                <w:color w:val="auto"/>
              </w:rPr>
            </w:pPr>
            <w:r>
              <w:rPr>
                <w:rFonts w:ascii="Arial" w:cs="Arial" w:eastAsia="Arial" w:hAnsi="Arial"/>
                <w:sz w:val="14"/>
                <w:szCs w:val="14"/>
                <w:b w:val="1"/>
                <w:bCs w:val="1"/>
                <w:color w:val="auto"/>
              </w:rPr>
              <w:t>Total operating income (loss)</w:t>
            </w:r>
          </w:p>
        </w:tc>
        <w:tc>
          <w:tcPr>
            <w:tcW w:w="20" w:type="dxa"/>
            <w:vAlign w:val="bottom"/>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911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jc w:val="right"/>
              <w:ind w:right="50"/>
              <w:spacing w:after="0" w:line="137" w:lineRule="exact"/>
              <w:rPr>
                <w:sz w:val="20"/>
                <w:szCs w:val="20"/>
                <w:color w:val="auto"/>
              </w:rPr>
            </w:pPr>
            <w:r>
              <w:rPr>
                <w:rFonts w:ascii="Arial" w:cs="Arial" w:eastAsia="Arial" w:hAnsi="Arial"/>
                <w:sz w:val="14"/>
                <w:szCs w:val="14"/>
                <w:i w:val="1"/>
                <w:iCs w:val="1"/>
                <w:color w:val="auto"/>
              </w:rPr>
              <w:t>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3,766</w:t>
            </w:r>
          </w:p>
        </w:tc>
        <w:tc>
          <w:tcPr>
            <w:tcW w:w="20" w:type="dxa"/>
            <w:vAlign w:val="bottom"/>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jc w:val="right"/>
              <w:ind w:right="30"/>
              <w:spacing w:after="0" w:line="137" w:lineRule="exact"/>
              <w:rPr>
                <w:sz w:val="20"/>
                <w:szCs w:val="20"/>
                <w:color w:val="auto"/>
              </w:rPr>
            </w:pPr>
            <w:r>
              <w:rPr>
                <w:rFonts w:ascii="Arial" w:cs="Arial" w:eastAsia="Arial" w:hAnsi="Arial"/>
                <w:sz w:val="14"/>
                <w:szCs w:val="14"/>
                <w:i w:val="1"/>
                <w:iCs w:val="1"/>
                <w:color w:val="auto"/>
              </w:rPr>
              <w:t>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740" w:type="dxa"/>
            <w:vAlign w:val="bottom"/>
            <w:tcBorders>
              <w:top w:val="single" w:sz="8" w:color="0000FF"/>
              <w:bottom w:val="single" w:sz="8" w:color="0000FF"/>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(2,855)</w:t>
            </w:r>
          </w:p>
        </w:tc>
        <w:tc>
          <w:tcPr>
            <w:tcW w:w="20" w:type="dxa"/>
            <w:vAlign w:val="bottom"/>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(76)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Cinema Exhibition Segment Operating Income</w:t>
      </w:r>
    </w:p>
    <w:p>
      <w:pPr>
        <w:spacing w:after="0" w:line="212" w:lineRule="exact"/>
        <w:rPr>
          <w:sz w:val="20"/>
          <w:szCs w:val="20"/>
          <w:color w:val="auto"/>
        </w:rPr>
      </w:pPr>
    </w:p>
    <w:p>
      <w:pPr>
        <w:jc w:val="both"/>
        <w:ind w:right="120"/>
        <w:spacing w:after="0" w:line="225" w:lineRule="auto"/>
        <w:rPr>
          <w:sz w:val="20"/>
          <w:szCs w:val="20"/>
          <w:color w:val="auto"/>
        </w:rPr>
      </w:pPr>
      <w:r>
        <w:rPr>
          <w:rFonts w:ascii="Arial" w:cs="Arial" w:eastAsia="Arial" w:hAnsi="Arial"/>
          <w:sz w:val="20"/>
          <w:szCs w:val="20"/>
          <w:color w:val="auto"/>
        </w:rPr>
        <w:t>Cinema exhibition segment operating income improved by $6.4 million to $3.6 million for the year ended December 31, 2025, compared to the same period in December 31, 2024, primarily driven by an improvement in cinema performance due to lower operating expense globally, lower depreciation, amortization, general and administrative expense in the U.S. and Australia, offset by lower box office revenue in all three countries due to an overall weaker movie slate in 2025, lower concession revenues in Australia and New Zealand, and lower advertising revenues in all three countries.</w:t>
      </w:r>
    </w:p>
    <w:p>
      <w:pPr>
        <w:jc w:val="center"/>
        <w:ind w:right="80"/>
        <w:spacing w:after="0" w:line="232" w:lineRule="auto"/>
        <w:rPr>
          <w:sz w:val="20"/>
          <w:szCs w:val="20"/>
          <w:color w:val="auto"/>
        </w:rPr>
      </w:pPr>
      <w:r>
        <w:rPr>
          <w:rFonts w:ascii="Arial" w:cs="Arial" w:eastAsia="Arial" w:hAnsi="Arial"/>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80"/>
          </w:cols>
          <w:pgMar w:left="1260" w:top="134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 / 4</w:t>
      </w:r>
    </w:p>
    <w:p>
      <w:pPr>
        <w:sectPr>
          <w:pgSz w:w="11900" w:h="16838" w:orient="portrait"/>
          <w:cols w:equalWidth="0" w:num="1">
            <w:col w:w="9480"/>
          </w:cols>
          <w:pgMar w:left="1260" w:top="1347" w:right="1166" w:bottom="0" w:gutter="0" w:footer="0" w:header="0"/>
          <w:type w:val="continuous"/>
        </w:sectPr>
      </w:pPr>
    </w:p>
    <w:bookmarkStart w:id="68" w:name="page69"/>
    <w:bookmarkEnd w:id="68"/>
    <w:p>
      <w:pPr>
        <w:jc w:val="both"/>
        <w:ind w:right="60"/>
        <w:spacing w:after="0" w:line="226" w:lineRule="auto"/>
        <w:rPr>
          <w:sz w:val="20"/>
          <w:szCs w:val="20"/>
          <w:color w:val="auto"/>
        </w:rPr>
      </w:pPr>
      <w:r>
        <w:rPr>
          <w:rFonts w:ascii="Arial" w:cs="Arial" w:eastAsia="Arial" w:hAnsi="Arial"/>
          <w:sz w:val="20"/>
          <w:szCs w:val="20"/>
          <w:color w:val="auto"/>
        </w:rPr>
        <w:t>Cinema exhibition segment operating income for the fourth quarter of 2025 was $0.9 million, a decrease of $2.9 million from an operating income of $3.8 million in the same time period of 2024 primarily attributable to a weaker movie releases in all three countries.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2"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Cinema revenue decreased by $6.5 million, to $188.6 million for the year ended December 31, 2025, compared to 2024 primarily due to a weaker movie slate and cinema closures in US and New Zealand.</w:t>
      </w:r>
    </w:p>
    <w:p>
      <w:pPr>
        <w:spacing w:after="0" w:line="213"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The table below is the revenue breakdown, by country, for the years ended December 31, 2025, and 2024,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2025 vs. 2024</w:t>
            </w:r>
          </w:p>
        </w:tc>
      </w:tr>
      <w:tr>
        <w:trPr>
          <w:trHeight w:val="173"/>
        </w:trPr>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80"/>
              <w:spacing w:after="0" w:line="173" w:lineRule="exact"/>
              <w:rPr>
                <w:sz w:val="20"/>
                <w:szCs w:val="20"/>
                <w:color w:val="auto"/>
              </w:rPr>
            </w:pPr>
            <w:r>
              <w:rPr>
                <w:rFonts w:ascii="Arial" w:cs="Arial" w:eastAsia="Arial" w:hAnsi="Arial"/>
                <w:sz w:val="16"/>
                <w:szCs w:val="16"/>
                <w:i w:val="1"/>
                <w:iCs w:val="1"/>
                <w:color w:val="auto"/>
                <w:w w:val="93"/>
              </w:rPr>
              <w:t>% of</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60"/>
              <w:spacing w:after="0" w:line="173" w:lineRule="exact"/>
              <w:rPr>
                <w:sz w:val="20"/>
                <w:szCs w:val="20"/>
                <w:color w:val="auto"/>
              </w:rPr>
            </w:pPr>
            <w:r>
              <w:rPr>
                <w:rFonts w:ascii="Arial" w:cs="Arial" w:eastAsia="Arial" w:hAnsi="Arial"/>
                <w:sz w:val="16"/>
                <w:szCs w:val="16"/>
                <w:i w:val="1"/>
                <w:iCs w:val="1"/>
                <w:color w:val="auto"/>
                <w:w w:val="93"/>
              </w:rPr>
              <w:t>% of</w:t>
            </w:r>
          </w:p>
        </w:tc>
        <w:tc>
          <w:tcPr>
            <w:tcW w:w="10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Favorable/</w:t>
            </w:r>
          </w:p>
        </w:tc>
      </w:tr>
      <w:tr>
        <w:trPr>
          <w:trHeight w:val="185"/>
        </w:trPr>
        <w:tc>
          <w:tcPr>
            <w:tcW w:w="462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6"/>
                <w:szCs w:val="16"/>
                <w:color w:val="auto"/>
              </w:rPr>
            </w:pPr>
          </w:p>
        </w:tc>
        <w:tc>
          <w:tcPr>
            <w:tcW w:w="720" w:type="dxa"/>
            <w:vAlign w:val="bottom"/>
          </w:tcPr>
          <w:p>
            <w:pPr>
              <w:jc w:val="right"/>
              <w:ind w:right="220"/>
              <w:spacing w:after="0" w:line="175"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860" w:type="dxa"/>
            <w:vAlign w:val="bottom"/>
            <w:gridSpan w:val="2"/>
          </w:tcPr>
          <w:p>
            <w:pPr>
              <w:jc w:val="center"/>
              <w:ind w:right="80"/>
              <w:spacing w:after="0" w:line="175" w:lineRule="exact"/>
              <w:rPr>
                <w:sz w:val="20"/>
                <w:szCs w:val="20"/>
                <w:color w:val="auto"/>
              </w:rPr>
            </w:pPr>
            <w:r>
              <w:rPr>
                <w:rFonts w:ascii="Arial" w:cs="Arial" w:eastAsia="Arial" w:hAnsi="Arial"/>
                <w:sz w:val="16"/>
                <w:szCs w:val="16"/>
                <w:i w:val="1"/>
                <w:iCs w:val="1"/>
                <w:color w:val="auto"/>
                <w:w w:val="84"/>
              </w:rPr>
              <w:t>Revenue</w:t>
            </w:r>
          </w:p>
        </w:tc>
        <w:tc>
          <w:tcPr>
            <w:tcW w:w="200" w:type="dxa"/>
            <w:vAlign w:val="bottom"/>
          </w:tcPr>
          <w:p>
            <w:pPr>
              <w:spacing w:after="0"/>
              <w:rPr>
                <w:sz w:val="16"/>
                <w:szCs w:val="16"/>
                <w:color w:val="auto"/>
              </w:rPr>
            </w:pPr>
          </w:p>
        </w:tc>
        <w:tc>
          <w:tcPr>
            <w:tcW w:w="720" w:type="dxa"/>
            <w:vAlign w:val="bottom"/>
          </w:tcPr>
          <w:p>
            <w:pPr>
              <w:jc w:val="right"/>
              <w:ind w:right="220"/>
              <w:spacing w:after="0" w:line="175" w:lineRule="exact"/>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880" w:type="dxa"/>
            <w:vAlign w:val="bottom"/>
            <w:gridSpan w:val="2"/>
          </w:tcPr>
          <w:p>
            <w:pPr>
              <w:jc w:val="center"/>
              <w:ind w:right="60"/>
              <w:spacing w:after="0" w:line="175" w:lineRule="exact"/>
              <w:rPr>
                <w:sz w:val="20"/>
                <w:szCs w:val="20"/>
                <w:color w:val="auto"/>
              </w:rPr>
            </w:pPr>
            <w:r>
              <w:rPr>
                <w:rFonts w:ascii="Arial" w:cs="Arial" w:eastAsia="Arial" w:hAnsi="Arial"/>
                <w:sz w:val="16"/>
                <w:szCs w:val="16"/>
                <w:i w:val="1"/>
                <w:iCs w:val="1"/>
                <w:color w:val="auto"/>
                <w:w w:val="84"/>
              </w:rPr>
              <w:t>Revenue</w:t>
            </w:r>
          </w:p>
        </w:tc>
        <w:tc>
          <w:tcPr>
            <w:tcW w:w="10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(Unfavorable)</w:t>
            </w:r>
          </w:p>
        </w:tc>
      </w:tr>
      <w:tr>
        <w:trPr>
          <w:trHeight w:val="173"/>
        </w:trPr>
        <w:tc>
          <w:tcPr>
            <w:tcW w:w="454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6"/>
                <w:szCs w:val="16"/>
                <w:color w:val="auto"/>
              </w:rPr>
              <w:t>United States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tcPr>
          <w:p>
            <w:pPr>
              <w:jc w:val="right"/>
              <w:ind w:right="26"/>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color w:val="auto"/>
              </w:rPr>
              <w:t>99,488</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20"/>
              <w:spacing w:after="0" w:line="171" w:lineRule="exact"/>
              <w:rPr>
                <w:sz w:val="20"/>
                <w:szCs w:val="20"/>
                <w:color w:val="auto"/>
              </w:rPr>
            </w:pPr>
            <w:r>
              <w:rPr>
                <w:rFonts w:ascii="Arial" w:cs="Arial" w:eastAsia="Arial" w:hAnsi="Arial"/>
                <w:sz w:val="16"/>
                <w:szCs w:val="16"/>
                <w:i w:val="1"/>
                <w:iCs w:val="1"/>
                <w:color w:val="auto"/>
              </w:rPr>
              <w:t>53%</w:t>
            </w:r>
          </w:p>
        </w:tc>
        <w:tc>
          <w:tcPr>
            <w:tcW w:w="60" w:type="dxa"/>
            <w:vAlign w:val="bottom"/>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99,938</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20"/>
              <w:spacing w:after="0" w:line="171" w:lineRule="exact"/>
              <w:rPr>
                <w:sz w:val="20"/>
                <w:szCs w:val="20"/>
                <w:color w:val="auto"/>
              </w:rPr>
            </w:pPr>
            <w:r>
              <w:rPr>
                <w:rFonts w:ascii="Arial" w:cs="Arial" w:eastAsia="Arial" w:hAnsi="Arial"/>
                <w:sz w:val="16"/>
                <w:szCs w:val="16"/>
                <w:i w:val="1"/>
                <w:iCs w:val="1"/>
                <w:color w:val="auto"/>
              </w:rPr>
              <w:t>51%</w:t>
            </w: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t>
            </w:r>
          </w:p>
        </w:tc>
      </w:tr>
      <w:tr>
        <w:trPr>
          <w:trHeight w:val="173"/>
        </w:trPr>
        <w:tc>
          <w:tcPr>
            <w:tcW w:w="4620" w:type="dxa"/>
            <w:vAlign w:val="bottom"/>
            <w:gridSpan w:val="2"/>
          </w:tcPr>
          <w:p>
            <w:pPr>
              <w:spacing w:after="0" w:line="173" w:lineRule="exact"/>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77,735</w:t>
            </w:r>
          </w:p>
        </w:tc>
        <w:tc>
          <w:tcPr>
            <w:tcW w:w="80" w:type="dxa"/>
            <w:vAlign w:val="bottom"/>
          </w:tcPr>
          <w:p>
            <w:pPr>
              <w:spacing w:after="0"/>
              <w:rPr>
                <w:sz w:val="15"/>
                <w:szCs w:val="15"/>
                <w:color w:val="auto"/>
              </w:rPr>
            </w:pPr>
          </w:p>
        </w:tc>
        <w:tc>
          <w:tcPr>
            <w:tcW w:w="800" w:type="dxa"/>
            <w:vAlign w:val="bottom"/>
          </w:tcPr>
          <w:p>
            <w:pPr>
              <w:jc w:val="right"/>
              <w:ind w:right="20"/>
              <w:spacing w:after="0" w:line="173" w:lineRule="exact"/>
              <w:rPr>
                <w:sz w:val="20"/>
                <w:szCs w:val="20"/>
                <w:color w:val="auto"/>
              </w:rPr>
            </w:pPr>
            <w:r>
              <w:rPr>
                <w:rFonts w:ascii="Arial" w:cs="Arial" w:eastAsia="Arial" w:hAnsi="Arial"/>
                <w:sz w:val="16"/>
                <w:szCs w:val="16"/>
                <w:i w:val="1"/>
                <w:iCs w:val="1"/>
                <w:color w:val="auto"/>
              </w:rPr>
              <w:t>41%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82,032</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42%</w:t>
            </w:r>
          </w:p>
        </w:tc>
        <w:tc>
          <w:tcPr>
            <w:tcW w:w="60" w:type="dxa"/>
            <w:vAlign w:val="bottom"/>
          </w:tcPr>
          <w:p>
            <w:pPr>
              <w:spacing w:after="0"/>
              <w:rPr>
                <w:sz w:val="15"/>
                <w:szCs w:val="15"/>
                <w:color w:val="auto"/>
              </w:rPr>
            </w:pPr>
          </w:p>
        </w:tc>
        <w:tc>
          <w:tcPr>
            <w:tcW w:w="1080" w:type="dxa"/>
            <w:vAlign w:val="bottom"/>
          </w:tcPr>
          <w:p>
            <w:pPr>
              <w:jc w:val="right"/>
              <w:ind w:right="20"/>
              <w:spacing w:after="0" w:line="173" w:lineRule="exact"/>
              <w:rPr>
                <w:sz w:val="20"/>
                <w:szCs w:val="20"/>
                <w:color w:val="auto"/>
              </w:rPr>
            </w:pPr>
            <w:r>
              <w:rPr>
                <w:rFonts w:ascii="Arial" w:cs="Arial" w:eastAsia="Arial" w:hAnsi="Arial"/>
                <w:sz w:val="16"/>
                <w:szCs w:val="16"/>
                <w:color w:val="auto"/>
              </w:rPr>
              <w:t>(5)</w:t>
            </w:r>
            <w:r>
              <w:rPr>
                <w:rFonts w:ascii="Arial" w:cs="Arial" w:eastAsia="Arial" w:hAnsi="Arial"/>
                <w:sz w:val="16"/>
                <w:szCs w:val="16"/>
                <w:i w:val="1"/>
                <w:iCs w:val="1"/>
                <w:color w:val="auto"/>
              </w:rPr>
              <w:t>%</w:t>
            </w:r>
          </w:p>
        </w:tc>
      </w:tr>
      <w:tr>
        <w:trPr>
          <w:trHeight w:val="173"/>
        </w:trPr>
        <w:tc>
          <w:tcPr>
            <w:tcW w:w="462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New Zealand</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11,380</w:t>
            </w:r>
          </w:p>
        </w:tc>
        <w:tc>
          <w:tcPr>
            <w:tcW w:w="800" w:type="dxa"/>
            <w:vAlign w:val="bottom"/>
          </w:tcPr>
          <w:p>
            <w:pPr>
              <w:jc w:val="right"/>
              <w:ind w:right="20"/>
              <w:spacing w:after="0" w:line="173" w:lineRule="exact"/>
              <w:rPr>
                <w:sz w:val="20"/>
                <w:szCs w:val="20"/>
                <w:color w:val="auto"/>
              </w:rPr>
            </w:pPr>
            <w:r>
              <w:rPr>
                <w:rFonts w:ascii="Arial" w:cs="Arial" w:eastAsia="Arial" w:hAnsi="Arial"/>
                <w:sz w:val="16"/>
                <w:szCs w:val="16"/>
                <w:i w:val="1"/>
                <w:iCs w:val="1"/>
                <w:color w:val="auto"/>
              </w:rPr>
              <w:t>6%</w:t>
            </w:r>
          </w:p>
        </w:tc>
        <w:tc>
          <w:tcPr>
            <w:tcW w:w="6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13,160</w:t>
            </w:r>
          </w:p>
        </w:tc>
        <w:tc>
          <w:tcPr>
            <w:tcW w:w="88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i w:val="1"/>
                <w:iCs w:val="1"/>
                <w:color w:val="auto"/>
              </w:rPr>
              <w:t>7%</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(14)</w:t>
            </w:r>
            <w:r>
              <w:rPr>
                <w:rFonts w:ascii="Arial" w:cs="Arial" w:eastAsia="Arial" w:hAnsi="Arial"/>
                <w:sz w:val="16"/>
                <w:szCs w:val="16"/>
                <w:i w:val="1"/>
                <w:iCs w:val="1"/>
                <w:color w:val="auto"/>
              </w:rPr>
              <w:t>%</w:t>
            </w:r>
          </w:p>
        </w:tc>
      </w:tr>
      <w:tr>
        <w:trPr>
          <w:trHeight w:val="183"/>
        </w:trPr>
        <w:tc>
          <w:tcPr>
            <w:tcW w:w="4620" w:type="dxa"/>
            <w:vAlign w:val="bottom"/>
            <w:tcBorders>
              <w:top w:val="single" w:sz="8" w:color="CCEEFF"/>
            </w:tcBorders>
            <w:gridSpan w:val="2"/>
          </w:tcPr>
          <w:p>
            <w:pPr>
              <w:spacing w:after="0" w:line="173" w:lineRule="exact"/>
              <w:rPr>
                <w:sz w:val="20"/>
                <w:szCs w:val="20"/>
                <w:color w:val="auto"/>
              </w:rPr>
            </w:pPr>
            <w:r>
              <w:rPr>
                <w:rFonts w:ascii="Arial" w:cs="Arial" w:eastAsia="Arial" w:hAnsi="Arial"/>
                <w:sz w:val="16"/>
                <w:szCs w:val="16"/>
                <w:b w:val="1"/>
                <w:bCs w:val="1"/>
                <w:color w:val="auto"/>
              </w:rPr>
              <w:t>Total Segment Revenues</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188,603</w:t>
            </w:r>
          </w:p>
        </w:tc>
        <w:tc>
          <w:tcPr>
            <w:tcW w:w="80" w:type="dxa"/>
            <w:vAlign w:val="bottom"/>
          </w:tcPr>
          <w:p>
            <w:pPr>
              <w:spacing w:after="0"/>
              <w:rPr>
                <w:sz w:val="15"/>
                <w:szCs w:val="15"/>
                <w:color w:val="auto"/>
              </w:rPr>
            </w:pPr>
          </w:p>
        </w:tc>
        <w:tc>
          <w:tcPr>
            <w:tcW w:w="800" w:type="dxa"/>
            <w:vAlign w:val="bottom"/>
          </w:tcPr>
          <w:p>
            <w:pPr>
              <w:jc w:val="right"/>
              <w:ind w:right="20"/>
              <w:spacing w:after="0" w:line="173" w:lineRule="exact"/>
              <w:rPr>
                <w:sz w:val="20"/>
                <w:szCs w:val="20"/>
                <w:color w:val="auto"/>
              </w:rPr>
            </w:pPr>
            <w:r>
              <w:rPr>
                <w:rFonts w:ascii="Arial" w:cs="Arial" w:eastAsia="Arial" w:hAnsi="Arial"/>
                <w:sz w:val="16"/>
                <w:szCs w:val="16"/>
                <w:i w:val="1"/>
                <w:iCs w:val="1"/>
                <w:color w:val="auto"/>
              </w:rPr>
              <w:t>100%</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195,130</w:t>
            </w:r>
          </w:p>
        </w:tc>
        <w:tc>
          <w:tcPr>
            <w:tcW w:w="880" w:type="dxa"/>
            <w:vAlign w:val="bottom"/>
            <w:tcBorders>
              <w:top w:val="single" w:sz="8" w:color="CCEEFF"/>
            </w:tcBorders>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100 %</w:t>
            </w:r>
          </w:p>
        </w:tc>
        <w:tc>
          <w:tcPr>
            <w:tcW w:w="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ind w:right="20"/>
              <w:spacing w:after="0" w:line="173" w:lineRule="exact"/>
              <w:rPr>
                <w:sz w:val="20"/>
                <w:szCs w:val="20"/>
                <w:color w:val="auto"/>
              </w:rPr>
            </w:pPr>
            <w:r>
              <w:rPr>
                <w:rFonts w:ascii="Arial" w:cs="Arial" w:eastAsia="Arial" w:hAnsi="Arial"/>
                <w:sz w:val="16"/>
                <w:szCs w:val="16"/>
                <w:color w:val="auto"/>
              </w:rPr>
              <w:t>(3)</w:t>
            </w:r>
            <w:r>
              <w:rPr>
                <w:rFonts w:ascii="Arial" w:cs="Arial" w:eastAsia="Arial" w:hAnsi="Arial"/>
                <w:sz w:val="16"/>
                <w:szCs w:val="16"/>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-479425</wp:posOffset>
            </wp:positionV>
            <wp:extent cx="557530" cy="119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557530" cy="1193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-250825</wp:posOffset>
            </wp:positionV>
            <wp:extent cx="557530" cy="116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557530" cy="11620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Below are the changes in our cinema revenue by market:</w:t>
      </w:r>
    </w:p>
    <w:p>
      <w:pPr>
        <w:spacing w:after="0" w:line="97" w:lineRule="exact"/>
        <w:rPr>
          <w:sz w:val="20"/>
          <w:szCs w:val="20"/>
          <w:color w:val="auto"/>
        </w:rPr>
      </w:pPr>
    </w:p>
    <w:p>
      <w:pPr>
        <w:ind w:left="720" w:right="100" w:hanging="366"/>
        <w:spacing w:after="0" w:line="237" w:lineRule="auto"/>
        <w:tabs>
          <w:tab w:leader="none" w:pos="720" w:val="left"/>
        </w:tabs>
        <w:numPr>
          <w:ilvl w:val="0"/>
          <w:numId w:val="31"/>
        </w:numPr>
        <w:rPr>
          <w:rFonts w:ascii="Wingdings" w:cs="Wingdings" w:eastAsia="Wingdings" w:hAnsi="Wingdings"/>
          <w:sz w:val="20"/>
          <w:szCs w:val="20"/>
          <w:color w:val="auto"/>
        </w:rPr>
      </w:pPr>
      <w:r>
        <w:rPr>
          <w:rFonts w:ascii="Arial" w:cs="Arial" w:eastAsia="Arial" w:hAnsi="Arial"/>
          <w:sz w:val="20"/>
          <w:szCs w:val="20"/>
          <w:color w:val="auto"/>
        </w:rPr>
        <w:t>In the United States, cinema revenues decreased by $0.5 million, to $99.5 million for the year ended December 31, 2025, compared to 2024.</w:t>
      </w:r>
    </w:p>
    <w:p>
      <w:pPr>
        <w:spacing w:after="0" w:line="118" w:lineRule="exact"/>
        <w:rPr>
          <w:rFonts w:ascii="Wingdings" w:cs="Wingdings" w:eastAsia="Wingdings" w:hAnsi="Wingdings"/>
          <w:sz w:val="20"/>
          <w:szCs w:val="20"/>
          <w:color w:val="auto"/>
        </w:rPr>
      </w:pPr>
    </w:p>
    <w:p>
      <w:pPr>
        <w:ind w:left="720" w:right="60" w:hanging="366"/>
        <w:spacing w:after="0" w:line="237" w:lineRule="auto"/>
        <w:tabs>
          <w:tab w:leader="none" w:pos="720" w:val="left"/>
        </w:tabs>
        <w:numPr>
          <w:ilvl w:val="0"/>
          <w:numId w:val="31"/>
        </w:numPr>
        <w:rPr>
          <w:rFonts w:ascii="Wingdings" w:cs="Wingdings" w:eastAsia="Wingdings" w:hAnsi="Wingdings"/>
          <w:sz w:val="20"/>
          <w:szCs w:val="20"/>
          <w:color w:val="auto"/>
        </w:rPr>
      </w:pPr>
      <w:r>
        <w:rPr>
          <w:rFonts w:ascii="Arial" w:cs="Arial" w:eastAsia="Arial" w:hAnsi="Arial"/>
          <w:sz w:val="20"/>
          <w:szCs w:val="20"/>
          <w:color w:val="auto"/>
        </w:rPr>
        <w:t>In Australia, cinema revenues decreased by $4.3 million, to $77.7 million for the year ended December 31, 2025, compared to 2024.</w:t>
      </w:r>
    </w:p>
    <w:p>
      <w:pPr>
        <w:spacing w:after="0" w:line="118" w:lineRule="exact"/>
        <w:rPr>
          <w:rFonts w:ascii="Wingdings" w:cs="Wingdings" w:eastAsia="Wingdings" w:hAnsi="Wingdings"/>
          <w:sz w:val="20"/>
          <w:szCs w:val="20"/>
          <w:color w:val="auto"/>
        </w:rPr>
      </w:pPr>
    </w:p>
    <w:p>
      <w:pPr>
        <w:ind w:left="720" w:right="120" w:hanging="366"/>
        <w:spacing w:after="0" w:line="237" w:lineRule="auto"/>
        <w:tabs>
          <w:tab w:leader="none" w:pos="720" w:val="left"/>
        </w:tabs>
        <w:numPr>
          <w:ilvl w:val="0"/>
          <w:numId w:val="31"/>
        </w:numPr>
        <w:rPr>
          <w:rFonts w:ascii="Wingdings" w:cs="Wingdings" w:eastAsia="Wingdings" w:hAnsi="Wingdings"/>
          <w:sz w:val="20"/>
          <w:szCs w:val="20"/>
          <w:color w:val="auto"/>
        </w:rPr>
      </w:pPr>
      <w:r>
        <w:rPr>
          <w:rFonts w:ascii="Arial" w:cs="Arial" w:eastAsia="Arial" w:hAnsi="Arial"/>
          <w:sz w:val="20"/>
          <w:szCs w:val="20"/>
          <w:color w:val="auto"/>
        </w:rPr>
        <w:t>In New Zealand, cinema revenues decreased by $1.8 million, to $11.4 million for the year ended December 31, 2025, compared to 2024.</w:t>
      </w:r>
    </w:p>
    <w:p>
      <w:pPr>
        <w:spacing w:after="0" w:line="23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 xml:space="preserve">For the quarter ended December 31, 2025, Cinema segment revenue decreased by $7.7 million against the fourth quarter of 2024, to $46.9 million, which was primarily attributable to a weaker fourth quarter holiday blockbuster film slate in 2025 vs 2024 with the releases of </w:t>
      </w:r>
      <w:r>
        <w:rPr>
          <w:rFonts w:ascii="Arial" w:cs="Arial" w:eastAsia="Arial" w:hAnsi="Arial"/>
          <w:sz w:val="20"/>
          <w:szCs w:val="20"/>
          <w:i w:val="1"/>
          <w:iCs w:val="1"/>
          <w:color w:val="auto"/>
        </w:rPr>
        <w:t>Wicked: For Good</w:t>
      </w:r>
      <w:r>
        <w:rPr>
          <w:rFonts w:ascii="Arial" w:cs="Arial" w:eastAsia="Arial" w:hAnsi="Arial"/>
          <w:sz w:val="20"/>
          <w:szCs w:val="20"/>
          <w:color w:val="auto"/>
        </w:rPr>
        <w:t xml:space="preserve">, Zootopia 2, </w:t>
      </w:r>
      <w:r>
        <w:rPr>
          <w:rFonts w:ascii="Arial" w:cs="Arial" w:eastAsia="Arial" w:hAnsi="Arial"/>
          <w:sz w:val="20"/>
          <w:szCs w:val="20"/>
          <w:i w:val="1"/>
          <w:iCs w:val="1"/>
          <w:color w:val="auto"/>
        </w:rPr>
        <w:t>Avatar: Fire and Ash</w:t>
      </w:r>
      <w:r>
        <w:rPr>
          <w:rFonts w:ascii="Arial" w:cs="Arial" w:eastAsia="Arial" w:hAnsi="Arial"/>
          <w:sz w:val="20"/>
          <w:szCs w:val="20"/>
          <w:color w:val="auto"/>
        </w:rPr>
        <w:t xml:space="preserve">, and </w:t>
      </w:r>
      <w:r>
        <w:rPr>
          <w:rFonts w:ascii="Arial" w:cs="Arial" w:eastAsia="Arial" w:hAnsi="Arial"/>
          <w:sz w:val="20"/>
          <w:szCs w:val="20"/>
          <w:i w:val="1"/>
          <w:iCs w:val="1"/>
          <w:color w:val="auto"/>
        </w:rPr>
        <w:t xml:space="preserve">Frankenstein </w:t>
      </w:r>
      <w:r>
        <w:rPr>
          <w:rFonts w:ascii="Arial" w:cs="Arial" w:eastAsia="Arial" w:hAnsi="Arial"/>
          <w:sz w:val="20"/>
          <w:szCs w:val="20"/>
          <w:color w:val="auto"/>
        </w:rPr>
        <w:t>compared to Q4 2024 and cinema closures in US and New Zealand.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Operating expense for the full year 2025 decreased by $11.6 million, to $172.4 million when compared to 2024 due to lower film rent in all three countries, lower F&amp;B costs in Australia and New Zealand, along with decreased occupancy expenses in US and New Zealand.</w:t>
      </w:r>
    </w:p>
    <w:p>
      <w:pPr>
        <w:spacing w:after="0" w:line="214" w:lineRule="exact"/>
        <w:rPr>
          <w:sz w:val="20"/>
          <w:szCs w:val="20"/>
          <w:color w:val="auto"/>
        </w:rPr>
      </w:pPr>
    </w:p>
    <w:p>
      <w:pPr>
        <w:jc w:val="both"/>
        <w:ind w:right="80"/>
        <w:spacing w:after="0" w:line="239" w:lineRule="auto"/>
        <w:rPr>
          <w:sz w:val="20"/>
          <w:szCs w:val="20"/>
          <w:color w:val="auto"/>
        </w:rPr>
      </w:pPr>
      <w:r>
        <w:rPr>
          <w:rFonts w:ascii="Arial" w:cs="Arial" w:eastAsia="Arial" w:hAnsi="Arial"/>
          <w:sz w:val="19"/>
          <w:szCs w:val="19"/>
          <w:color w:val="auto"/>
        </w:rPr>
        <w:t>For the quarter ended December 31, 2025, operating expenses decreased by $4.5 million, to $43.1 million when compared to the fourth quarter of 2024 primarily driven by cinema closures in the U.S. and New Zealand.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Amortization, Impairment, General and Administrative Expense</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Depreciation, amortization, general and administrative expense for the year-ended December 31, 2025 decreased by $1.3 million, to $12.6 million compared to 2024 primarily driven by cinema closures in the U.S. and New Zealand, and delay in CAPEX spending.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4</w:t>
      </w:r>
    </w:p>
    <w:p>
      <w:pPr>
        <w:sectPr>
          <w:pgSz w:w="11900" w:h="16838" w:orient="portrait"/>
          <w:cols w:equalWidth="0" w:num="1">
            <w:col w:w="9400"/>
          </w:cols>
          <w:pgMar w:left="1260" w:top="1347" w:right="1246" w:bottom="0"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b w:val="1"/>
          <w:bCs w:val="1"/>
          <w:u w:val="single" w:color="auto"/>
          <w:color w:val="auto"/>
        </w:rPr>
        <w:t>Real Estate</w:t>
      </w:r>
      <w:r>
        <w:rPr>
          <w:rFonts w:ascii="Arial" w:cs="Arial" w:eastAsia="Arial" w:hAnsi="Arial"/>
          <w:sz w:val="19"/>
          <w:szCs w:val="19"/>
          <w:b w:val="1"/>
          <w:bCs w:val="1"/>
          <w:color w:val="auto"/>
        </w:rPr>
        <w:t xml:space="preserve"> – </w:t>
      </w:r>
      <w:r>
        <w:rPr>
          <w:rFonts w:ascii="Arial" w:cs="Arial" w:eastAsia="Arial" w:hAnsi="Arial"/>
          <w:sz w:val="19"/>
          <w:szCs w:val="19"/>
          <w:b w:val="1"/>
          <w:bCs w:val="1"/>
          <w:i w:val="1"/>
          <w:iCs w:val="1"/>
          <w:color w:val="auto"/>
        </w:rPr>
        <w:t>The following table details our Real Estate segment operating results for the years ended</w:t>
      </w:r>
    </w:p>
    <w:p>
      <w:pPr>
        <w:spacing w:after="0" w:line="229" w:lineRule="auto"/>
        <w:rPr>
          <w:sz w:val="20"/>
          <w:szCs w:val="20"/>
          <w:color w:val="auto"/>
        </w:rPr>
      </w:pPr>
      <w:r>
        <w:rPr>
          <w:rFonts w:ascii="Arial" w:cs="Arial" w:eastAsia="Arial" w:hAnsi="Arial"/>
          <w:sz w:val="20"/>
          <w:szCs w:val="20"/>
          <w:b w:val="1"/>
          <w:bCs w:val="1"/>
          <w:i w:val="1"/>
          <w:iCs w:val="1"/>
          <w:color w:val="auto"/>
        </w:rPr>
        <w:t>December 31, 2025 and 2024, respectively: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2025 vs.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left="30"/>
              <w:spacing w:after="0" w:line="151" w:lineRule="exact"/>
              <w:rPr>
                <w:sz w:val="20"/>
                <w:szCs w:val="20"/>
                <w:color w:val="auto"/>
              </w:rPr>
            </w:pPr>
            <w:r>
              <w:rPr>
                <w:rFonts w:ascii="Arial" w:cs="Arial" w:eastAsia="Arial" w:hAnsi="Arial"/>
                <w:sz w:val="14"/>
                <w:szCs w:val="14"/>
                <w:b w:val="1"/>
                <w:bCs w:val="1"/>
                <w:color w:val="auto"/>
                <w:w w:val="89"/>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60"/>
              <w:spacing w:after="0" w:line="151" w:lineRule="exact"/>
              <w:rPr>
                <w:sz w:val="20"/>
                <w:szCs w:val="20"/>
                <w:color w:val="auto"/>
              </w:rPr>
            </w:pPr>
            <w:r>
              <w:rPr>
                <w:rFonts w:ascii="Arial" w:cs="Arial" w:eastAsia="Arial" w:hAnsi="Arial"/>
                <w:sz w:val="14"/>
                <w:szCs w:val="14"/>
                <w:i w:val="1"/>
                <w:iCs w:val="1"/>
                <w:color w:val="auto"/>
                <w:w w:val="92"/>
              </w:rPr>
              <w:t>%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60"/>
              <w:spacing w:after="0" w:line="151" w:lineRule="exact"/>
              <w:rPr>
                <w:sz w:val="20"/>
                <w:szCs w:val="20"/>
                <w:color w:val="auto"/>
              </w:rPr>
            </w:pPr>
            <w:r>
              <w:rPr>
                <w:rFonts w:ascii="Arial" w:cs="Arial" w:eastAsia="Arial" w:hAnsi="Arial"/>
                <w:sz w:val="14"/>
                <w:szCs w:val="14"/>
                <w:i w:val="1"/>
                <w:iCs w:val="1"/>
                <w:color w:val="auto"/>
                <w:w w:val="92"/>
              </w:rPr>
              <w:t>%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63"/>
        </w:trPr>
        <w:tc>
          <w:tcPr>
            <w:tcW w:w="14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line="153" w:lineRule="exact"/>
              <w:rPr>
                <w:sz w:val="20"/>
                <w:szCs w:val="20"/>
                <w:color w:val="auto"/>
              </w:rPr>
            </w:pPr>
            <w:r>
              <w:rPr>
                <w:rFonts w:ascii="Arial" w:cs="Arial" w:eastAsia="Arial" w:hAnsi="Arial"/>
                <w:sz w:val="14"/>
                <w:szCs w:val="14"/>
                <w:i w:val="1"/>
                <w:iCs w:val="1"/>
                <w:color w:val="auto"/>
                <w:w w:val="85"/>
              </w:rPr>
              <w:t>Revenue</w:t>
            </w:r>
          </w:p>
        </w:tc>
        <w:tc>
          <w:tcPr>
            <w:tcW w:w="12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i w:val="1"/>
                <w:iCs w:val="1"/>
                <w:color w:val="auto"/>
                <w:w w:val="85"/>
              </w:rPr>
              <w:t>Revenue</w:t>
            </w:r>
          </w:p>
        </w:tc>
        <w:tc>
          <w:tcPr>
            <w:tcW w:w="8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Inc/(Dec)</w:t>
            </w:r>
          </w:p>
        </w:tc>
        <w:tc>
          <w:tcPr>
            <w:tcW w:w="9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w w:val="90"/>
              </w:rPr>
              <w:t>(Unfavorable)</w:t>
            </w:r>
          </w:p>
        </w:tc>
        <w:tc>
          <w:tcPr>
            <w:tcW w:w="0" w:type="dxa"/>
            <w:vAlign w:val="bottom"/>
          </w:tcPr>
          <w:p>
            <w:pPr>
              <w:spacing w:after="0"/>
              <w:rPr>
                <w:sz w:val="1"/>
                <w:szCs w:val="1"/>
                <w:color w:val="auto"/>
              </w:rPr>
            </w:pPr>
          </w:p>
        </w:tc>
      </w:tr>
      <w:tr>
        <w:trPr>
          <w:trHeight w:val="151"/>
        </w:trPr>
        <w:tc>
          <w:tcPr>
            <w:tcW w:w="140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Live theatre rental and ancillary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2,638</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38%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2,024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Property rental income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4,243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4,221</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68%</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6,881</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6,245</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45"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636</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Property rental income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10,659</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12,341</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(1,682)</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Property rental income</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881</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1,420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80" w:type="dxa"/>
            <w:vAlign w:val="bottom"/>
            <w:tcBorders>
              <w:top w:val="single" w:sz="8" w:color="CCEEFF"/>
              <w:bottom w:val="single" w:sz="8" w:color="CCEEFF"/>
            </w:tcBorders>
          </w:tcPr>
          <w:p>
            <w:pPr>
              <w:ind w:left="120"/>
              <w:spacing w:after="0" w:line="131" w:lineRule="exact"/>
              <w:rPr>
                <w:sz w:val="20"/>
                <w:szCs w:val="20"/>
                <w:color w:val="auto"/>
              </w:rPr>
            </w:pPr>
            <w:r>
              <w:rPr>
                <w:rFonts w:ascii="Arial" w:cs="Arial" w:eastAsia="Arial" w:hAnsi="Arial"/>
                <w:sz w:val="14"/>
                <w:szCs w:val="14"/>
                <w:b w:val="1"/>
                <w:bCs w:val="1"/>
                <w:color w:val="auto"/>
              </w:rPr>
              <w:t>Total revenue</w:t>
            </w:r>
          </w:p>
        </w:tc>
        <w:tc>
          <w:tcPr>
            <w:tcW w:w="20" w:type="dxa"/>
            <w:vAlign w:val="bottom"/>
          </w:tcPr>
          <w:p>
            <w:pPr>
              <w:spacing w:after="0"/>
              <w:rPr>
                <w:sz w:val="12"/>
                <w:szCs w:val="12"/>
                <w:color w:val="auto"/>
              </w:rPr>
            </w:pPr>
          </w:p>
        </w:tc>
        <w:tc>
          <w:tcPr>
            <w:tcW w:w="23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18,421</w:t>
            </w:r>
          </w:p>
        </w:tc>
        <w:tc>
          <w:tcPr>
            <w:tcW w:w="140" w:type="dxa"/>
            <w:vAlign w:val="bottom"/>
            <w:tcBorders>
              <w:top w:val="single" w:sz="8" w:color="CCEEFF"/>
              <w:bottom w:val="single" w:sz="8" w:color="CCEEFF"/>
            </w:tcBorders>
          </w:tcPr>
          <w:p>
            <w:pPr>
              <w:spacing w:after="0"/>
              <w:rPr>
                <w:sz w:val="12"/>
                <w:szCs w:val="12"/>
                <w:color w:val="auto"/>
              </w:rPr>
            </w:pPr>
          </w:p>
        </w:tc>
        <w:tc>
          <w:tcPr>
            <w:tcW w:w="640" w:type="dxa"/>
            <w:vAlign w:val="bottom"/>
            <w:tcBorders>
              <w:top w:val="single" w:sz="8" w:color="CCEEFF"/>
              <w:bottom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20,006</w:t>
            </w:r>
          </w:p>
        </w:tc>
        <w:tc>
          <w:tcPr>
            <w:tcW w:w="140" w:type="dxa"/>
            <w:vAlign w:val="bottom"/>
            <w:tcBorders>
              <w:top w:val="single" w:sz="8" w:color="CCEEFF"/>
              <w:bottom w:val="single" w:sz="8" w:color="CCEEFF"/>
            </w:tcBorders>
          </w:tcPr>
          <w:p>
            <w:pPr>
              <w:spacing w:after="0"/>
              <w:rPr>
                <w:sz w:val="12"/>
                <w:szCs w:val="12"/>
                <w:color w:val="auto"/>
              </w:rPr>
            </w:pPr>
          </w:p>
        </w:tc>
        <w:tc>
          <w:tcPr>
            <w:tcW w:w="720" w:type="dxa"/>
            <w:vAlign w:val="bottom"/>
            <w:tcBorders>
              <w:top w:val="single" w:sz="8" w:color="CCEEFF"/>
              <w:bottom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100%</w:t>
            </w:r>
          </w:p>
        </w:tc>
        <w:tc>
          <w:tcPr>
            <w:tcW w:w="140" w:type="dxa"/>
            <w:vAlign w:val="bottom"/>
            <w:tcBorders>
              <w:top w:val="single" w:sz="8" w:color="CCEEFF"/>
              <w:bottom w:val="single" w:sz="8" w:color="CCEEFF"/>
            </w:tcBorders>
          </w:tcPr>
          <w:p>
            <w:pPr>
              <w:spacing w:after="0"/>
              <w:rPr>
                <w:sz w:val="12"/>
                <w:szCs w:val="12"/>
                <w:color w:val="auto"/>
              </w:rPr>
            </w:pPr>
          </w:p>
        </w:tc>
        <w:tc>
          <w:tcPr>
            <w:tcW w:w="860" w:type="dxa"/>
            <w:vAlign w:val="bottom"/>
            <w:tcBorders>
              <w:top w:val="single" w:sz="8" w:color="CCEEFF"/>
              <w:bottom w:val="single" w:sz="8" w:color="CCEEFF"/>
            </w:tcBorders>
            <w:gridSpan w:val="2"/>
          </w:tcPr>
          <w:p>
            <w:pPr>
              <w:jc w:val="right"/>
              <w:ind w:right="120"/>
              <w:spacing w:after="0" w:line="131" w:lineRule="exact"/>
              <w:rPr>
                <w:sz w:val="20"/>
                <w:szCs w:val="20"/>
                <w:color w:val="auto"/>
              </w:rPr>
            </w:pPr>
            <w:r>
              <w:rPr>
                <w:rFonts w:ascii="Arial" w:cs="Arial" w:eastAsia="Arial" w:hAnsi="Arial"/>
                <w:sz w:val="14"/>
                <w:szCs w:val="14"/>
                <w:color w:val="auto"/>
              </w:rPr>
              <w:t>(1,585)</w:t>
            </w:r>
          </w:p>
        </w:tc>
        <w:tc>
          <w:tcPr>
            <w:tcW w:w="860" w:type="dxa"/>
            <w:vAlign w:val="bottom"/>
            <w:tcBorders>
              <w:top w:val="single" w:sz="8" w:color="CCEEFF"/>
              <w:bottom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1380" w:type="dxa"/>
            <w:vAlign w:val="bottom"/>
          </w:tcPr>
          <w:p>
            <w:pPr>
              <w:spacing w:after="0" w:line="151" w:lineRule="exact"/>
              <w:rPr>
                <w:sz w:val="20"/>
                <w:szCs w:val="20"/>
                <w:color w:val="auto"/>
              </w:rPr>
            </w:pPr>
            <w:r>
              <w:rPr>
                <w:rFonts w:ascii="Arial" w:cs="Arial" w:eastAsia="Arial" w:hAnsi="Arial"/>
                <w:sz w:val="14"/>
                <w:szCs w:val="14"/>
                <w:b w:val="1"/>
                <w:bCs w:val="1"/>
                <w:color w:val="auto"/>
                <w:w w:val="88"/>
              </w:rPr>
              <w:t>OPERATING EXPENSE</w:t>
            </w:r>
          </w:p>
        </w:tc>
        <w:tc>
          <w:tcPr>
            <w:tcW w:w="20" w:type="dxa"/>
            <w:vAlign w:val="bottom"/>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Live theater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(1,048)</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(1,024)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(734)</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(694)</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(11)%</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(93)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(198)</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(1,073)</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(1,096)</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(18)%</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(3,146)</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(46)%</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(3,113)</w:t>
            </w:r>
          </w:p>
        </w:tc>
        <w:tc>
          <w:tcPr>
            <w:tcW w:w="1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(50)%</w:t>
            </w: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(1)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(1,829)</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(1,988)</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Labor cost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(174)</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(131)</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(82)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(853)</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(983)</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(736)</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(929)</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(8)%</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21 %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(3,723)</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(35)%</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(4,219)</w:t>
            </w:r>
          </w:p>
        </w:tc>
        <w:tc>
          <w:tcPr>
            <w:tcW w:w="1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(34)%</w:t>
            </w:r>
          </w:p>
        </w:tc>
        <w:tc>
          <w:tcPr>
            <w:tcW w:w="1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ind w:right="120"/>
              <w:spacing w:after="0" w:line="131" w:lineRule="exact"/>
              <w:rPr>
                <w:sz w:val="20"/>
                <w:szCs w:val="20"/>
                <w:color w:val="auto"/>
              </w:rPr>
            </w:pPr>
            <w:r>
              <w:rPr>
                <w:rFonts w:ascii="Arial" w:cs="Arial" w:eastAsia="Arial" w:hAnsi="Arial"/>
                <w:sz w:val="14"/>
                <w:szCs w:val="14"/>
                <w:color w:val="auto"/>
              </w:rPr>
              <w:t>(496)</w:t>
            </w: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Occupancy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(167)</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(474)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(33)%</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65 %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Labor cost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91 %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Utilities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92 %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Cleaning and maintenance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91 %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(416)</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(1,311)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(92)%</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68 %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(594)</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(67)%</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(1,913)</w:t>
            </w:r>
          </w:p>
        </w:tc>
        <w:tc>
          <w:tcPr>
            <w:tcW w:w="1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(135)%</w:t>
            </w:r>
          </w:p>
        </w:tc>
        <w:tc>
          <w:tcPr>
            <w:tcW w:w="1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ind w:right="120"/>
              <w:spacing w:after="0" w:line="131" w:lineRule="exact"/>
              <w:rPr>
                <w:sz w:val="20"/>
                <w:szCs w:val="20"/>
                <w:color w:val="auto"/>
              </w:rPr>
            </w:pPr>
            <w:r>
              <w:rPr>
                <w:rFonts w:ascii="Arial" w:cs="Arial" w:eastAsia="Arial" w:hAnsi="Arial"/>
                <w:sz w:val="14"/>
                <w:szCs w:val="14"/>
                <w:color w:val="auto"/>
              </w:rPr>
              <w:t>(1,319)</w:t>
            </w: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69 %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20" w:type="dxa"/>
            <w:vAlign w:val="bottom"/>
            <w:gridSpan w:val="4"/>
          </w:tcPr>
          <w:p>
            <w:pPr>
              <w:ind w:left="120"/>
              <w:spacing w:after="0" w:line="141" w:lineRule="exact"/>
              <w:rPr>
                <w:sz w:val="20"/>
                <w:szCs w:val="20"/>
                <w:color w:val="auto"/>
              </w:rPr>
            </w:pPr>
            <w:r>
              <w:rPr>
                <w:rFonts w:ascii="Arial" w:cs="Arial" w:eastAsia="Arial" w:hAnsi="Arial"/>
                <w:sz w:val="14"/>
                <w:szCs w:val="14"/>
                <w:b w:val="1"/>
                <w:bCs w:val="1"/>
                <w:color w:val="auto"/>
              </w:rPr>
              <w:t>Total operating expense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(7,463)</w:t>
            </w:r>
          </w:p>
        </w:tc>
        <w:tc>
          <w:tcPr>
            <w:tcW w:w="140" w:type="dxa"/>
            <w:vAlign w:val="bottom"/>
          </w:tcPr>
          <w:p>
            <w:pPr>
              <w:spacing w:after="0"/>
              <w:rPr>
                <w:sz w:val="13"/>
                <w:szCs w:val="13"/>
                <w:color w:val="auto"/>
              </w:rPr>
            </w:pPr>
          </w:p>
        </w:tc>
        <w:tc>
          <w:tcPr>
            <w:tcW w:w="640" w:type="dxa"/>
            <w:vAlign w:val="bottom"/>
          </w:tcPr>
          <w:p>
            <w:pPr>
              <w:jc w:val="right"/>
              <w:ind w:right="30"/>
              <w:spacing w:after="0" w:line="141" w:lineRule="exact"/>
              <w:rPr>
                <w:sz w:val="20"/>
                <w:szCs w:val="20"/>
                <w:color w:val="auto"/>
              </w:rPr>
            </w:pPr>
            <w:r>
              <w:rPr>
                <w:rFonts w:ascii="Arial" w:cs="Arial" w:eastAsia="Arial" w:hAnsi="Arial"/>
                <w:sz w:val="14"/>
                <w:szCs w:val="14"/>
                <w:i w:val="1"/>
                <w:iCs w:val="1"/>
                <w:color w:val="auto"/>
              </w:rPr>
              <w:t>(41)%</w:t>
            </w:r>
          </w:p>
        </w:tc>
        <w:tc>
          <w:tcPr>
            <w:tcW w:w="14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(9,245)</w:t>
            </w:r>
          </w:p>
        </w:tc>
        <w:tc>
          <w:tcPr>
            <w:tcW w:w="140" w:type="dxa"/>
            <w:vAlign w:val="bottom"/>
          </w:tcPr>
          <w:p>
            <w:pPr>
              <w:spacing w:after="0"/>
              <w:rPr>
                <w:sz w:val="13"/>
                <w:szCs w:val="13"/>
                <w:color w:val="auto"/>
              </w:rPr>
            </w:pPr>
          </w:p>
        </w:tc>
        <w:tc>
          <w:tcPr>
            <w:tcW w:w="720" w:type="dxa"/>
            <w:vAlign w:val="bottom"/>
          </w:tcPr>
          <w:p>
            <w:pPr>
              <w:jc w:val="right"/>
              <w:ind w:right="10"/>
              <w:spacing w:after="0" w:line="141" w:lineRule="exact"/>
              <w:rPr>
                <w:sz w:val="20"/>
                <w:szCs w:val="20"/>
                <w:color w:val="auto"/>
              </w:rPr>
            </w:pPr>
            <w:r>
              <w:rPr>
                <w:rFonts w:ascii="Arial" w:cs="Arial" w:eastAsia="Arial" w:hAnsi="Arial"/>
                <w:sz w:val="14"/>
                <w:szCs w:val="14"/>
                <w:i w:val="1"/>
                <w:iCs w:val="1"/>
                <w:color w:val="auto"/>
              </w:rPr>
              <w:t>(46)%</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(1,782)</w:t>
            </w:r>
          </w:p>
        </w:tc>
        <w:tc>
          <w:tcPr>
            <w:tcW w:w="8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19 %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b w:val="1"/>
                <w:bCs w:val="1"/>
                <w:color w:val="auto"/>
              </w:rPr>
              <w:t>DEPRECIATION,</w:t>
            </w:r>
          </w:p>
        </w:tc>
        <w:tc>
          <w:tcPr>
            <w:tcW w:w="20" w:type="dxa"/>
            <w:vAlign w:val="bottom"/>
            <w:vMerge w:val="continue"/>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AMORTIZATION, GENERAL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40" w:type="dxa"/>
            <w:vAlign w:val="bottom"/>
            <w:gridSpan w:val="5"/>
          </w:tcPr>
          <w:p>
            <w:pPr>
              <w:spacing w:after="0" w:line="153" w:lineRule="exact"/>
              <w:rPr>
                <w:sz w:val="20"/>
                <w:szCs w:val="20"/>
                <w:color w:val="auto"/>
              </w:rPr>
            </w:pPr>
            <w:r>
              <w:rPr>
                <w:rFonts w:ascii="Arial" w:cs="Arial" w:eastAsia="Arial" w:hAnsi="Arial"/>
                <w:sz w:val="14"/>
                <w:szCs w:val="14"/>
                <w:b w:val="1"/>
                <w:bCs w:val="1"/>
                <w:color w:val="auto"/>
              </w:rPr>
              <w:t>ADMINISTRATIVE EXPENSE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States</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(2,500)</w:t>
            </w:r>
          </w:p>
        </w:tc>
        <w:tc>
          <w:tcPr>
            <w:tcW w:w="640" w:type="dxa"/>
            <w:vAlign w:val="bottom"/>
            <w:shd w:val="clear" w:color="auto" w:fill="CCEEFF"/>
          </w:tcPr>
          <w:p>
            <w:pPr>
              <w:jc w:val="right"/>
              <w:ind w:right="30"/>
              <w:spacing w:after="0" w:line="153" w:lineRule="exact"/>
              <w:rPr>
                <w:sz w:val="20"/>
                <w:szCs w:val="20"/>
                <w:color w:val="auto"/>
              </w:rPr>
            </w:pPr>
            <w:r>
              <w:rPr>
                <w:rFonts w:ascii="Arial" w:cs="Arial" w:eastAsia="Arial" w:hAnsi="Arial"/>
                <w:sz w:val="14"/>
                <w:szCs w:val="14"/>
                <w:i w:val="1"/>
                <w:iCs w:val="1"/>
                <w:color w:val="auto"/>
              </w:rPr>
              <w:t>(36)%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(2,628)</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3" w:lineRule="exact"/>
              <w:rPr>
                <w:sz w:val="20"/>
                <w:szCs w:val="20"/>
                <w:color w:val="auto"/>
              </w:rPr>
            </w:pPr>
            <w:r>
              <w:rPr>
                <w:rFonts w:ascii="Arial" w:cs="Arial" w:eastAsia="Arial" w:hAnsi="Arial"/>
                <w:sz w:val="14"/>
                <w:szCs w:val="14"/>
                <w:i w:val="1"/>
                <w:iCs w:val="1"/>
                <w:color w:val="auto"/>
              </w:rPr>
              <w:t>(42)%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(649)</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(865)</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(14)%</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(216)</w:t>
            </w: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(3,149)</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(46)%</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(3,493)</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(344)</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(1,580)</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(15)%</w:t>
            </w:r>
          </w:p>
        </w:tc>
        <w:tc>
          <w:tcPr>
            <w:tcW w:w="14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(2,091)</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(17)%</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(511)</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(76)</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(31)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(1,656)</w:t>
            </w: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ind w:right="30"/>
              <w:spacing w:after="0" w:line="131" w:lineRule="exact"/>
              <w:rPr>
                <w:sz w:val="20"/>
                <w:szCs w:val="20"/>
                <w:color w:val="auto"/>
              </w:rPr>
            </w:pPr>
            <w:r>
              <w:rPr>
                <w:rFonts w:ascii="Arial" w:cs="Arial" w:eastAsia="Arial" w:hAnsi="Arial"/>
                <w:sz w:val="14"/>
                <w:szCs w:val="14"/>
                <w:i w:val="1"/>
                <w:iCs w:val="1"/>
                <w:color w:val="auto"/>
              </w:rPr>
              <w:t>(16)%</w:t>
            </w: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(2,149)</w:t>
            </w:r>
          </w:p>
        </w:tc>
        <w:tc>
          <w:tcPr>
            <w:tcW w:w="14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right"/>
              <w:ind w:right="10"/>
              <w:spacing w:after="0" w:line="131" w:lineRule="exact"/>
              <w:rPr>
                <w:sz w:val="20"/>
                <w:szCs w:val="20"/>
                <w:color w:val="auto"/>
              </w:rPr>
            </w:pPr>
            <w:r>
              <w:rPr>
                <w:rFonts w:ascii="Arial" w:cs="Arial" w:eastAsia="Arial" w:hAnsi="Arial"/>
                <w:sz w:val="14"/>
                <w:szCs w:val="14"/>
                <w:i w:val="1"/>
                <w:iCs w:val="1"/>
                <w:color w:val="auto"/>
              </w:rPr>
              <w:t>(17)%</w:t>
            </w:r>
          </w:p>
        </w:tc>
        <w:tc>
          <w:tcPr>
            <w:tcW w:w="1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gridSpan w:val="2"/>
          </w:tcPr>
          <w:p>
            <w:pPr>
              <w:jc w:val="right"/>
              <w:ind w:right="120"/>
              <w:spacing w:after="0" w:line="131" w:lineRule="exact"/>
              <w:rPr>
                <w:sz w:val="20"/>
                <w:szCs w:val="20"/>
                <w:color w:val="auto"/>
              </w:rPr>
            </w:pPr>
            <w:r>
              <w:rPr>
                <w:rFonts w:ascii="Arial" w:cs="Arial" w:eastAsia="Arial" w:hAnsi="Arial"/>
                <w:sz w:val="14"/>
                <w:szCs w:val="14"/>
                <w:color w:val="auto"/>
              </w:rPr>
              <w:t>(493)</w:t>
            </w:r>
          </w:p>
        </w:tc>
        <w:tc>
          <w:tcPr>
            <w:tcW w:w="860" w:type="dxa"/>
            <w:vAlign w:val="bottom"/>
            <w:tcBorders>
              <w:top w:val="single" w:sz="8" w:color="CCEEFF"/>
            </w:tcBorders>
            <w:gridSpan w:val="2"/>
          </w:tcPr>
          <w:p>
            <w:pPr>
              <w:jc w:val="right"/>
              <w:spacing w:after="0" w:line="131" w:lineRule="exact"/>
              <w:rPr>
                <w:sz w:val="20"/>
                <w:szCs w:val="20"/>
                <w:color w:val="auto"/>
              </w:rPr>
            </w:pPr>
            <w:r>
              <w:rPr>
                <w:rFonts w:ascii="Arial" w:cs="Arial" w:eastAsia="Arial" w:hAnsi="Arial"/>
                <w:sz w:val="14"/>
                <w:szCs w:val="14"/>
                <w:color w:val="auto"/>
              </w:rPr>
              <w:t>23 %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New</w:t>
            </w:r>
          </w:p>
        </w:tc>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Zealand</w:t>
            </w:r>
          </w:p>
        </w:tc>
        <w:tc>
          <w:tcPr>
            <w:tcW w:w="20" w:type="dxa"/>
            <w:vAlign w:val="bottom"/>
          </w:tcPr>
          <w:p>
            <w:pPr>
              <w:spacing w:after="0"/>
              <w:rPr>
                <w:sz w:val="13"/>
                <w:szCs w:val="13"/>
                <w:color w:val="auto"/>
              </w:rPr>
            </w:pPr>
          </w:p>
        </w:tc>
        <w:tc>
          <w:tcPr>
            <w:tcW w:w="252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(235)</w:t>
            </w:r>
          </w:p>
        </w:tc>
        <w:tc>
          <w:tcPr>
            <w:tcW w:w="640" w:type="dxa"/>
            <w:vAlign w:val="bottom"/>
            <w:shd w:val="clear" w:color="auto" w:fill="CCEEFF"/>
          </w:tcPr>
          <w:p>
            <w:pPr>
              <w:jc w:val="right"/>
              <w:ind w:right="30"/>
              <w:spacing w:after="0" w:line="153" w:lineRule="exact"/>
              <w:rPr>
                <w:sz w:val="20"/>
                <w:szCs w:val="20"/>
                <w:color w:val="auto"/>
              </w:rPr>
            </w:pPr>
            <w:r>
              <w:rPr>
                <w:rFonts w:ascii="Arial" w:cs="Arial" w:eastAsia="Arial" w:hAnsi="Arial"/>
                <w:sz w:val="14"/>
                <w:szCs w:val="14"/>
                <w:i w:val="1"/>
                <w:iCs w:val="1"/>
                <w:color w:val="auto"/>
              </w:rPr>
              <w:t>(27)%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(440)</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3" w:lineRule="exact"/>
              <w:rPr>
                <w:sz w:val="20"/>
                <w:szCs w:val="20"/>
                <w:color w:val="auto"/>
              </w:rPr>
            </w:pPr>
            <w:r>
              <w:rPr>
                <w:rFonts w:ascii="Arial" w:cs="Arial" w:eastAsia="Arial" w:hAnsi="Arial"/>
                <w:sz w:val="14"/>
                <w:szCs w:val="14"/>
                <w:i w:val="1"/>
                <w:iCs w:val="1"/>
                <w:color w:val="auto"/>
              </w:rPr>
              <w:t>(31)%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
          </w:tcPr>
          <w:p>
            <w:pPr>
              <w:spacing w:after="0" w:line="151" w:lineRule="exact"/>
              <w:rPr>
                <w:sz w:val="20"/>
                <w:szCs w:val="20"/>
                <w:color w:val="auto"/>
              </w:rPr>
            </w:pPr>
            <w:r>
              <w:rPr>
                <w:rFonts w:ascii="Arial" w:cs="Arial" w:eastAsia="Arial" w:hAnsi="Arial"/>
                <w:sz w:val="14"/>
                <w:szCs w:val="14"/>
                <w:color w:val="auto"/>
              </w:rPr>
              <w:t>General and administrative expense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20"/>
              <w:spacing w:after="0" w:line="151" w:lineRule="exact"/>
              <w:rPr>
                <w:sz w:val="20"/>
                <w:szCs w:val="20"/>
                <w:color w:val="auto"/>
              </w:rPr>
            </w:pPr>
            <w:r>
              <w:rPr>
                <w:rFonts w:ascii="Arial" w:cs="Arial" w:eastAsia="Arial" w:hAnsi="Arial"/>
                <w:sz w:val="14"/>
                <w:szCs w:val="14"/>
                <w:i w:val="1"/>
                <w:iCs w:val="1"/>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(236)</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(27)%</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(440)</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(31)%</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(204)</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46 %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Borders>
              <w:bottom w:val="single" w:sz="8" w:color="CCEEFF"/>
            </w:tcBorders>
            <w:gridSpan w:val="3"/>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b w:val="1"/>
                <w:bCs w:val="1"/>
                <w:color w:val="auto"/>
              </w:rPr>
              <w:t>Total depreciation, amortization, and general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(5,041)</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(6,082)</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4"/>
            <w:shd w:val="clear" w:color="auto" w:fill="CCEEFF"/>
          </w:tcPr>
          <w:p>
            <w:pPr>
              <w:ind w:left="120"/>
              <w:spacing w:after="0" w:line="138" w:lineRule="exact"/>
              <w:rPr>
                <w:sz w:val="20"/>
                <w:szCs w:val="20"/>
                <w:color w:val="auto"/>
              </w:rPr>
            </w:pPr>
            <w:r>
              <w:rPr>
                <w:rFonts w:ascii="Arial" w:cs="Arial" w:eastAsia="Arial" w:hAnsi="Arial"/>
                <w:sz w:val="14"/>
                <w:szCs w:val="14"/>
                <w:b w:val="1"/>
                <w:bCs w:val="1"/>
                <w:color w:val="auto"/>
              </w:rPr>
              <w:t>administrative expense</w:t>
            </w:r>
          </w:p>
        </w:tc>
        <w:tc>
          <w:tcPr>
            <w:tcW w:w="100" w:type="dxa"/>
            <w:vAlign w:val="bottom"/>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640" w:type="dxa"/>
            <w:vAlign w:val="bottom"/>
            <w:shd w:val="clear" w:color="auto" w:fill="CCEEFF"/>
          </w:tcPr>
          <w:p>
            <w:pPr>
              <w:jc w:val="right"/>
              <w:ind w:right="30"/>
              <w:spacing w:after="0" w:line="138" w:lineRule="exact"/>
              <w:rPr>
                <w:sz w:val="20"/>
                <w:szCs w:val="20"/>
                <w:color w:val="auto"/>
              </w:rPr>
            </w:pPr>
            <w:r>
              <w:rPr>
                <w:rFonts w:ascii="Arial" w:cs="Arial" w:eastAsia="Arial" w:hAnsi="Arial"/>
                <w:sz w:val="14"/>
                <w:szCs w:val="14"/>
                <w:i w:val="1"/>
                <w:iCs w:val="1"/>
                <w:color w:val="auto"/>
              </w:rPr>
              <w:t>(27)%</w:t>
            </w: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0"/>
              <w:spacing w:after="0" w:line="138" w:lineRule="exact"/>
              <w:rPr>
                <w:sz w:val="20"/>
                <w:szCs w:val="20"/>
                <w:color w:val="auto"/>
              </w:rPr>
            </w:pPr>
            <w:r>
              <w:rPr>
                <w:rFonts w:ascii="Arial" w:cs="Arial" w:eastAsia="Arial" w:hAnsi="Arial"/>
                <w:sz w:val="14"/>
                <w:szCs w:val="14"/>
                <w:i w:val="1"/>
                <w:iCs w:val="1"/>
                <w:color w:val="auto"/>
              </w:rPr>
              <w:t>(30)%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3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64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7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CCEEFF"/>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Total expenses</w:t>
            </w:r>
          </w:p>
        </w:tc>
        <w:tc>
          <w:tcPr>
            <w:tcW w:w="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(12,504)</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(68)%</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(15,327)</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(77)%</w:t>
            </w: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(2,823)</w:t>
            </w: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92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OPERATING INCOME (LOSS)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586</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(361)</w:t>
            </w:r>
          </w:p>
        </w:tc>
        <w:tc>
          <w:tcPr>
            <w:tcW w:w="14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947</w:t>
            </w:r>
          </w:p>
        </w:tc>
        <w:tc>
          <w:tcPr>
            <w:tcW w:w="120" w:type="dxa"/>
            <w:vAlign w:val="bottom"/>
          </w:tcPr>
          <w:p>
            <w:pPr>
              <w:spacing w:after="0"/>
              <w:rPr>
                <w:sz w:val="13"/>
                <w:szCs w:val="13"/>
                <w:color w:val="auto"/>
              </w:rPr>
            </w:pP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5,280</w:t>
            </w:r>
          </w:p>
        </w:tc>
        <w:tc>
          <w:tcPr>
            <w:tcW w:w="640" w:type="dxa"/>
            <w:vAlign w:val="bottom"/>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50%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5,973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48%</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51</w:t>
            </w:r>
          </w:p>
        </w:tc>
        <w:tc>
          <w:tcPr>
            <w:tcW w:w="640" w:type="dxa"/>
            <w:vAlign w:val="bottom"/>
          </w:tcPr>
          <w:p>
            <w:pPr>
              <w:jc w:val="right"/>
              <w:ind w:right="30"/>
              <w:spacing w:after="0" w:line="151" w:lineRule="exact"/>
              <w:rPr>
                <w:sz w:val="20"/>
                <w:szCs w:val="20"/>
                <w:color w:val="auto"/>
              </w:rPr>
            </w:pPr>
            <w:r>
              <w:rPr>
                <w:rFonts w:ascii="Arial" w:cs="Arial" w:eastAsia="Arial" w:hAnsi="Arial"/>
                <w:sz w:val="14"/>
                <w:szCs w:val="14"/>
                <w:i w:val="1"/>
                <w:iCs w:val="1"/>
                <w:color w:val="auto"/>
              </w:rPr>
              <w:t>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4"/>
                <w:szCs w:val="14"/>
                <w:color w:val="auto"/>
              </w:rPr>
            </w:pPr>
          </w:p>
        </w:tc>
        <w:tc>
          <w:tcPr>
            <w:tcW w:w="720" w:type="dxa"/>
            <w:vAlign w:val="bottom"/>
          </w:tcPr>
          <w:p>
            <w:pPr>
              <w:jc w:val="right"/>
              <w:ind w:right="10"/>
              <w:spacing w:after="0" w:line="151" w:lineRule="exact"/>
              <w:rPr>
                <w:sz w:val="20"/>
                <w:szCs w:val="20"/>
                <w:color w:val="auto"/>
              </w:rPr>
            </w:pPr>
            <w:r>
              <w:rPr>
                <w:rFonts w:ascii="Arial" w:cs="Arial" w:eastAsia="Arial" w:hAnsi="Arial"/>
                <w:sz w:val="14"/>
                <w:szCs w:val="14"/>
                <w:i w:val="1"/>
                <w:iCs w:val="1"/>
                <w:color w:val="auto"/>
              </w:rPr>
              <w:t>(66)%</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984</w:t>
            </w: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20" w:type="dxa"/>
            <w:vAlign w:val="bottom"/>
            <w:tcBorders>
              <w:top w:val="single" w:sz="8" w:color="CCEEFF"/>
              <w:bottom w:val="single" w:sz="8" w:color="CCEEFF"/>
            </w:tcBorders>
            <w:gridSpan w:val="4"/>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Total operating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5,917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jc w:val="right"/>
              <w:ind w:right="30"/>
              <w:spacing w:after="0" w:line="151" w:lineRule="exact"/>
              <w:rPr>
                <w:sz w:val="20"/>
                <w:szCs w:val="20"/>
                <w:color w:val="auto"/>
              </w:rPr>
            </w:pPr>
            <w:r>
              <w:rPr>
                <w:rFonts w:ascii="Arial" w:cs="Arial" w:eastAsia="Arial" w:hAnsi="Arial"/>
                <w:sz w:val="14"/>
                <w:szCs w:val="14"/>
                <w:i w:val="1"/>
                <w:iCs w:val="1"/>
                <w:color w:val="auto"/>
              </w:rPr>
              <w:t>32%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4,679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jc w:val="right"/>
              <w:ind w:right="10"/>
              <w:spacing w:after="0" w:line="151" w:lineRule="exact"/>
              <w:rPr>
                <w:sz w:val="20"/>
                <w:szCs w:val="20"/>
                <w:color w:val="auto"/>
              </w:rPr>
            </w:pPr>
            <w:r>
              <w:rPr>
                <w:rFonts w:ascii="Arial" w:cs="Arial" w:eastAsia="Arial" w:hAnsi="Arial"/>
                <w:sz w:val="14"/>
                <w:szCs w:val="14"/>
                <w:i w:val="1"/>
                <w:iCs w:val="1"/>
                <w:color w:val="auto"/>
              </w:rPr>
              <w:t>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1,238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260" w:top="1128"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 / 4</w:t>
      </w:r>
    </w:p>
    <w:p>
      <w:pPr>
        <w:sectPr>
          <w:pgSz w:w="11900" w:h="16838" w:orient="portrait"/>
          <w:cols w:equalWidth="0" w:num="1">
            <w:col w:w="9480"/>
          </w:cols>
          <w:pgMar w:left="1260" w:top="1128" w:right="1166" w:bottom="0" w:gutter="0" w:footer="0" w:header="0"/>
          <w:type w:val="continuous"/>
        </w:sectPr>
      </w:pPr>
    </w:p>
    <w:bookmarkStart w:id="70" w:name="page71"/>
    <w:bookmarkEnd w:id="70"/>
    <w:p>
      <w:pPr>
        <w:jc w:val="center"/>
        <w:ind w:right="6"/>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251" w:right="1440" w:bottom="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Real Estate segment operating results for the quarters ended</w:t>
      </w:r>
    </w:p>
    <w:p>
      <w:pPr>
        <w:spacing w:after="0"/>
        <w:rPr>
          <w:sz w:val="20"/>
          <w:szCs w:val="20"/>
          <w:color w:val="auto"/>
        </w:rPr>
      </w:pPr>
      <w:r>
        <w:rPr>
          <w:rFonts w:ascii="Arial" w:cs="Arial" w:eastAsia="Arial" w:hAnsi="Arial"/>
          <w:sz w:val="20"/>
          <w:szCs w:val="20"/>
          <w:b w:val="1"/>
          <w:bCs w:val="1"/>
          <w:i w:val="1"/>
          <w:iCs w:val="1"/>
          <w:color w:val="auto"/>
        </w:rPr>
        <w:t>December 31, 2025 and 2024,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2025 vs.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30"/>
              <w:spacing w:after="0" w:line="151" w:lineRule="exact"/>
              <w:rPr>
                <w:sz w:val="20"/>
                <w:szCs w:val="20"/>
                <w:color w:val="auto"/>
              </w:rPr>
            </w:pPr>
            <w:r>
              <w:rPr>
                <w:rFonts w:ascii="Arial" w:cs="Arial" w:eastAsia="Arial" w:hAnsi="Arial"/>
                <w:sz w:val="14"/>
                <w:szCs w:val="14"/>
                <w:i w:val="1"/>
                <w:iCs w:val="1"/>
                <w:color w:val="auto"/>
              </w:rPr>
              <w: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182"/>
              <w:spacing w:after="0" w:line="151" w:lineRule="exact"/>
              <w:rPr>
                <w:sz w:val="20"/>
                <w:szCs w:val="20"/>
                <w:color w:val="auto"/>
              </w:rPr>
            </w:pPr>
            <w:r>
              <w:rPr>
                <w:rFonts w:ascii="Arial" w:cs="Arial" w:eastAsia="Arial" w:hAnsi="Arial"/>
                <w:sz w:val="14"/>
                <w:szCs w:val="14"/>
                <w:i w:val="1"/>
                <w:iCs w:val="1"/>
                <w:color w:val="auto"/>
              </w:rPr>
              <w:t>% of</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63"/>
        </w:trPr>
        <w:tc>
          <w:tcPr>
            <w:tcW w:w="132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w w:val="95"/>
              </w:rPr>
              <w:t>(Dollars in thousands)</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640" w:type="dxa"/>
            <w:vAlign w:val="bottom"/>
          </w:tcPr>
          <w:p>
            <w:pPr>
              <w:jc w:val="right"/>
              <w:ind w:right="10"/>
              <w:spacing w:after="0" w:line="153" w:lineRule="exact"/>
              <w:rPr>
                <w:sz w:val="20"/>
                <w:szCs w:val="20"/>
                <w:color w:val="auto"/>
              </w:rPr>
            </w:pPr>
            <w:r>
              <w:rPr>
                <w:rFonts w:ascii="Arial" w:cs="Arial" w:eastAsia="Arial" w:hAnsi="Arial"/>
                <w:sz w:val="14"/>
                <w:szCs w:val="14"/>
                <w:i w:val="1"/>
                <w:iCs w:val="1"/>
                <w:color w:val="auto"/>
                <w:w w:val="96"/>
              </w:rPr>
              <w:t>Revenue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0"/>
              <w:spacing w:after="0" w:line="153"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720" w:type="dxa"/>
            <w:vAlign w:val="bottom"/>
            <w:gridSpan w:val="3"/>
          </w:tcPr>
          <w:p>
            <w:pPr>
              <w:jc w:val="right"/>
              <w:ind w:right="62"/>
              <w:spacing w:after="0" w:line="153" w:lineRule="exact"/>
              <w:rPr>
                <w:sz w:val="20"/>
                <w:szCs w:val="20"/>
                <w:color w:val="auto"/>
              </w:rPr>
            </w:pPr>
            <w:r>
              <w:rPr>
                <w:rFonts w:ascii="Arial" w:cs="Arial" w:eastAsia="Arial" w:hAnsi="Arial"/>
                <w:sz w:val="14"/>
                <w:szCs w:val="14"/>
                <w:i w:val="1"/>
                <w:iCs w:val="1"/>
                <w:color w:val="auto"/>
              </w:rPr>
              <w:t>Revenue</w:t>
            </w:r>
          </w:p>
        </w:tc>
        <w:tc>
          <w:tcPr>
            <w:tcW w:w="140" w:type="dxa"/>
            <w:vAlign w:val="bottom"/>
          </w:tcPr>
          <w:p>
            <w:pPr>
              <w:spacing w:after="0"/>
              <w:rPr>
                <w:sz w:val="14"/>
                <w:szCs w:val="14"/>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Inc/(Dec)</w:t>
            </w:r>
          </w:p>
        </w:tc>
        <w:tc>
          <w:tcPr>
            <w:tcW w:w="8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90"/>
              </w:rPr>
              <w:t>(Unfavorable)</w:t>
            </w:r>
          </w:p>
        </w:tc>
        <w:tc>
          <w:tcPr>
            <w:tcW w:w="0" w:type="dxa"/>
            <w:vAlign w:val="bottom"/>
          </w:tcPr>
          <w:p>
            <w:pPr>
              <w:spacing w:after="0"/>
              <w:rPr>
                <w:sz w:val="1"/>
                <w:szCs w:val="1"/>
                <w:color w:val="auto"/>
              </w:rPr>
            </w:pPr>
          </w:p>
        </w:tc>
      </w:tr>
      <w:tr>
        <w:trPr>
          <w:trHeight w:val="149"/>
        </w:trPr>
        <w:tc>
          <w:tcPr>
            <w:tcW w:w="13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REVENUE</w:t>
            </w:r>
          </w:p>
        </w:tc>
        <w:tc>
          <w:tcPr>
            <w:tcW w:w="2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w w:val="97"/>
              </w:rPr>
              <w:t>Live theatre rental and ancillary income</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563</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34%</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804</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44%</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(241)</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(30)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3" w:lineRule="exact"/>
              <w:rPr>
                <w:sz w:val="20"/>
                <w:szCs w:val="20"/>
                <w:color w:val="auto"/>
              </w:rPr>
            </w:pPr>
            <w:r>
              <w:rPr>
                <w:rFonts w:ascii="Arial" w:cs="Arial" w:eastAsia="Arial" w:hAnsi="Arial"/>
                <w:sz w:val="14"/>
                <w:szCs w:val="14"/>
                <w:color w:val="auto"/>
              </w:rPr>
              <w:t>Property rental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1,079</w:t>
            </w:r>
          </w:p>
        </w:tc>
        <w:tc>
          <w:tcPr>
            <w:tcW w:w="640" w:type="dxa"/>
            <w:vAlign w:val="bottom"/>
          </w:tcPr>
          <w:p>
            <w:pPr>
              <w:jc w:val="right"/>
              <w:ind w:right="50"/>
              <w:spacing w:after="0" w:line="153" w:lineRule="exact"/>
              <w:rPr>
                <w:sz w:val="20"/>
                <w:szCs w:val="20"/>
                <w:color w:val="auto"/>
              </w:rPr>
            </w:pPr>
            <w:r>
              <w:rPr>
                <w:rFonts w:ascii="Arial" w:cs="Arial" w:eastAsia="Arial" w:hAnsi="Arial"/>
                <w:sz w:val="14"/>
                <w:szCs w:val="14"/>
                <w:i w:val="1"/>
                <w:iCs w:val="1"/>
                <w:color w:val="auto"/>
              </w:rPr>
              <w:t>66%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1,029</w:t>
            </w:r>
          </w:p>
        </w:tc>
        <w:tc>
          <w:tcPr>
            <w:tcW w:w="720" w:type="dxa"/>
            <w:vAlign w:val="bottom"/>
            <w:gridSpan w:val="3"/>
          </w:tcPr>
          <w:p>
            <w:pPr>
              <w:jc w:val="right"/>
              <w:ind w:right="22"/>
              <w:spacing w:after="0" w:line="153" w:lineRule="exact"/>
              <w:rPr>
                <w:sz w:val="20"/>
                <w:szCs w:val="20"/>
                <w:color w:val="auto"/>
              </w:rPr>
            </w:pPr>
            <w:r>
              <w:rPr>
                <w:rFonts w:ascii="Arial" w:cs="Arial" w:eastAsia="Arial" w:hAnsi="Arial"/>
                <w:sz w:val="14"/>
                <w:szCs w:val="14"/>
                <w:i w:val="1"/>
                <w:iCs w:val="1"/>
                <w:color w:val="auto"/>
              </w:rPr>
              <w:t>56%</w:t>
            </w: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1,642</w:t>
            </w:r>
          </w:p>
        </w:tc>
        <w:tc>
          <w:tcPr>
            <w:tcW w:w="140" w:type="dxa"/>
            <w:vAlign w:val="bottom"/>
          </w:tcPr>
          <w:p>
            <w:pPr>
              <w:spacing w:after="0"/>
              <w:rPr>
                <w:sz w:val="12"/>
                <w:szCs w:val="12"/>
                <w:color w:val="auto"/>
              </w:rPr>
            </w:pPr>
          </w:p>
        </w:tc>
        <w:tc>
          <w:tcPr>
            <w:tcW w:w="640" w:type="dxa"/>
            <w:vAlign w:val="bottom"/>
          </w:tcPr>
          <w:p>
            <w:pPr>
              <w:jc w:val="right"/>
              <w:ind w:right="50"/>
              <w:spacing w:after="0" w:line="143"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1,833</w:t>
            </w:r>
          </w:p>
        </w:tc>
        <w:tc>
          <w:tcPr>
            <w:tcW w:w="140" w:type="dxa"/>
            <w:vAlign w:val="bottom"/>
          </w:tcPr>
          <w:p>
            <w:pPr>
              <w:spacing w:after="0"/>
              <w:rPr>
                <w:sz w:val="12"/>
                <w:szCs w:val="12"/>
                <w:color w:val="auto"/>
              </w:rPr>
            </w:pPr>
          </w:p>
        </w:tc>
        <w:tc>
          <w:tcPr>
            <w:tcW w:w="720" w:type="dxa"/>
            <w:vAlign w:val="bottom"/>
            <w:gridSpan w:val="3"/>
          </w:tcPr>
          <w:p>
            <w:pPr>
              <w:jc w:val="right"/>
              <w:ind w:right="22"/>
              <w:spacing w:after="0" w:line="143" w:lineRule="exact"/>
              <w:rPr>
                <w:sz w:val="20"/>
                <w:szCs w:val="20"/>
                <w:color w:val="auto"/>
              </w:rPr>
            </w:pPr>
            <w:r>
              <w:rPr>
                <w:rFonts w:ascii="Arial" w:cs="Arial" w:eastAsia="Arial" w:hAnsi="Arial"/>
                <w:sz w:val="14"/>
                <w:szCs w:val="14"/>
                <w:i w:val="1"/>
                <w:iCs w:val="1"/>
                <w:color w:val="auto"/>
              </w:rPr>
              <w:t>100%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w:t>
            </w:r>
          </w:p>
        </w:tc>
        <w:tc>
          <w:tcPr>
            <w:tcW w:w="2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Property rental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2,509</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2,999</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100%</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(490)</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New Zealand</w:t>
            </w:r>
          </w:p>
        </w:tc>
        <w:tc>
          <w:tcPr>
            <w:tcW w:w="2440" w:type="dxa"/>
            <w:vAlign w:val="bottom"/>
          </w:tcPr>
          <w:p>
            <w:pPr>
              <w:ind w:left="40"/>
              <w:spacing w:after="0" w:line="153" w:lineRule="exact"/>
              <w:rPr>
                <w:sz w:val="20"/>
                <w:szCs w:val="20"/>
                <w:color w:val="auto"/>
              </w:rPr>
            </w:pPr>
            <w:r>
              <w:rPr>
                <w:rFonts w:ascii="Arial" w:cs="Arial" w:eastAsia="Arial" w:hAnsi="Arial"/>
                <w:sz w:val="14"/>
                <w:szCs w:val="14"/>
                <w:color w:val="auto"/>
              </w:rPr>
              <w:t>Property rental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205</w:t>
            </w:r>
          </w:p>
        </w:tc>
        <w:tc>
          <w:tcPr>
            <w:tcW w:w="640" w:type="dxa"/>
            <w:vAlign w:val="bottom"/>
          </w:tcPr>
          <w:p>
            <w:pPr>
              <w:jc w:val="right"/>
              <w:ind w:right="50"/>
              <w:spacing w:after="0" w:line="153"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330</w:t>
            </w:r>
          </w:p>
        </w:tc>
        <w:tc>
          <w:tcPr>
            <w:tcW w:w="720" w:type="dxa"/>
            <w:vAlign w:val="bottom"/>
            <w:gridSpan w:val="3"/>
          </w:tcPr>
          <w:p>
            <w:pPr>
              <w:jc w:val="right"/>
              <w:ind w:right="22"/>
              <w:spacing w:after="0" w:line="153" w:lineRule="exact"/>
              <w:rPr>
                <w:sz w:val="20"/>
                <w:szCs w:val="20"/>
                <w:color w:val="auto"/>
              </w:rPr>
            </w:pPr>
            <w:r>
              <w:rPr>
                <w:rFonts w:ascii="Arial" w:cs="Arial" w:eastAsia="Arial" w:hAnsi="Arial"/>
                <w:sz w:val="14"/>
                <w:szCs w:val="14"/>
                <w:i w:val="1"/>
                <w:iCs w:val="1"/>
                <w:color w:val="auto"/>
              </w:rPr>
              <w:t>100%</w:t>
            </w: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(38)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Total revenue</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4,356</w:t>
            </w:r>
          </w:p>
        </w:tc>
        <w:tc>
          <w:tcPr>
            <w:tcW w:w="140" w:type="dxa"/>
            <w:vAlign w:val="bottom"/>
          </w:tcPr>
          <w:p>
            <w:pPr>
              <w:spacing w:after="0"/>
              <w:rPr>
                <w:sz w:val="14"/>
                <w:szCs w:val="14"/>
                <w:color w:val="auto"/>
              </w:rPr>
            </w:pP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100%</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5,162</w:t>
            </w:r>
          </w:p>
        </w:tc>
        <w:tc>
          <w:tcPr>
            <w:tcW w:w="140" w:type="dxa"/>
            <w:vAlign w:val="bottom"/>
          </w:tcPr>
          <w:p>
            <w:pPr>
              <w:spacing w:after="0"/>
              <w:rPr>
                <w:sz w:val="14"/>
                <w:szCs w:val="14"/>
                <w:color w:val="auto"/>
              </w:rPr>
            </w:pP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100%</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(806)</w:t>
            </w:r>
          </w:p>
        </w:tc>
        <w:tc>
          <w:tcPr>
            <w:tcW w:w="220" w:type="dxa"/>
            <w:vAlign w:val="bottom"/>
          </w:tcPr>
          <w:p>
            <w:pPr>
              <w:spacing w:after="0"/>
              <w:rPr>
                <w:sz w:val="14"/>
                <w:szCs w:val="14"/>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(16)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7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OPERATING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Live theater cost</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(252)</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(15)%</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(316)</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(17)</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Occupancy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(175)</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(173)</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(9)</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Utilities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(43)</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(28)</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(2)</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Cleaning and maintenance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(40)</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(68)</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(4)</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41 %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Other operating expenses</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(355)</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(22)%</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(233)</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(13)</w:t>
            </w:r>
          </w:p>
        </w:tc>
        <w:tc>
          <w:tcPr>
            <w:tcW w:w="20" w:type="dxa"/>
            <w:vAlign w:val="bottom"/>
          </w:tcPr>
          <w:p>
            <w:pPr>
              <w:spacing w:after="0"/>
              <w:rPr>
                <w:sz w:val="14"/>
                <w:szCs w:val="14"/>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122</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(52)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(865)</w:t>
            </w:r>
          </w:p>
        </w:tc>
        <w:tc>
          <w:tcPr>
            <w:tcW w:w="140" w:type="dxa"/>
            <w:vAlign w:val="bottom"/>
          </w:tcPr>
          <w:p>
            <w:pPr>
              <w:spacing w:after="0"/>
              <w:rPr>
                <w:sz w:val="11"/>
                <w:szCs w:val="11"/>
                <w:color w:val="auto"/>
              </w:rPr>
            </w:pPr>
          </w:p>
        </w:tc>
        <w:tc>
          <w:tcPr>
            <w:tcW w:w="64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(53)%</w:t>
            </w:r>
          </w:p>
        </w:tc>
        <w:tc>
          <w:tcPr>
            <w:tcW w:w="2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(818)</w:t>
            </w:r>
          </w:p>
        </w:tc>
        <w:tc>
          <w:tcPr>
            <w:tcW w:w="140" w:type="dxa"/>
            <w:vAlign w:val="bottom"/>
          </w:tcPr>
          <w:p>
            <w:pPr>
              <w:spacing w:after="0"/>
              <w:rPr>
                <w:sz w:val="11"/>
                <w:szCs w:val="11"/>
                <w:color w:val="auto"/>
              </w:rPr>
            </w:pPr>
          </w:p>
        </w:tc>
        <w:tc>
          <w:tcPr>
            <w:tcW w:w="720" w:type="dxa"/>
            <w:vAlign w:val="bottom"/>
            <w:gridSpan w:val="3"/>
          </w:tcPr>
          <w:p>
            <w:pPr>
              <w:jc w:val="right"/>
              <w:ind w:right="22"/>
              <w:spacing w:after="0" w:line="131" w:lineRule="exact"/>
              <w:rPr>
                <w:sz w:val="20"/>
                <w:szCs w:val="20"/>
                <w:color w:val="auto"/>
              </w:rPr>
            </w:pPr>
            <w:r>
              <w:rPr>
                <w:rFonts w:ascii="Arial" w:cs="Arial" w:eastAsia="Arial" w:hAnsi="Arial"/>
                <w:sz w:val="14"/>
                <w:szCs w:val="14"/>
                <w:i w:val="1"/>
                <w:iCs w:val="1"/>
                <w:color w:val="auto"/>
              </w:rPr>
              <w:t>(45)%</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Occupancy expense</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(440)</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(18)%</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(513)</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(17)</w:t>
            </w:r>
          </w:p>
        </w:tc>
        <w:tc>
          <w:tcPr>
            <w:tcW w:w="20" w:type="dxa"/>
            <w:vAlign w:val="bottom"/>
            <w:vMerge w:val="continue"/>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Labor cost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(65)</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(2)</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80 %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Utilities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(30)</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(17)</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(1)</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(76)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Cleaning and maintenance</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(219)</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(257)</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(9)</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Other operating expenses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(88)</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(230)</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(8)%</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(142)</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62 %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(790)</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(31)%</w:t>
            </w:r>
          </w:p>
        </w:tc>
        <w:tc>
          <w:tcPr>
            <w:tcW w:w="26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(1,082)</w:t>
            </w: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(36)</w:t>
            </w:r>
          </w:p>
        </w:tc>
        <w:tc>
          <w:tcPr>
            <w:tcW w:w="20" w:type="dxa"/>
            <w:vAlign w:val="bottom"/>
          </w:tcPr>
          <w:p>
            <w:pPr>
              <w:spacing w:after="0"/>
              <w:rPr>
                <w:sz w:val="13"/>
                <w:szCs w:val="13"/>
                <w:color w:val="auto"/>
              </w:rPr>
            </w:pPr>
          </w:p>
        </w:tc>
        <w:tc>
          <w:tcPr>
            <w:tcW w:w="18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(292)</w:t>
            </w: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Occupancy expense</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(72)</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(35)%</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(124)</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(38)</w:t>
            </w:r>
          </w:p>
        </w:tc>
        <w:tc>
          <w:tcPr>
            <w:tcW w:w="20" w:type="dxa"/>
            <w:vAlign w:val="bottom"/>
            <w:vMerge w:val="continue"/>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42 %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Labor cost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(5)</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(2)</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Utilities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(4)</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Cleaning and maintenance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(11)</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(3)</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1120" w:type="dxa"/>
            <w:vAlign w:val="bottom"/>
            <w:gridSpan w:val="3"/>
          </w:tcPr>
          <w:p>
            <w:pPr>
              <w:jc w:val="right"/>
              <w:ind w:right="220"/>
              <w:spacing w:after="0" w:line="151" w:lineRule="exact"/>
              <w:rPr>
                <w:sz w:val="20"/>
                <w:szCs w:val="20"/>
                <w:color w:val="auto"/>
              </w:rPr>
            </w:pPr>
            <w:r>
              <w:rPr>
                <w:rFonts w:ascii="Arial" w:cs="Arial" w:eastAsia="Arial" w:hAnsi="Arial"/>
                <w:sz w:val="14"/>
                <w:szCs w:val="14"/>
                <w:color w:val="auto"/>
              </w:rPr>
              <w:t>(11)</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100 %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Other operating expenses</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(77)</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(38)%</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(391)</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(118)</w:t>
            </w:r>
          </w:p>
        </w:tc>
        <w:tc>
          <w:tcPr>
            <w:tcW w:w="20" w:type="dxa"/>
            <w:vAlign w:val="bottom"/>
          </w:tcPr>
          <w:p>
            <w:pPr>
              <w:spacing w:after="0"/>
              <w:rPr>
                <w:sz w:val="14"/>
                <w:szCs w:val="14"/>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(314)</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(149)</w:t>
            </w:r>
          </w:p>
        </w:tc>
        <w:tc>
          <w:tcPr>
            <w:tcW w:w="140" w:type="dxa"/>
            <w:vAlign w:val="bottom"/>
          </w:tcPr>
          <w:p>
            <w:pPr>
              <w:spacing w:after="0"/>
              <w:rPr>
                <w:sz w:val="11"/>
                <w:szCs w:val="11"/>
                <w:color w:val="auto"/>
              </w:rPr>
            </w:pPr>
          </w:p>
        </w:tc>
        <w:tc>
          <w:tcPr>
            <w:tcW w:w="64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(73)%</w:t>
            </w:r>
          </w:p>
        </w:tc>
        <w:tc>
          <w:tcPr>
            <w:tcW w:w="2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(544)</w:t>
            </w:r>
          </w:p>
        </w:tc>
        <w:tc>
          <w:tcPr>
            <w:tcW w:w="140" w:type="dxa"/>
            <w:vAlign w:val="bottom"/>
          </w:tcPr>
          <w:p>
            <w:pPr>
              <w:spacing w:after="0"/>
              <w:rPr>
                <w:sz w:val="11"/>
                <w:szCs w:val="11"/>
                <w:color w:val="auto"/>
              </w:rPr>
            </w:pPr>
          </w:p>
        </w:tc>
        <w:tc>
          <w:tcPr>
            <w:tcW w:w="720" w:type="dxa"/>
            <w:vAlign w:val="bottom"/>
            <w:gridSpan w:val="3"/>
          </w:tcPr>
          <w:p>
            <w:pPr>
              <w:jc w:val="right"/>
              <w:ind w:right="22"/>
              <w:spacing w:after="0" w:line="131" w:lineRule="exact"/>
              <w:rPr>
                <w:sz w:val="20"/>
                <w:szCs w:val="20"/>
                <w:color w:val="auto"/>
              </w:rPr>
            </w:pPr>
            <w:r>
              <w:rPr>
                <w:rFonts w:ascii="Arial" w:cs="Arial" w:eastAsia="Arial" w:hAnsi="Arial"/>
                <w:sz w:val="14"/>
                <w:szCs w:val="14"/>
                <w:i w:val="1"/>
                <w:iCs w:val="1"/>
                <w:color w:val="auto"/>
              </w:rPr>
              <w:t>(165)%</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(395)</w:t>
            </w:r>
          </w:p>
        </w:tc>
        <w:tc>
          <w:tcPr>
            <w:tcW w:w="2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73 %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4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Total operating expense</w:t>
            </w:r>
          </w:p>
        </w:tc>
        <w:tc>
          <w:tcPr>
            <w:tcW w:w="14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(1,804)</w:t>
            </w:r>
          </w:p>
        </w:tc>
        <w:tc>
          <w:tcPr>
            <w:tcW w:w="140" w:type="dxa"/>
            <w:vAlign w:val="bottom"/>
          </w:tcPr>
          <w:p>
            <w:pPr>
              <w:spacing w:after="0"/>
              <w:rPr>
                <w:sz w:val="13"/>
                <w:szCs w:val="13"/>
                <w:color w:val="auto"/>
              </w:rPr>
            </w:pPr>
          </w:p>
        </w:tc>
        <w:tc>
          <w:tcPr>
            <w:tcW w:w="640" w:type="dxa"/>
            <w:vAlign w:val="bottom"/>
          </w:tcPr>
          <w:p>
            <w:pPr>
              <w:jc w:val="right"/>
              <w:ind w:right="50"/>
              <w:spacing w:after="0" w:line="141" w:lineRule="exact"/>
              <w:rPr>
                <w:sz w:val="20"/>
                <w:szCs w:val="20"/>
                <w:color w:val="auto"/>
              </w:rPr>
            </w:pPr>
            <w:r>
              <w:rPr>
                <w:rFonts w:ascii="Arial" w:cs="Arial" w:eastAsia="Arial" w:hAnsi="Arial"/>
                <w:sz w:val="14"/>
                <w:szCs w:val="14"/>
                <w:i w:val="1"/>
                <w:iCs w:val="1"/>
                <w:color w:val="auto"/>
              </w:rPr>
              <w:t>(41)%</w:t>
            </w:r>
          </w:p>
        </w:tc>
        <w:tc>
          <w:tcPr>
            <w:tcW w:w="14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(2,444)</w:t>
            </w:r>
          </w:p>
        </w:tc>
        <w:tc>
          <w:tcPr>
            <w:tcW w:w="140" w:type="dxa"/>
            <w:vAlign w:val="bottom"/>
          </w:tcPr>
          <w:p>
            <w:pPr>
              <w:spacing w:after="0"/>
              <w:rPr>
                <w:sz w:val="13"/>
                <w:szCs w:val="13"/>
                <w:color w:val="auto"/>
              </w:rPr>
            </w:pPr>
          </w:p>
        </w:tc>
        <w:tc>
          <w:tcPr>
            <w:tcW w:w="720" w:type="dxa"/>
            <w:vAlign w:val="bottom"/>
            <w:gridSpan w:val="3"/>
          </w:tcPr>
          <w:p>
            <w:pPr>
              <w:jc w:val="right"/>
              <w:ind w:right="22"/>
              <w:spacing w:after="0" w:line="141" w:lineRule="exact"/>
              <w:rPr>
                <w:sz w:val="20"/>
                <w:szCs w:val="20"/>
                <w:color w:val="auto"/>
              </w:rPr>
            </w:pPr>
            <w:r>
              <w:rPr>
                <w:rFonts w:ascii="Arial" w:cs="Arial" w:eastAsia="Arial" w:hAnsi="Arial"/>
                <w:sz w:val="14"/>
                <w:szCs w:val="14"/>
                <w:i w:val="1"/>
                <w:iCs w:val="1"/>
                <w:color w:val="auto"/>
              </w:rPr>
              <w:t>(47)%</w:t>
            </w:r>
          </w:p>
        </w:tc>
        <w:tc>
          <w:tcPr>
            <w:tcW w:w="9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3"/>
                <w:szCs w:val="13"/>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DEPRECIATION, AMORTIZATION, GENERAL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ADMINISTRATIVE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United States</w:t>
            </w: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Depreciation and amortization</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(509)</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(32)%</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(539)</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(30)</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General and administrative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(166)</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(192)</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(10)%</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(675)</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(41)%</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(731)</w:t>
            </w: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(40)</w:t>
            </w:r>
          </w:p>
        </w:tc>
        <w:tc>
          <w:tcPr>
            <w:tcW w:w="20" w:type="dxa"/>
            <w:vAlign w:val="bottom"/>
          </w:tcPr>
          <w:p>
            <w:pPr>
              <w:spacing w:after="0"/>
              <w:rPr>
                <w:sz w:val="13"/>
                <w:szCs w:val="13"/>
                <w:color w:val="auto"/>
              </w:rPr>
            </w:pPr>
          </w:p>
        </w:tc>
        <w:tc>
          <w:tcPr>
            <w:tcW w:w="18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tcBorders>
              <w:top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(56)</w:t>
            </w: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Depreciation and amortization</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(407)</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(16)%</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(459)</w:t>
            </w:r>
          </w:p>
        </w:tc>
        <w:tc>
          <w:tcPr>
            <w:tcW w:w="520" w:type="dxa"/>
            <w:vAlign w:val="bottom"/>
          </w:tcPr>
          <w:p>
            <w:pPr>
              <w:jc w:val="right"/>
              <w:spacing w:after="0" w:line="151" w:lineRule="exact"/>
              <w:rPr>
                <w:sz w:val="20"/>
                <w:szCs w:val="20"/>
                <w:color w:val="auto"/>
              </w:rPr>
            </w:pPr>
            <w:r>
              <w:rPr>
                <w:rFonts w:ascii="Arial" w:cs="Arial" w:eastAsia="Arial" w:hAnsi="Arial"/>
                <w:sz w:val="14"/>
                <w:szCs w:val="14"/>
                <w:i w:val="1"/>
                <w:iCs w:val="1"/>
                <w:color w:val="auto"/>
              </w:rPr>
              <w:t>(15)</w:t>
            </w:r>
          </w:p>
        </w:tc>
        <w:tc>
          <w:tcPr>
            <w:tcW w:w="2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11 %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General and administrative expense</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45</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2%</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(0)</w:t>
            </w:r>
          </w:p>
        </w:tc>
        <w:tc>
          <w:tcPr>
            <w:tcW w:w="20" w:type="dxa"/>
            <w:vAlign w:val="bottom"/>
          </w:tcPr>
          <w:p>
            <w:pPr>
              <w:spacing w:after="0"/>
              <w:rPr>
                <w:sz w:val="14"/>
                <w:szCs w:val="14"/>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tcBorders>
              <w:bottom w:val="single" w:sz="8" w:color="CCEEFF"/>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(51)</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&gt;100 %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(362)</w:t>
            </w:r>
          </w:p>
        </w:tc>
        <w:tc>
          <w:tcPr>
            <w:tcW w:w="140" w:type="dxa"/>
            <w:vAlign w:val="bottom"/>
          </w:tcPr>
          <w:p>
            <w:pPr>
              <w:spacing w:after="0"/>
              <w:rPr>
                <w:sz w:val="11"/>
                <w:szCs w:val="11"/>
                <w:color w:val="auto"/>
              </w:rPr>
            </w:pPr>
          </w:p>
        </w:tc>
        <w:tc>
          <w:tcPr>
            <w:tcW w:w="640" w:type="dxa"/>
            <w:vAlign w:val="bottom"/>
          </w:tcPr>
          <w:p>
            <w:pPr>
              <w:jc w:val="right"/>
              <w:ind w:right="50"/>
              <w:spacing w:after="0" w:line="131" w:lineRule="exact"/>
              <w:rPr>
                <w:sz w:val="20"/>
                <w:szCs w:val="20"/>
                <w:color w:val="auto"/>
              </w:rPr>
            </w:pPr>
            <w:r>
              <w:rPr>
                <w:rFonts w:ascii="Arial" w:cs="Arial" w:eastAsia="Arial" w:hAnsi="Arial"/>
                <w:sz w:val="14"/>
                <w:szCs w:val="14"/>
                <w:i w:val="1"/>
                <w:iCs w:val="1"/>
                <w:color w:val="auto"/>
              </w:rPr>
              <w:t>(14)%</w:t>
            </w:r>
          </w:p>
        </w:tc>
        <w:tc>
          <w:tcPr>
            <w:tcW w:w="140" w:type="dxa"/>
            <w:vAlign w:val="bottom"/>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(465)</w:t>
            </w:r>
          </w:p>
        </w:tc>
        <w:tc>
          <w:tcPr>
            <w:tcW w:w="140" w:type="dxa"/>
            <w:vAlign w:val="bottom"/>
          </w:tcPr>
          <w:p>
            <w:pPr>
              <w:spacing w:after="0"/>
              <w:rPr>
                <w:sz w:val="11"/>
                <w:szCs w:val="11"/>
                <w:color w:val="auto"/>
              </w:rPr>
            </w:pPr>
          </w:p>
        </w:tc>
        <w:tc>
          <w:tcPr>
            <w:tcW w:w="720" w:type="dxa"/>
            <w:vAlign w:val="bottom"/>
            <w:gridSpan w:val="3"/>
          </w:tcPr>
          <w:p>
            <w:pPr>
              <w:jc w:val="right"/>
              <w:ind w:right="22"/>
              <w:spacing w:after="0" w:line="131" w:lineRule="exact"/>
              <w:rPr>
                <w:sz w:val="20"/>
                <w:szCs w:val="20"/>
                <w:color w:val="auto"/>
              </w:rPr>
            </w:pPr>
            <w:r>
              <w:rPr>
                <w:rFonts w:ascii="Arial" w:cs="Arial" w:eastAsia="Arial" w:hAnsi="Arial"/>
                <w:sz w:val="14"/>
                <w:szCs w:val="14"/>
                <w:i w:val="1"/>
                <w:iCs w:val="1"/>
                <w:color w:val="auto"/>
              </w:rPr>
              <w:t>(16)%</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22 %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b w:val="1"/>
                <w:bCs w:val="1"/>
                <w:color w:val="auto"/>
              </w:rPr>
              <w:t>New Zealand</w:t>
            </w:r>
          </w:p>
        </w:tc>
        <w:tc>
          <w:tcPr>
            <w:tcW w:w="24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Depreciation and amortization</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(58)</w:t>
            </w:r>
          </w:p>
        </w:tc>
        <w:tc>
          <w:tcPr>
            <w:tcW w:w="64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i w:val="1"/>
                <w:iCs w:val="1"/>
                <w:color w:val="auto"/>
              </w:rPr>
              <w:t>(28)%</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(77)</w:t>
            </w: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i w:val="1"/>
                <w:iCs w:val="1"/>
                <w:color w:val="auto"/>
              </w:rPr>
              <w:t>(23)</w:t>
            </w:r>
          </w:p>
        </w:tc>
        <w:tc>
          <w:tcPr>
            <w:tcW w:w="20" w:type="dxa"/>
            <w:vAlign w:val="bottom"/>
          </w:tcPr>
          <w:p>
            <w:pPr>
              <w:spacing w:after="0"/>
              <w:rPr>
                <w:sz w:val="13"/>
                <w:szCs w:val="13"/>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2"/>
                <w:szCs w:val="12"/>
                <w:i w:val="1"/>
                <w:iCs w:val="1"/>
                <w:color w:val="auto"/>
                <w:w w:val="74"/>
              </w:rPr>
              <w:t>%</w:t>
            </w:r>
          </w:p>
        </w:tc>
        <w:tc>
          <w:tcPr>
            <w:tcW w:w="9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25 %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ind w:left="40"/>
              <w:spacing w:after="0" w:line="151" w:lineRule="exact"/>
              <w:rPr>
                <w:sz w:val="20"/>
                <w:szCs w:val="20"/>
                <w:color w:val="auto"/>
              </w:rPr>
            </w:pPr>
            <w:r>
              <w:rPr>
                <w:rFonts w:ascii="Arial" w:cs="Arial" w:eastAsia="Arial" w:hAnsi="Arial"/>
                <w:sz w:val="14"/>
                <w:szCs w:val="14"/>
                <w:color w:val="auto"/>
              </w:rPr>
              <w:t>General and administrative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(59)</w:t>
            </w:r>
          </w:p>
        </w:tc>
        <w:tc>
          <w:tcPr>
            <w:tcW w:w="140" w:type="dxa"/>
            <w:vAlign w:val="bottom"/>
          </w:tcPr>
          <w:p>
            <w:pPr>
              <w:spacing w:after="0"/>
              <w:rPr>
                <w:sz w:val="13"/>
                <w:szCs w:val="13"/>
                <w:color w:val="auto"/>
              </w:rPr>
            </w:pP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(29)%</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(77)</w:t>
            </w:r>
          </w:p>
        </w:tc>
        <w:tc>
          <w:tcPr>
            <w:tcW w:w="140" w:type="dxa"/>
            <w:vAlign w:val="bottom"/>
          </w:tcPr>
          <w:p>
            <w:pPr>
              <w:spacing w:after="0"/>
              <w:rPr>
                <w:sz w:val="13"/>
                <w:szCs w:val="13"/>
                <w:color w:val="auto"/>
              </w:rPr>
            </w:pP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(23)%</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23 %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depreciation, amortization, and general and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(1,096)</w:t>
            </w:r>
          </w:p>
        </w:tc>
        <w:tc>
          <w:tcPr>
            <w:tcW w:w="640" w:type="dxa"/>
            <w:vAlign w:val="bottom"/>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(1,273)</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ind w:left="120"/>
              <w:spacing w:after="0" w:line="138" w:lineRule="exact"/>
              <w:rPr>
                <w:sz w:val="20"/>
                <w:szCs w:val="20"/>
                <w:color w:val="auto"/>
              </w:rPr>
            </w:pPr>
            <w:r>
              <w:rPr>
                <w:rFonts w:ascii="Arial" w:cs="Arial" w:eastAsia="Arial" w:hAnsi="Arial"/>
                <w:sz w:val="14"/>
                <w:szCs w:val="14"/>
                <w:b w:val="1"/>
                <w:bCs w:val="1"/>
                <w:color w:val="auto"/>
              </w:rPr>
              <w:t>administrative expense</w:t>
            </w:r>
          </w:p>
        </w:tc>
        <w:tc>
          <w:tcPr>
            <w:tcW w:w="2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tcPr>
          <w:p>
            <w:pPr>
              <w:jc w:val="right"/>
              <w:ind w:right="50"/>
              <w:spacing w:after="0" w:line="138" w:lineRule="exact"/>
              <w:rPr>
                <w:sz w:val="20"/>
                <w:szCs w:val="20"/>
                <w:color w:val="auto"/>
              </w:rPr>
            </w:pPr>
            <w:r>
              <w:rPr>
                <w:rFonts w:ascii="Arial" w:cs="Arial" w:eastAsia="Arial" w:hAnsi="Arial"/>
                <w:sz w:val="14"/>
                <w:szCs w:val="14"/>
                <w:i w:val="1"/>
                <w:iCs w:val="1"/>
                <w:color w:val="auto"/>
              </w:rPr>
              <w:t>(25)%</w:t>
            </w:r>
          </w:p>
        </w:tc>
        <w:tc>
          <w:tcPr>
            <w:tcW w:w="2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3"/>
          </w:tcPr>
          <w:p>
            <w:pPr>
              <w:jc w:val="right"/>
              <w:ind w:right="22"/>
              <w:spacing w:after="0" w:line="138" w:lineRule="exact"/>
              <w:rPr>
                <w:sz w:val="20"/>
                <w:szCs w:val="20"/>
                <w:color w:val="auto"/>
              </w:rPr>
            </w:pPr>
            <w:r>
              <w:rPr>
                <w:rFonts w:ascii="Arial" w:cs="Arial" w:eastAsia="Arial" w:hAnsi="Arial"/>
                <w:sz w:val="14"/>
                <w:szCs w:val="14"/>
                <w:i w:val="1"/>
                <w:iCs w:val="1"/>
                <w:color w:val="auto"/>
              </w:rPr>
              <w:t>(25)%</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w:t>
            </w:r>
          </w:p>
        </w:tc>
        <w:tc>
          <w:tcPr>
            <w:tcW w:w="220" w:type="dxa"/>
            <w:vAlign w:val="bottom"/>
          </w:tcPr>
          <w:p>
            <w:pPr>
              <w:spacing w:after="0"/>
              <w:rPr>
                <w:sz w:val="12"/>
                <w:szCs w:val="12"/>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(2,900)</w:t>
            </w:r>
          </w:p>
        </w:tc>
        <w:tc>
          <w:tcPr>
            <w:tcW w:w="640" w:type="dxa"/>
            <w:vAlign w:val="bottom"/>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(3,717)</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tcPr>
          <w:p>
            <w:pPr>
              <w:ind w:left="120"/>
              <w:spacing w:after="0" w:line="138" w:lineRule="exact"/>
              <w:rPr>
                <w:sz w:val="20"/>
                <w:szCs w:val="20"/>
                <w:color w:val="auto"/>
              </w:rPr>
            </w:pPr>
            <w:r>
              <w:rPr>
                <w:rFonts w:ascii="Arial" w:cs="Arial" w:eastAsia="Arial" w:hAnsi="Arial"/>
                <w:sz w:val="14"/>
                <w:szCs w:val="14"/>
                <w:b w:val="1"/>
                <w:bCs w:val="1"/>
                <w:color w:val="auto"/>
              </w:rPr>
              <w:t>expenses</w:t>
            </w:r>
          </w:p>
        </w:tc>
        <w:tc>
          <w:tcPr>
            <w:tcW w:w="244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tcPr>
          <w:p>
            <w:pPr>
              <w:jc w:val="right"/>
              <w:ind w:right="50"/>
              <w:spacing w:after="0" w:line="138" w:lineRule="exact"/>
              <w:rPr>
                <w:sz w:val="20"/>
                <w:szCs w:val="20"/>
                <w:color w:val="auto"/>
              </w:rPr>
            </w:pPr>
            <w:r>
              <w:rPr>
                <w:rFonts w:ascii="Arial" w:cs="Arial" w:eastAsia="Arial" w:hAnsi="Arial"/>
                <w:sz w:val="14"/>
                <w:szCs w:val="14"/>
                <w:i w:val="1"/>
                <w:iCs w:val="1"/>
                <w:color w:val="auto"/>
              </w:rPr>
              <w:t>(67)%</w:t>
            </w:r>
          </w:p>
        </w:tc>
        <w:tc>
          <w:tcPr>
            <w:tcW w:w="2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3"/>
          </w:tcPr>
          <w:p>
            <w:pPr>
              <w:jc w:val="right"/>
              <w:ind w:right="22"/>
              <w:spacing w:after="0" w:line="138" w:lineRule="exact"/>
              <w:rPr>
                <w:sz w:val="20"/>
                <w:szCs w:val="20"/>
                <w:color w:val="auto"/>
              </w:rPr>
            </w:pPr>
            <w:r>
              <w:rPr>
                <w:rFonts w:ascii="Arial" w:cs="Arial" w:eastAsia="Arial" w:hAnsi="Arial"/>
                <w:sz w:val="14"/>
                <w:szCs w:val="14"/>
                <w:i w:val="1"/>
                <w:iCs w:val="1"/>
                <w:color w:val="auto"/>
              </w:rPr>
              <w:t>(72)%</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(817)</w:t>
            </w:r>
          </w:p>
        </w:tc>
        <w:tc>
          <w:tcPr>
            <w:tcW w:w="220" w:type="dxa"/>
            <w:vAlign w:val="bottom"/>
          </w:tcPr>
          <w:p>
            <w:pPr>
              <w:spacing w:after="0"/>
              <w:rPr>
                <w:sz w:val="12"/>
                <w:szCs w:val="12"/>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22 %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74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OPERATING INCOME (LOSS)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United States</w:t>
            </w:r>
          </w:p>
        </w:tc>
        <w:tc>
          <w:tcPr>
            <w:tcW w:w="24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640" w:type="dxa"/>
            <w:vAlign w:val="bottom"/>
          </w:tcPr>
          <w:p>
            <w:pPr>
              <w:jc w:val="right"/>
              <w:ind w:right="50"/>
              <w:spacing w:after="0" w:line="149" w:lineRule="exact"/>
              <w:rPr>
                <w:sz w:val="20"/>
                <w:szCs w:val="20"/>
                <w:color w:val="auto"/>
              </w:rPr>
            </w:pPr>
            <w:r>
              <w:rPr>
                <w:rFonts w:ascii="Arial" w:cs="Arial" w:eastAsia="Arial" w:hAnsi="Arial"/>
                <w:sz w:val="14"/>
                <w:szCs w:val="14"/>
                <w:i w:val="1"/>
                <w:iCs w:val="1"/>
                <w:color w:val="auto"/>
              </w:rPr>
              <w:t>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720" w:type="dxa"/>
            <w:vAlign w:val="bottom"/>
            <w:gridSpan w:val="3"/>
          </w:tcPr>
          <w:p>
            <w:pPr>
              <w:jc w:val="right"/>
              <w:ind w:right="22"/>
              <w:spacing w:after="0" w:line="149" w:lineRule="exact"/>
              <w:rPr>
                <w:sz w:val="20"/>
                <w:szCs w:val="20"/>
                <w:color w:val="auto"/>
              </w:rPr>
            </w:pPr>
            <w:r>
              <w:rPr>
                <w:rFonts w:ascii="Arial" w:cs="Arial" w:eastAsia="Arial" w:hAnsi="Arial"/>
                <w:sz w:val="14"/>
                <w:szCs w:val="14"/>
                <w:i w:val="1"/>
                <w:iCs w:val="1"/>
                <w:color w:val="auto"/>
              </w:rPr>
              <w:t>15%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Australia</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1,357</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54%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1,452</w:t>
            </w: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48%</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New Zealand</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(3)</w:t>
            </w:r>
          </w:p>
        </w:tc>
        <w:tc>
          <w:tcPr>
            <w:tcW w:w="640" w:type="dxa"/>
            <w:vAlign w:val="bottom"/>
          </w:tcPr>
          <w:p>
            <w:pPr>
              <w:jc w:val="right"/>
              <w:ind w:right="50"/>
              <w:spacing w:after="0" w:line="153" w:lineRule="exact"/>
              <w:rPr>
                <w:sz w:val="20"/>
                <w:szCs w:val="20"/>
                <w:color w:val="auto"/>
              </w:rPr>
            </w:pPr>
            <w:r>
              <w:rPr>
                <w:rFonts w:ascii="Arial" w:cs="Arial" w:eastAsia="Arial" w:hAnsi="Arial"/>
                <w:sz w:val="14"/>
                <w:szCs w:val="14"/>
                <w:i w:val="1"/>
                <w:iCs w:val="1"/>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(291)</w:t>
            </w:r>
          </w:p>
        </w:tc>
        <w:tc>
          <w:tcPr>
            <w:tcW w:w="720" w:type="dxa"/>
            <w:vAlign w:val="bottom"/>
            <w:gridSpan w:val="3"/>
          </w:tcPr>
          <w:p>
            <w:pPr>
              <w:jc w:val="right"/>
              <w:ind w:right="22"/>
              <w:spacing w:after="0" w:line="153" w:lineRule="exact"/>
              <w:rPr>
                <w:sz w:val="20"/>
                <w:szCs w:val="20"/>
                <w:color w:val="auto"/>
              </w:rPr>
            </w:pPr>
            <w:r>
              <w:rPr>
                <w:rFonts w:ascii="Arial" w:cs="Arial" w:eastAsia="Arial" w:hAnsi="Arial"/>
                <w:sz w:val="14"/>
                <w:szCs w:val="14"/>
                <w:i w:val="1"/>
                <w:iCs w:val="1"/>
                <w:color w:val="auto"/>
              </w:rPr>
              <w:t>(88)%</w:t>
            </w: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288</w:t>
            </w:r>
          </w:p>
        </w:tc>
        <w:tc>
          <w:tcPr>
            <w:tcW w:w="220" w:type="dxa"/>
            <w:vAlign w:val="bottom"/>
          </w:tcPr>
          <w:p>
            <w:pPr>
              <w:spacing w:after="0"/>
              <w:rPr>
                <w:sz w:val="14"/>
                <w:szCs w:val="14"/>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99 %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40" w:type="dxa"/>
            <w:vAlign w:val="bottom"/>
            <w:gridSpan w:val="2"/>
          </w:tcPr>
          <w:p>
            <w:pPr>
              <w:ind w:left="120"/>
              <w:spacing w:after="0" w:line="151" w:lineRule="exact"/>
              <w:rPr>
                <w:sz w:val="20"/>
                <w:szCs w:val="20"/>
                <w:color w:val="auto"/>
              </w:rPr>
            </w:pPr>
            <w:r>
              <w:rPr>
                <w:rFonts w:ascii="Arial" w:cs="Arial" w:eastAsia="Arial" w:hAnsi="Arial"/>
                <w:sz w:val="14"/>
                <w:szCs w:val="14"/>
                <w:b w:val="1"/>
                <w:bCs w:val="1"/>
                <w:color w:val="auto"/>
              </w:rPr>
              <w:t>Total operating income (loss)</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1,456</w:t>
            </w:r>
          </w:p>
        </w:tc>
        <w:tc>
          <w:tcPr>
            <w:tcW w:w="140" w:type="dxa"/>
            <w:vAlign w:val="bottom"/>
          </w:tcPr>
          <w:p>
            <w:pPr>
              <w:spacing w:after="0"/>
              <w:rPr>
                <w:sz w:val="15"/>
                <w:szCs w:val="15"/>
                <w:color w:val="auto"/>
              </w:rPr>
            </w:pP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i w:val="1"/>
                <w:iCs w:val="1"/>
                <w:color w:val="auto"/>
              </w:rPr>
              <w:t>33%</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1,445</w:t>
            </w:r>
          </w:p>
        </w:tc>
        <w:tc>
          <w:tcPr>
            <w:tcW w:w="140" w:type="dxa"/>
            <w:vAlign w:val="bottom"/>
          </w:tcPr>
          <w:p>
            <w:pPr>
              <w:spacing w:after="0"/>
              <w:rPr>
                <w:sz w:val="15"/>
                <w:szCs w:val="15"/>
                <w:color w:val="auto"/>
              </w:rPr>
            </w:pPr>
          </w:p>
        </w:tc>
        <w:tc>
          <w:tcPr>
            <w:tcW w:w="720" w:type="dxa"/>
            <w:vAlign w:val="bottom"/>
            <w:gridSpan w:val="3"/>
          </w:tcPr>
          <w:p>
            <w:pPr>
              <w:jc w:val="right"/>
              <w:ind w:right="22"/>
              <w:spacing w:after="0" w:line="151" w:lineRule="exact"/>
              <w:rPr>
                <w:sz w:val="20"/>
                <w:szCs w:val="20"/>
                <w:color w:val="auto"/>
              </w:rPr>
            </w:pPr>
            <w:r>
              <w:rPr>
                <w:rFonts w:ascii="Arial" w:cs="Arial" w:eastAsia="Arial" w:hAnsi="Arial"/>
                <w:sz w:val="14"/>
                <w:szCs w:val="14"/>
                <w:i w:val="1"/>
                <w:iCs w:val="1"/>
                <w:color w:val="auto"/>
              </w:rPr>
              <w:t>28%</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-5431790</wp:posOffset>
            </wp:positionV>
            <wp:extent cx="335280" cy="95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335280" cy="9588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-5431790</wp:posOffset>
            </wp:positionV>
            <wp:extent cx="108585" cy="95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108585" cy="9588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-5233035</wp:posOffset>
            </wp:positionV>
            <wp:extent cx="335280" cy="102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335280" cy="10223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-5233035</wp:posOffset>
            </wp:positionV>
            <wp:extent cx="108585" cy="102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108585" cy="10223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-5034915</wp:posOffset>
            </wp:positionV>
            <wp:extent cx="335280" cy="102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335280" cy="10223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-5034915</wp:posOffset>
            </wp:positionV>
            <wp:extent cx="108585" cy="102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108585" cy="10223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-1343025</wp:posOffset>
            </wp:positionV>
            <wp:extent cx="335280" cy="102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335280" cy="10223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-1343025</wp:posOffset>
            </wp:positionV>
            <wp:extent cx="108585" cy="102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108585" cy="10223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-1134745</wp:posOffset>
            </wp:positionV>
            <wp:extent cx="335280" cy="191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335280" cy="19177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-1134745</wp:posOffset>
            </wp:positionV>
            <wp:extent cx="108585" cy="191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108585" cy="19177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-828040</wp:posOffset>
            </wp:positionV>
            <wp:extent cx="335280" cy="191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335280" cy="19177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-828040</wp:posOffset>
            </wp:positionV>
            <wp:extent cx="108585" cy="191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108585" cy="19177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-338455</wp:posOffset>
            </wp:positionV>
            <wp:extent cx="335280" cy="95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335280" cy="9588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-338455</wp:posOffset>
            </wp:positionV>
            <wp:extent cx="108585" cy="95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108585" cy="9588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335280"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335280" cy="12128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-136525</wp:posOffset>
            </wp:positionV>
            <wp:extent cx="108585"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108585" cy="12128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Segment Operating Income</w:t>
      </w:r>
    </w:p>
    <w:p>
      <w:pPr>
        <w:spacing w:after="0" w:line="212" w:lineRule="exact"/>
        <w:rPr>
          <w:sz w:val="20"/>
          <w:szCs w:val="20"/>
          <w:color w:val="auto"/>
        </w:rPr>
      </w:pPr>
    </w:p>
    <w:p>
      <w:pPr>
        <w:jc w:val="both"/>
        <w:ind w:right="140"/>
        <w:spacing w:after="0" w:line="238" w:lineRule="auto"/>
        <w:rPr>
          <w:sz w:val="20"/>
          <w:szCs w:val="20"/>
          <w:color w:val="auto"/>
        </w:rPr>
      </w:pPr>
      <w:r>
        <w:rPr>
          <w:rFonts w:ascii="Arial" w:cs="Arial" w:eastAsia="Arial" w:hAnsi="Arial"/>
          <w:sz w:val="19"/>
          <w:szCs w:val="19"/>
          <w:color w:val="auto"/>
        </w:rPr>
        <w:t>Real estate segment operating income was $5.9 million for the year ended December 31, 2025, which was an increase of $1.2 million from an operating income of $4.7 million for the year ended December 31, 2024, primarily as a result of (i) increased revenue for the US properties including live theatres, (ii) lower operating expense in Australia and New Zealand from sale of Courtenay Central and Cannon Park properties, and (iii) lower depreciation and amortization expense in all three countries. Partially offset by the decrease of revenue from Australia and New Zealand from sale of Courtenay Central and Cannon Park properties.</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80"/>
          </w:cols>
          <w:pgMar w:left="1260" w:top="134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80"/>
          </w:cols>
          <w:pgMar w:left="1260" w:top="1347" w:right="1166"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is the revenue breakdown by country for each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2025 vs. 2024</w:t>
            </w:r>
          </w:p>
        </w:tc>
      </w:tr>
      <w:tr>
        <w:trPr>
          <w:trHeight w:val="173"/>
        </w:trPr>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80"/>
              <w:spacing w:after="0" w:line="173" w:lineRule="exact"/>
              <w:rPr>
                <w:sz w:val="20"/>
                <w:szCs w:val="20"/>
                <w:color w:val="auto"/>
              </w:rPr>
            </w:pPr>
            <w:r>
              <w:rPr>
                <w:rFonts w:ascii="Arial" w:cs="Arial" w:eastAsia="Arial" w:hAnsi="Arial"/>
                <w:sz w:val="16"/>
                <w:szCs w:val="16"/>
                <w:i w:val="1"/>
                <w:iCs w:val="1"/>
                <w:color w:val="auto"/>
                <w:w w:val="93"/>
              </w:rPr>
              <w:t>% of</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60"/>
              <w:spacing w:after="0" w:line="173" w:lineRule="exact"/>
              <w:rPr>
                <w:sz w:val="20"/>
                <w:szCs w:val="20"/>
                <w:color w:val="auto"/>
              </w:rPr>
            </w:pPr>
            <w:r>
              <w:rPr>
                <w:rFonts w:ascii="Arial" w:cs="Arial" w:eastAsia="Arial" w:hAnsi="Arial"/>
                <w:sz w:val="16"/>
                <w:szCs w:val="16"/>
                <w:i w:val="1"/>
                <w:iCs w:val="1"/>
                <w:color w:val="auto"/>
                <w:w w:val="93"/>
              </w:rPr>
              <w:t>% of</w:t>
            </w:r>
          </w:p>
        </w:tc>
        <w:tc>
          <w:tcPr>
            <w:tcW w:w="10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Favorable/</w:t>
            </w:r>
          </w:p>
        </w:tc>
      </w:tr>
      <w:tr>
        <w:trPr>
          <w:trHeight w:val="185"/>
        </w:trPr>
        <w:tc>
          <w:tcPr>
            <w:tcW w:w="462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6"/>
                <w:szCs w:val="16"/>
                <w:color w:val="auto"/>
              </w:rPr>
            </w:pPr>
          </w:p>
        </w:tc>
        <w:tc>
          <w:tcPr>
            <w:tcW w:w="720" w:type="dxa"/>
            <w:vAlign w:val="bottom"/>
          </w:tcPr>
          <w:p>
            <w:pPr>
              <w:jc w:val="right"/>
              <w:ind w:right="220"/>
              <w:spacing w:after="0" w:line="175"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860" w:type="dxa"/>
            <w:vAlign w:val="bottom"/>
            <w:gridSpan w:val="2"/>
          </w:tcPr>
          <w:p>
            <w:pPr>
              <w:jc w:val="center"/>
              <w:ind w:right="80"/>
              <w:spacing w:after="0" w:line="175" w:lineRule="exact"/>
              <w:rPr>
                <w:sz w:val="20"/>
                <w:szCs w:val="20"/>
                <w:color w:val="auto"/>
              </w:rPr>
            </w:pPr>
            <w:r>
              <w:rPr>
                <w:rFonts w:ascii="Arial" w:cs="Arial" w:eastAsia="Arial" w:hAnsi="Arial"/>
                <w:sz w:val="16"/>
                <w:szCs w:val="16"/>
                <w:i w:val="1"/>
                <w:iCs w:val="1"/>
                <w:color w:val="auto"/>
                <w:w w:val="84"/>
              </w:rPr>
              <w:t>Revenue</w:t>
            </w:r>
          </w:p>
        </w:tc>
        <w:tc>
          <w:tcPr>
            <w:tcW w:w="200" w:type="dxa"/>
            <w:vAlign w:val="bottom"/>
          </w:tcPr>
          <w:p>
            <w:pPr>
              <w:spacing w:after="0"/>
              <w:rPr>
                <w:sz w:val="16"/>
                <w:szCs w:val="16"/>
                <w:color w:val="auto"/>
              </w:rPr>
            </w:pPr>
          </w:p>
        </w:tc>
        <w:tc>
          <w:tcPr>
            <w:tcW w:w="720" w:type="dxa"/>
            <w:vAlign w:val="bottom"/>
          </w:tcPr>
          <w:p>
            <w:pPr>
              <w:jc w:val="right"/>
              <w:ind w:right="220"/>
              <w:spacing w:after="0" w:line="175" w:lineRule="exact"/>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880" w:type="dxa"/>
            <w:vAlign w:val="bottom"/>
            <w:gridSpan w:val="2"/>
          </w:tcPr>
          <w:p>
            <w:pPr>
              <w:jc w:val="center"/>
              <w:ind w:right="60"/>
              <w:spacing w:after="0" w:line="175" w:lineRule="exact"/>
              <w:rPr>
                <w:sz w:val="20"/>
                <w:szCs w:val="20"/>
                <w:color w:val="auto"/>
              </w:rPr>
            </w:pPr>
            <w:r>
              <w:rPr>
                <w:rFonts w:ascii="Arial" w:cs="Arial" w:eastAsia="Arial" w:hAnsi="Arial"/>
                <w:sz w:val="16"/>
                <w:szCs w:val="16"/>
                <w:i w:val="1"/>
                <w:iCs w:val="1"/>
                <w:color w:val="auto"/>
                <w:w w:val="84"/>
              </w:rPr>
              <w:t>Revenue</w:t>
            </w:r>
          </w:p>
        </w:tc>
        <w:tc>
          <w:tcPr>
            <w:tcW w:w="10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(Unfavorable)</w:t>
            </w:r>
          </w:p>
        </w:tc>
      </w:tr>
      <w:tr>
        <w:trPr>
          <w:trHeight w:val="173"/>
        </w:trPr>
        <w:tc>
          <w:tcPr>
            <w:tcW w:w="454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6"/>
                <w:szCs w:val="16"/>
                <w:color w:val="auto"/>
              </w:rPr>
              <w:t>United States</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tcPr>
          <w:p>
            <w:pPr>
              <w:jc w:val="right"/>
              <w:ind w:right="26"/>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color w:val="auto"/>
              </w:rPr>
              <w:t>6,881</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20"/>
              <w:spacing w:after="0" w:line="171" w:lineRule="exact"/>
              <w:rPr>
                <w:sz w:val="20"/>
                <w:szCs w:val="20"/>
                <w:color w:val="auto"/>
              </w:rPr>
            </w:pPr>
            <w:r>
              <w:rPr>
                <w:rFonts w:ascii="Arial" w:cs="Arial" w:eastAsia="Arial" w:hAnsi="Arial"/>
                <w:sz w:val="16"/>
                <w:szCs w:val="16"/>
                <w:i w:val="1"/>
                <w:iCs w:val="1"/>
                <w:color w:val="auto"/>
              </w:rPr>
              <w:t>37%</w:t>
            </w:r>
          </w:p>
        </w:tc>
        <w:tc>
          <w:tcPr>
            <w:tcW w:w="60" w:type="dxa"/>
            <w:vAlign w:val="bottom"/>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6,245</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20"/>
              <w:spacing w:after="0" w:line="171" w:lineRule="exact"/>
              <w:rPr>
                <w:sz w:val="20"/>
                <w:szCs w:val="20"/>
                <w:color w:val="auto"/>
              </w:rPr>
            </w:pPr>
            <w:r>
              <w:rPr>
                <w:rFonts w:ascii="Arial" w:cs="Arial" w:eastAsia="Arial" w:hAnsi="Arial"/>
                <w:sz w:val="16"/>
                <w:szCs w:val="16"/>
                <w:i w:val="1"/>
                <w:iCs w:val="1"/>
                <w:color w:val="auto"/>
              </w:rPr>
              <w:t>31%</w:t>
            </w: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10</w:t>
            </w:r>
            <w:r>
              <w:rPr>
                <w:rFonts w:ascii="Arial" w:cs="Arial" w:eastAsia="Arial" w:hAnsi="Arial"/>
                <w:sz w:val="16"/>
                <w:szCs w:val="16"/>
                <w:i w:val="1"/>
                <w:iCs w:val="1"/>
                <w:color w:val="auto"/>
              </w:rPr>
              <w:t>%</w:t>
            </w:r>
          </w:p>
        </w:tc>
      </w:tr>
      <w:tr>
        <w:trPr>
          <w:trHeight w:val="173"/>
        </w:trPr>
        <w:tc>
          <w:tcPr>
            <w:tcW w:w="4620" w:type="dxa"/>
            <w:vAlign w:val="bottom"/>
            <w:gridSpan w:val="2"/>
          </w:tcPr>
          <w:p>
            <w:pPr>
              <w:spacing w:after="0" w:line="173" w:lineRule="exact"/>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10,659</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58%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12,341</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62%</w:t>
            </w:r>
          </w:p>
        </w:tc>
        <w:tc>
          <w:tcPr>
            <w:tcW w:w="60" w:type="dxa"/>
            <w:vAlign w:val="bottom"/>
          </w:tcPr>
          <w:p>
            <w:pPr>
              <w:spacing w:after="0"/>
              <w:rPr>
                <w:sz w:val="15"/>
                <w:szCs w:val="15"/>
                <w:color w:val="auto"/>
              </w:rPr>
            </w:pPr>
          </w:p>
        </w:tc>
        <w:tc>
          <w:tcPr>
            <w:tcW w:w="1080" w:type="dxa"/>
            <w:vAlign w:val="bottom"/>
          </w:tcPr>
          <w:p>
            <w:pPr>
              <w:jc w:val="right"/>
              <w:ind w:right="20"/>
              <w:spacing w:after="0" w:line="173" w:lineRule="exact"/>
              <w:rPr>
                <w:sz w:val="20"/>
                <w:szCs w:val="20"/>
                <w:color w:val="auto"/>
              </w:rPr>
            </w:pPr>
            <w:r>
              <w:rPr>
                <w:rFonts w:ascii="Arial" w:cs="Arial" w:eastAsia="Arial" w:hAnsi="Arial"/>
                <w:sz w:val="16"/>
                <w:szCs w:val="16"/>
                <w:color w:val="auto"/>
              </w:rPr>
              <w:t>(14)</w:t>
            </w:r>
            <w:r>
              <w:rPr>
                <w:rFonts w:ascii="Arial" w:cs="Arial" w:eastAsia="Arial" w:hAnsi="Arial"/>
                <w:sz w:val="16"/>
                <w:szCs w:val="16"/>
                <w:i w:val="1"/>
                <w:iCs w:val="1"/>
                <w:color w:val="auto"/>
              </w:rPr>
              <w:t>%</w:t>
            </w:r>
          </w:p>
        </w:tc>
      </w:tr>
      <w:tr>
        <w:trPr>
          <w:trHeight w:val="173"/>
        </w:trPr>
        <w:tc>
          <w:tcPr>
            <w:tcW w:w="462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New Zealand</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881</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5%</w:t>
            </w:r>
          </w:p>
        </w:tc>
        <w:tc>
          <w:tcPr>
            <w:tcW w:w="60" w:type="dxa"/>
            <w:vAlign w:val="bottom"/>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1,420</w:t>
            </w:r>
          </w:p>
        </w:tc>
        <w:tc>
          <w:tcPr>
            <w:tcW w:w="880" w:type="dxa"/>
            <w:vAlign w:val="bottom"/>
            <w:tcBorders>
              <w:bottom w:val="single" w:sz="8" w:color="CCEEFF"/>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i w:val="1"/>
                <w:iCs w:val="1"/>
                <w:color w:val="auto"/>
              </w:rPr>
              <w:t>7%</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(38)</w:t>
            </w:r>
            <w:r>
              <w:rPr>
                <w:rFonts w:ascii="Arial" w:cs="Arial" w:eastAsia="Arial" w:hAnsi="Arial"/>
                <w:sz w:val="16"/>
                <w:szCs w:val="16"/>
                <w:i w:val="1"/>
                <w:iCs w:val="1"/>
                <w:color w:val="auto"/>
              </w:rPr>
              <w:t>%</w:t>
            </w:r>
          </w:p>
        </w:tc>
      </w:tr>
      <w:tr>
        <w:trPr>
          <w:trHeight w:val="183"/>
        </w:trPr>
        <w:tc>
          <w:tcPr>
            <w:tcW w:w="462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Total Segment Revenues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18,421</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100 %</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b w:val="1"/>
                <w:bCs w:val="1"/>
                <w:color w:val="auto"/>
              </w:rPr>
              <w:t>20,006</w:t>
            </w:r>
          </w:p>
        </w:tc>
        <w:tc>
          <w:tcPr>
            <w:tcW w:w="880" w:type="dxa"/>
            <w:vAlign w:val="bottom"/>
            <w:gridSpan w:val="2"/>
          </w:tcPr>
          <w:p>
            <w:pPr>
              <w:jc w:val="right"/>
              <w:ind w:right="20"/>
              <w:spacing w:after="0" w:line="173" w:lineRule="exact"/>
              <w:rPr>
                <w:sz w:val="20"/>
                <w:szCs w:val="20"/>
                <w:color w:val="auto"/>
              </w:rPr>
            </w:pPr>
            <w:r>
              <w:rPr>
                <w:rFonts w:ascii="Arial" w:cs="Arial" w:eastAsia="Arial" w:hAnsi="Arial"/>
                <w:sz w:val="16"/>
                <w:szCs w:val="16"/>
                <w:i w:val="1"/>
                <w:iCs w:val="1"/>
                <w:color w:val="auto"/>
              </w:rPr>
              <w:t>100 %</w:t>
            </w:r>
          </w:p>
        </w:tc>
        <w:tc>
          <w:tcPr>
            <w:tcW w:w="60" w:type="dxa"/>
            <w:vAlign w:val="bottom"/>
          </w:tcPr>
          <w:p>
            <w:pPr>
              <w:spacing w:after="0"/>
              <w:rPr>
                <w:sz w:val="15"/>
                <w:szCs w:val="15"/>
                <w:color w:val="auto"/>
              </w:rPr>
            </w:pPr>
          </w:p>
        </w:tc>
        <w:tc>
          <w:tcPr>
            <w:tcW w:w="1080" w:type="dxa"/>
            <w:vAlign w:val="bottom"/>
          </w:tcPr>
          <w:p>
            <w:pPr>
              <w:jc w:val="right"/>
              <w:ind w:right="20"/>
              <w:spacing w:after="0" w:line="173" w:lineRule="exact"/>
              <w:rPr>
                <w:sz w:val="20"/>
                <w:szCs w:val="20"/>
                <w:color w:val="auto"/>
              </w:rPr>
            </w:pPr>
            <w:r>
              <w:rPr>
                <w:rFonts w:ascii="Arial" w:cs="Arial" w:eastAsia="Arial" w:hAnsi="Arial"/>
                <w:sz w:val="16"/>
                <w:szCs w:val="16"/>
                <w:color w:val="auto"/>
              </w:rPr>
              <w:t>(8)</w:t>
            </w:r>
            <w:r>
              <w:rPr>
                <w:rFonts w:ascii="Arial" w:cs="Arial" w:eastAsia="Arial" w:hAnsi="Arial"/>
                <w:sz w:val="16"/>
                <w:szCs w:val="16"/>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-479425</wp:posOffset>
            </wp:positionV>
            <wp:extent cx="557530" cy="119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557530" cy="1193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-250825</wp:posOffset>
            </wp:positionV>
            <wp:extent cx="557530" cy="1162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557530" cy="116205"/>
                    </a:xfrm>
                    <a:prstGeom prst="rect">
                      <a:avLst/>
                    </a:prstGeom>
                    <a:noFill/>
                  </pic:spPr>
                </pic:pic>
              </a:graphicData>
            </a:graphic>
          </wp:anchor>
        </w:drawing>
      </w:r>
    </w:p>
    <w:p>
      <w:pPr>
        <w:spacing w:after="0" w:line="193"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Real estate revenues for the year ended December 31, 2025, decreased by $1.6 million, to $18.4 million compared to 2024. This decrease is attributable to lower property rental income in Australia and New Zealand due to sale of Courtenay Central and Cannon Park properties, partially offset by higher US property revenue and Live Theater rental and ancillary income in the U.S.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NON-SEGMENT RESULTS –2025 vs. 2024</w:t>
      </w:r>
    </w:p>
    <w:p>
      <w:pPr>
        <w:spacing w:after="0" w:line="212"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For more information about the legal expense, please refer to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Data—Notes to Consolidated Financial Statements-- Note 15 – Commitments and Contingencies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OBBBA does not have a material effect on the Company's consolidated financial statements for the year ending December 31, 2025.</w:t>
      </w:r>
    </w:p>
    <w:p>
      <w:pPr>
        <w:spacing w:after="0" w:line="218"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Income tax expense increased by $0.4 million, to $0.9 million in 2025, when compared to 2024, primarily due to an increase in income tax expense from Australia in 2025.</w:t>
      </w:r>
    </w:p>
    <w:p>
      <w:pPr>
        <w:spacing w:after="0" w:line="213"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 xml:space="preserve">Please refer to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and </w:t>
      </w:r>
      <w:r>
        <w:rPr>
          <w:rFonts w:ascii="Arial" w:cs="Arial" w:eastAsia="Arial" w:hAnsi="Arial"/>
          <w:sz w:val="20"/>
          <w:szCs w:val="20"/>
          <w:i w:val="1"/>
          <w:iCs w:val="1"/>
          <w:color w:val="auto"/>
        </w:rPr>
        <w:t>Supplementary Data—Notes to Consolidated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Note 12 – Income Taxes </w:t>
      </w:r>
      <w:r>
        <w:rPr>
          <w:rFonts w:ascii="Arial" w:cs="Arial" w:eastAsia="Arial" w:hAnsi="Arial"/>
          <w:sz w:val="20"/>
          <w:szCs w:val="20"/>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400"/>
          </w:cols>
          <w:pgMar w:left="1260" w:top="1337" w:right="1246"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Financing Strategy</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In 2025, due primarily to the negative operating conditions caused by the 2023 Hollywood strikes and increased interest rates, as well as the lingering impacts from the COVID-19 pandemic, we (i) conserved our cash and chose to defer non-essential capital expenditures (such as cinema upgrades and refurbishments), (ii) refinanced our existing debt to provide longer maturity dates and eased financial covenants and/or obtained waivers of financial ratio tests, and (iii) monetized two real estate assets and identified certain other assets as candidates for potential monetization to raise additional liquidity. In January 2025, we sold our Courtenay Central properties in New Zealand at a gross sale price of $21.5 million. The proceeds were used to pay off the Westpac mortgage on the property, and to reduce our Bank of America debt. In May 2025, we sold our Cannon Park ETC in Australia at a gross sale price of $20.7 million. The proceeds were used principally to pay off our NAB bridging facility, and to reduce our Bank of America debt.</w:t>
      </w:r>
    </w:p>
    <w:p>
      <w:pPr>
        <w:spacing w:after="0" w:line="218"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In May 2025, we extended the maturity of our loan on 44 Union Square to November 6, 2026, with an option to extend further to May 6, 2027. In July 2025, we extended the maturity of our Bank of America/Bank of Hawaii loan to May 18, 2026. We further extended the maturity of our Bank of America/Bank of Hawaii loan to September 18, 2026, in December 2025. In July 2025, we extended the maturity of our loan on our Live Theatre assets in NYC to June 1, 2026. In November 2025, we extended the maturity of our National Australia Bank (“NAB”) loan to July 31, 2030, and modified the principal repayment schedule and extended the maturity of our Valley National Bank Loan to October 1, 2026. In December 2025, we completed the purchase of Sutton Hill Associates, a California general partnership. As a result of that transaction, we acquired the 25% minority interest in our Cinemas 1,2,3 that we did not already own and the ground lessee’s interest in the land and improvements constituting our Village East Theatre, subject to certain indebtedness owed by Sutton Hill Associates to a third party. That indebtedness, at December 30, 2025, had a face amount of $13.6 million, interest payable quarterly at 4.75% per annum with all principals due and payable in a bullet on September 30, 2035. Due to the extended term of the debt and the below market interest rates, at December 30, 2025, we carried that debt at its fair value of $7.7 million. As a result of the transaction, approximately $7.1 million in short term obligations were eliminated in consolidation.</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During 2025, our bank loans with Bank of America, and NAB required that our Company comply with certain covenants. We either complied with the underlying bank covenants or obtained waivers from compliance.</w:t>
      </w:r>
    </w:p>
    <w:p>
      <w:pPr>
        <w:spacing w:after="0" w:line="213"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During 2024 and 2025, we also worked to restructure our rent payments under various cinema leases. As a result of these negotiations, we have been able to defer rent payments of approximately $11.5 million to be paid out in the next five years.</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We have set as a goal for 2026 to substantially reduce our secured U.S. bank debt. Accordingly, we have classified as an asset held for sale our Newbury Yard rail yard in Williamsport, Pennsylvania and in February 2026, we retained Newmark &amp; Company Real Estate, Inc to monetize our Cinemas 1,2,3 property in Manhattan. While no assurances can be given, we believe it reasonable to assume that these assets can be monetized before the end of the third quarter of this year.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Generally speaking, we believe our relationship with our landlords and lenders is good.</w:t>
      </w:r>
    </w:p>
    <w:p>
      <w:pPr>
        <w:spacing w:after="0" w:line="21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 xml:space="preserve">For more information about our borrowings, including loan modifications and modifications to waivers of certain covenants, please refer to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and </w:t>
      </w:r>
      <w:r>
        <w:rPr>
          <w:rFonts w:ascii="Arial" w:cs="Arial" w:eastAsia="Arial" w:hAnsi="Arial"/>
          <w:sz w:val="20"/>
          <w:szCs w:val="20"/>
          <w:i w:val="1"/>
          <w:iCs w:val="1"/>
          <w:color w:val="auto"/>
        </w:rPr>
        <w:t>Supplementary Data—Notes to Consolidated</w:t>
      </w:r>
      <w:r>
        <w:rPr>
          <w:rFonts w:ascii="Arial" w:cs="Arial" w:eastAsia="Arial" w:hAnsi="Arial"/>
          <w:sz w:val="20"/>
          <w:szCs w:val="20"/>
          <w:color w:val="auto"/>
        </w:rPr>
        <w:t xml:space="preserve"> </w:t>
      </w:r>
      <w:r>
        <w:rPr>
          <w:rFonts w:ascii="Arial" w:cs="Arial" w:eastAsia="Arial" w:hAnsi="Arial"/>
          <w:sz w:val="20"/>
          <w:szCs w:val="20"/>
          <w:i w:val="1"/>
          <w:iCs w:val="1"/>
          <w:color w:val="auto"/>
        </w:rPr>
        <w:t>Financial Statements—Note 2 – Liquidity, and Note 13 – Borrowings.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37" w:right="1246" w:bottom="0" w:gutter="0" w:footer="0" w:header="0"/>
          <w:type w:val="continuous"/>
        </w:sectPr>
      </w:pPr>
    </w:p>
    <w:bookmarkStart w:id="74" w:name="page75"/>
    <w:bookmarkEnd w:id="74"/>
    <w:p>
      <w:pPr>
        <w:ind w:right="80"/>
        <w:spacing w:after="0" w:line="227" w:lineRule="auto"/>
        <w:rPr>
          <w:sz w:val="20"/>
          <w:szCs w:val="20"/>
          <w:color w:val="auto"/>
        </w:rPr>
      </w:pPr>
      <w:r>
        <w:rPr>
          <w:rFonts w:ascii="Arial" w:cs="Arial" w:eastAsia="Arial" w:hAnsi="Arial"/>
          <w:sz w:val="20"/>
          <w:szCs w:val="20"/>
          <w:color w:val="auto"/>
        </w:rPr>
        <w:t>The table below presents the changes in our total available resources (cash and borrowings), debt-to-equity ratio, working capital, and other relevant information addressing our liquidity for the last five years: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thousands)</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r>
      <w:tr>
        <w:trPr>
          <w:trHeight w:val="173"/>
        </w:trPr>
        <w:tc>
          <w:tcPr>
            <w:tcW w:w="380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i w:val="1"/>
                <w:iCs w:val="1"/>
                <w:color w:val="auto"/>
              </w:rPr>
              <w:t>Net Cash (used in ) / from Operating Activities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(1,578)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(3,833)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(9,735)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(26,351)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(13,498)</w:t>
            </w:r>
          </w:p>
        </w:tc>
      </w:tr>
      <w:tr>
        <w:trPr>
          <w:trHeight w:val="173"/>
        </w:trPr>
        <w:tc>
          <w:tcPr>
            <w:tcW w:w="3800" w:type="dxa"/>
            <w:vAlign w:val="bottom"/>
          </w:tcPr>
          <w:p>
            <w:pPr>
              <w:spacing w:after="0" w:line="173" w:lineRule="exact"/>
              <w:rPr>
                <w:sz w:val="20"/>
                <w:szCs w:val="20"/>
                <w:color w:val="auto"/>
              </w:rPr>
            </w:pPr>
            <w:r>
              <w:rPr>
                <w:rFonts w:ascii="Arial" w:cs="Arial" w:eastAsia="Arial" w:hAnsi="Arial"/>
                <w:sz w:val="16"/>
                <w:szCs w:val="16"/>
                <w:b w:val="1"/>
                <w:bCs w:val="1"/>
                <w:i w:val="1"/>
                <w:iCs w:val="1"/>
                <w:color w:val="auto"/>
              </w:rPr>
              <w:t>Total Resources (cash and borrowings)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38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Cash and cash equivalents (unrestricted)</w:t>
            </w:r>
          </w:p>
        </w:tc>
        <w:tc>
          <w:tcPr>
            <w:tcW w:w="340" w:type="dxa"/>
            <w:vAlign w:val="bottom"/>
            <w:gridSpan w:val="2"/>
            <w:shd w:val="clear" w:color="auto" w:fill="CCEEFF"/>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10,531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12,347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12,906</w:t>
            </w:r>
          </w:p>
        </w:tc>
        <w:tc>
          <w:tcPr>
            <w:tcW w:w="2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29,947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83,251</w:t>
            </w:r>
          </w:p>
        </w:tc>
      </w:tr>
      <w:tr>
        <w:trPr>
          <w:trHeight w:val="173"/>
        </w:trPr>
        <w:tc>
          <w:tcPr>
            <w:tcW w:w="3800" w:type="dxa"/>
            <w:vAlign w:val="bottom"/>
          </w:tcPr>
          <w:p>
            <w:pPr>
              <w:ind w:left="100"/>
              <w:spacing w:after="0" w:line="173" w:lineRule="exact"/>
              <w:rPr>
                <w:sz w:val="20"/>
                <w:szCs w:val="20"/>
                <w:color w:val="auto"/>
              </w:rPr>
            </w:pPr>
            <w:r>
              <w:rPr>
                <w:rFonts w:ascii="Arial" w:cs="Arial" w:eastAsia="Arial" w:hAnsi="Arial"/>
                <w:sz w:val="16"/>
                <w:szCs w:val="16"/>
                <w:color w:val="auto"/>
              </w:rPr>
              <w:t>Unused borrowing facility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2,359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7,859</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7,859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12,000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12,000</w:t>
            </w:r>
          </w:p>
        </w:tc>
      </w:tr>
      <w:tr>
        <w:trPr>
          <w:trHeight w:val="233"/>
        </w:trPr>
        <w:tc>
          <w:tcPr>
            <w:tcW w:w="3800" w:type="dxa"/>
            <w:vAlign w:val="bottom"/>
            <w:shd w:val="clear" w:color="auto" w:fill="CCEEFF"/>
          </w:tcPr>
          <w:p>
            <w:pPr>
              <w:ind w:left="360"/>
              <w:spacing w:after="0" w:line="232" w:lineRule="exact"/>
              <w:rPr>
                <w:sz w:val="20"/>
                <w:szCs w:val="20"/>
                <w:color w:val="auto"/>
              </w:rPr>
            </w:pPr>
            <w:r>
              <w:rPr>
                <w:rFonts w:ascii="Arial" w:cs="Arial" w:eastAsia="Arial" w:hAnsi="Arial"/>
                <w:sz w:val="15"/>
                <w:szCs w:val="15"/>
                <w:color w:val="auto"/>
              </w:rPr>
              <w:t>Restricted for capital projects</w:t>
            </w:r>
            <w:r>
              <w:rPr>
                <w:rFonts w:ascii="Arial" w:cs="Arial" w:eastAsia="Arial" w:hAnsi="Arial"/>
                <w:sz w:val="26"/>
                <w:szCs w:val="26"/>
                <w:color w:val="auto"/>
                <w:vertAlign w:val="superscript"/>
              </w:rPr>
              <w:t>(1)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7,859</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173"/>
        </w:trPr>
        <w:tc>
          <w:tcPr>
            <w:tcW w:w="3800" w:type="dxa"/>
            <w:vAlign w:val="bottom"/>
          </w:tcPr>
          <w:p>
            <w:pPr>
              <w:ind w:left="360"/>
              <w:spacing w:after="0" w:line="173" w:lineRule="exact"/>
              <w:rPr>
                <w:sz w:val="20"/>
                <w:szCs w:val="20"/>
                <w:color w:val="auto"/>
              </w:rPr>
            </w:pPr>
            <w:r>
              <w:rPr>
                <w:rFonts w:ascii="Arial" w:cs="Arial" w:eastAsia="Arial" w:hAnsi="Arial"/>
                <w:sz w:val="16"/>
                <w:szCs w:val="16"/>
                <w:color w:val="auto"/>
              </w:rPr>
              <w:t>Unrestricted capacity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r>
      <w:tr>
        <w:trPr>
          <w:trHeight w:val="173"/>
        </w:trPr>
        <w:tc>
          <w:tcPr>
            <w:tcW w:w="38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Total resources at 12/31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12,890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20,206</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20,765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41,947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95,251</w:t>
            </w:r>
          </w:p>
        </w:tc>
      </w:tr>
      <w:tr>
        <w:trPr>
          <w:trHeight w:val="173"/>
        </w:trPr>
        <w:tc>
          <w:tcPr>
            <w:tcW w:w="3800" w:type="dxa"/>
            <w:vAlign w:val="bottom"/>
          </w:tcPr>
          <w:p>
            <w:pPr>
              <w:ind w:left="100"/>
              <w:spacing w:after="0" w:line="173" w:lineRule="exact"/>
              <w:rPr>
                <w:sz w:val="20"/>
                <w:szCs w:val="20"/>
                <w:color w:val="auto"/>
              </w:rPr>
            </w:pPr>
            <w:r>
              <w:rPr>
                <w:rFonts w:ascii="Arial" w:cs="Arial" w:eastAsia="Arial" w:hAnsi="Arial"/>
                <w:sz w:val="16"/>
                <w:szCs w:val="16"/>
                <w:color w:val="auto"/>
              </w:rPr>
              <w:t>Total unrestricted resources at 12/31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10,531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12,347</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12,906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29,947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83,251</w:t>
            </w:r>
          </w:p>
        </w:tc>
      </w:tr>
      <w:tr>
        <w:trPr>
          <w:trHeight w:val="173"/>
        </w:trPr>
        <w:tc>
          <w:tcPr>
            <w:tcW w:w="380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i w:val="1"/>
                <w:iCs w:val="1"/>
                <w:color w:val="auto"/>
              </w:rPr>
              <w:t>Debt-to-Equity Ratio</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3"/>
        </w:trPr>
        <w:tc>
          <w:tcPr>
            <w:tcW w:w="3800" w:type="dxa"/>
            <w:vAlign w:val="bottom"/>
          </w:tcPr>
          <w:p>
            <w:pPr>
              <w:ind w:left="100"/>
              <w:spacing w:after="0" w:line="173" w:lineRule="exact"/>
              <w:rPr>
                <w:sz w:val="20"/>
                <w:szCs w:val="20"/>
                <w:color w:val="auto"/>
              </w:rPr>
            </w:pPr>
            <w:r>
              <w:rPr>
                <w:rFonts w:ascii="Arial" w:cs="Arial" w:eastAsia="Arial" w:hAnsi="Arial"/>
                <w:sz w:val="16"/>
                <w:szCs w:val="16"/>
                <w:color w:val="auto"/>
              </w:rPr>
              <w:t>Total contractual facility</w:t>
            </w:r>
          </w:p>
        </w:tc>
        <w:tc>
          <w:tcPr>
            <w:tcW w:w="340" w:type="dxa"/>
            <w:vAlign w:val="bottom"/>
            <w:gridSpan w:val="2"/>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187,450</w:t>
            </w:r>
          </w:p>
        </w:tc>
        <w:tc>
          <w:tcPr>
            <w:tcW w:w="14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210,572</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218,159</w:t>
            </w: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227,633</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248,948</w:t>
            </w:r>
          </w:p>
        </w:tc>
      </w:tr>
      <w:tr>
        <w:trPr>
          <w:trHeight w:val="173"/>
        </w:trPr>
        <w:tc>
          <w:tcPr>
            <w:tcW w:w="38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Total debt (gross of deferred financing costs)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185,091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202,713</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210,300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215,633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236,948</w:t>
            </w:r>
          </w:p>
        </w:tc>
      </w:tr>
      <w:tr>
        <w:trPr>
          <w:trHeight w:val="173"/>
        </w:trPr>
        <w:tc>
          <w:tcPr>
            <w:tcW w:w="3800" w:type="dxa"/>
            <w:vAlign w:val="bottom"/>
          </w:tcPr>
          <w:p>
            <w:pPr>
              <w:ind w:left="360"/>
              <w:spacing w:after="0" w:line="173" w:lineRule="exact"/>
              <w:rPr>
                <w:sz w:val="20"/>
                <w:szCs w:val="20"/>
                <w:color w:val="auto"/>
              </w:rPr>
            </w:pPr>
            <w:r>
              <w:rPr>
                <w:rFonts w:ascii="Arial" w:cs="Arial" w:eastAsia="Arial" w:hAnsi="Arial"/>
                <w:sz w:val="16"/>
                <w:szCs w:val="16"/>
                <w:color w:val="auto"/>
              </w:rPr>
              <w:t>Current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35,999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69,193</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35,070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38,026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12,060</w:t>
            </w:r>
          </w:p>
        </w:tc>
      </w:tr>
      <w:tr>
        <w:trPr>
          <w:trHeight w:val="173"/>
        </w:trPr>
        <w:tc>
          <w:tcPr>
            <w:tcW w:w="3800" w:type="dxa"/>
            <w:vAlign w:val="bottom"/>
            <w:shd w:val="clear" w:color="auto" w:fill="CCEEFF"/>
          </w:tcPr>
          <w:p>
            <w:pPr>
              <w:ind w:left="360"/>
              <w:spacing w:after="0" w:line="173" w:lineRule="exact"/>
              <w:rPr>
                <w:sz w:val="20"/>
                <w:szCs w:val="20"/>
                <w:color w:val="auto"/>
              </w:rPr>
            </w:pPr>
            <w:r>
              <w:rPr>
                <w:rFonts w:ascii="Arial" w:cs="Arial" w:eastAsia="Arial" w:hAnsi="Arial"/>
                <w:sz w:val="16"/>
                <w:szCs w:val="16"/>
                <w:color w:val="auto"/>
              </w:rPr>
              <w:t>Non-current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149,092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133,520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175,230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177,607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224,888</w:t>
            </w:r>
          </w:p>
        </w:tc>
      </w:tr>
      <w:tr>
        <w:trPr>
          <w:trHeight w:val="173"/>
        </w:trPr>
        <w:tc>
          <w:tcPr>
            <w:tcW w:w="3800" w:type="dxa"/>
            <w:vAlign w:val="bottom"/>
          </w:tcPr>
          <w:p>
            <w:pPr>
              <w:ind w:left="360"/>
              <w:spacing w:after="0" w:line="173" w:lineRule="exact"/>
              <w:rPr>
                <w:sz w:val="20"/>
                <w:szCs w:val="20"/>
                <w:color w:val="auto"/>
              </w:rPr>
            </w:pPr>
            <w:r>
              <w:rPr>
                <w:rFonts w:ascii="Arial" w:cs="Arial" w:eastAsia="Arial" w:hAnsi="Arial"/>
                <w:sz w:val="16"/>
                <w:szCs w:val="16"/>
                <w:color w:val="auto"/>
              </w:rPr>
              <w:t>Finance lease liabilities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43</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83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68</w:t>
            </w:r>
          </w:p>
        </w:tc>
      </w:tr>
      <w:tr>
        <w:trPr>
          <w:trHeight w:val="173"/>
        </w:trPr>
        <w:tc>
          <w:tcPr>
            <w:tcW w:w="38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Total book equity</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(18,098)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(4,790)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32,996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63,279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105,060</w:t>
            </w:r>
          </w:p>
        </w:tc>
      </w:tr>
      <w:tr>
        <w:trPr>
          <w:trHeight w:val="173"/>
        </w:trPr>
        <w:tc>
          <w:tcPr>
            <w:tcW w:w="3800" w:type="dxa"/>
            <w:vAlign w:val="bottom"/>
          </w:tcPr>
          <w:p>
            <w:pPr>
              <w:ind w:left="100"/>
              <w:spacing w:after="0" w:line="173" w:lineRule="exact"/>
              <w:rPr>
                <w:sz w:val="20"/>
                <w:szCs w:val="20"/>
                <w:color w:val="auto"/>
              </w:rPr>
            </w:pPr>
            <w:r>
              <w:rPr>
                <w:rFonts w:ascii="Arial" w:cs="Arial" w:eastAsia="Arial" w:hAnsi="Arial"/>
                <w:sz w:val="16"/>
                <w:szCs w:val="16"/>
                <w:color w:val="auto"/>
              </w:rPr>
              <w:t>Debt-to-equity ratio</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(42.32)</w:t>
            </w:r>
          </w:p>
        </w:tc>
        <w:tc>
          <w:tcPr>
            <w:tcW w:w="2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6.37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3.41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2.26</w:t>
            </w:r>
          </w:p>
        </w:tc>
      </w:tr>
      <w:tr>
        <w:trPr>
          <w:trHeight w:val="173"/>
        </w:trPr>
        <w:tc>
          <w:tcPr>
            <w:tcW w:w="380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i w:val="1"/>
                <w:iCs w:val="1"/>
                <w:color w:val="auto"/>
              </w:rPr>
              <w:t>Changes in Working Capital</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3"/>
        </w:trPr>
        <w:tc>
          <w:tcPr>
            <w:tcW w:w="3800" w:type="dxa"/>
            <w:vAlign w:val="bottom"/>
          </w:tcPr>
          <w:p>
            <w:pPr>
              <w:ind w:left="100"/>
              <w:spacing w:after="0" w:line="232" w:lineRule="exact"/>
              <w:rPr>
                <w:sz w:val="20"/>
                <w:szCs w:val="20"/>
                <w:color w:val="auto"/>
              </w:rPr>
            </w:pPr>
            <w:r>
              <w:rPr>
                <w:rFonts w:ascii="Arial" w:cs="Arial" w:eastAsia="Arial" w:hAnsi="Arial"/>
                <w:sz w:val="15"/>
                <w:szCs w:val="15"/>
                <w:color w:val="auto"/>
              </w:rPr>
              <w:t>Working capital (deficit)</w:t>
            </w:r>
            <w:r>
              <w:rPr>
                <w:rFonts w:ascii="Arial" w:cs="Arial" w:eastAsia="Arial" w:hAnsi="Arial"/>
                <w:sz w:val="26"/>
                <w:szCs w:val="26"/>
                <w:color w:val="auto"/>
                <w:vertAlign w:val="superscript"/>
              </w:rPr>
              <w:t>(2)</w:t>
            </w:r>
          </w:p>
        </w:tc>
        <w:tc>
          <w:tcPr>
            <w:tcW w:w="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(106,765)</w:t>
            </w:r>
          </w:p>
        </w:tc>
        <w:tc>
          <w:tcPr>
            <w:tcW w:w="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(104,584)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(88,373)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(74,152)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(6,673)</w:t>
            </w:r>
          </w:p>
        </w:tc>
      </w:tr>
      <w:tr>
        <w:trPr>
          <w:trHeight w:val="173"/>
        </w:trPr>
        <w:tc>
          <w:tcPr>
            <w:tcW w:w="38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Current ratio</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0.17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6"/>
                <w:szCs w:val="16"/>
                <w:color w:val="auto"/>
              </w:rPr>
              <w:t>0.35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0.30</w:t>
            </w:r>
          </w:p>
        </w:tc>
        <w:tc>
          <w:tcPr>
            <w:tcW w:w="2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0.39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0.94</w:t>
            </w:r>
          </w:p>
        </w:tc>
      </w:tr>
      <w:tr>
        <w:trPr>
          <w:trHeight w:val="177"/>
        </w:trPr>
        <w:tc>
          <w:tcPr>
            <w:tcW w:w="3800" w:type="dxa"/>
            <w:vAlign w:val="bottom"/>
          </w:tcPr>
          <w:p>
            <w:pPr>
              <w:spacing w:after="0" w:line="177" w:lineRule="exact"/>
              <w:rPr>
                <w:sz w:val="20"/>
                <w:szCs w:val="20"/>
                <w:color w:val="auto"/>
              </w:rPr>
            </w:pPr>
            <w:r>
              <w:rPr>
                <w:rFonts w:ascii="Arial" w:cs="Arial" w:eastAsia="Arial" w:hAnsi="Arial"/>
                <w:sz w:val="16"/>
                <w:szCs w:val="16"/>
                <w:b w:val="1"/>
                <w:bCs w:val="1"/>
                <w:i w:val="1"/>
                <w:iCs w:val="1"/>
                <w:color w:val="auto"/>
              </w:rPr>
              <w:t>Capital Expenditures (including acquisitions)</w:t>
            </w:r>
          </w:p>
        </w:tc>
        <w:tc>
          <w:tcPr>
            <w:tcW w:w="340" w:type="dxa"/>
            <w:vAlign w:val="bottom"/>
            <w:gridSpan w:val="2"/>
          </w:tcPr>
          <w:p>
            <w:pPr>
              <w:jc w:val="right"/>
              <w:ind w:right="46"/>
              <w:spacing w:after="0" w:line="177"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7" w:lineRule="exact"/>
              <w:rPr>
                <w:sz w:val="20"/>
                <w:szCs w:val="20"/>
                <w:color w:val="auto"/>
              </w:rPr>
            </w:pPr>
            <w:r>
              <w:rPr>
                <w:rFonts w:ascii="Arial" w:cs="Arial" w:eastAsia="Arial" w:hAnsi="Arial"/>
                <w:sz w:val="16"/>
                <w:szCs w:val="16"/>
                <w:color w:val="auto"/>
              </w:rPr>
              <w:t>1,498</w:t>
            </w:r>
          </w:p>
        </w:tc>
        <w:tc>
          <w:tcPr>
            <w:tcW w:w="14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2,028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7" w:lineRule="exact"/>
              <w:rPr>
                <w:sz w:val="20"/>
                <w:szCs w:val="20"/>
                <w:color w:val="auto"/>
              </w:rPr>
            </w:pPr>
            <w:r>
              <w:rPr>
                <w:rFonts w:ascii="Arial" w:cs="Arial" w:eastAsia="Arial" w:hAnsi="Arial"/>
                <w:sz w:val="16"/>
                <w:szCs w:val="16"/>
                <w:color w:val="auto"/>
              </w:rPr>
              <w:t>4,711</w:t>
            </w:r>
          </w:p>
        </w:tc>
        <w:tc>
          <w:tcPr>
            <w:tcW w:w="28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7" w:lineRule="exact"/>
              <w:rPr>
                <w:sz w:val="20"/>
                <w:szCs w:val="20"/>
                <w:color w:val="auto"/>
              </w:rPr>
            </w:pPr>
            <w:r>
              <w:rPr>
                <w:rFonts w:ascii="Arial" w:cs="Arial" w:eastAsia="Arial" w:hAnsi="Arial"/>
                <w:sz w:val="16"/>
                <w:szCs w:val="16"/>
                <w:color w:val="auto"/>
              </w:rPr>
              <w:t>9,780</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7" w:lineRule="exact"/>
              <w:rPr>
                <w:sz w:val="20"/>
                <w:szCs w:val="20"/>
                <w:color w:val="auto"/>
              </w:rPr>
            </w:pPr>
            <w:r>
              <w:rPr>
                <w:rFonts w:ascii="Arial" w:cs="Arial" w:eastAsia="Arial" w:hAnsi="Arial"/>
                <w:sz w:val="16"/>
                <w:szCs w:val="16"/>
                <w:color w:val="auto"/>
              </w:rPr>
              <w:t>14,428</w:t>
            </w:r>
          </w:p>
        </w:tc>
      </w:tr>
    </w:tbl>
    <w:p>
      <w:pPr>
        <w:spacing w:after="0" w:line="91" w:lineRule="exact"/>
        <w:rPr>
          <w:sz w:val="20"/>
          <w:szCs w:val="20"/>
          <w:color w:val="auto"/>
        </w:rPr>
      </w:pPr>
    </w:p>
    <w:p>
      <w:pPr>
        <w:ind w:left="720" w:hanging="366"/>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relates to the construction facilities specifically negotiated for 44 Union Square redevelopment project.</w:t>
      </w:r>
    </w:p>
    <w:p>
      <w:pPr>
        <w:ind w:left="720" w:right="60" w:hanging="366"/>
        <w:spacing w:after="0" w:line="246" w:lineRule="auto"/>
        <w:tabs>
          <w:tab w:leader="none" w:pos="7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Typically, our working capital is reported as a deficit, as we receive revenue from our cinema business ahead of the time that we have to pay our associated liabilities. We use the money we receive to pay down our borrowings in the first instance.</w:t>
      </w:r>
    </w:p>
    <w:p>
      <w:pPr>
        <w:spacing w:after="0" w:line="207"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We endeavor to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 to pay down our loans and credit facilities providing us some flexibility on our available loan facilities for future use and thereby, reducing interest charges. To meet our liquidity’s needs, in 2025, we have worked with our lenders to extend the maturity of various loans.</w:t>
      </w:r>
    </w:p>
    <w:p>
      <w:pPr>
        <w:spacing w:after="0" w:line="218"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Part II, Item 8 – Financial Statements and Supplementary Data—Notes to Consolidated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Note 13 – Borrowings </w:t>
      </w:r>
      <w:r>
        <w:rPr>
          <w:rFonts w:ascii="Arial" w:cs="Arial" w:eastAsia="Arial" w:hAnsi="Arial"/>
          <w:sz w:val="20"/>
          <w:szCs w:val="20"/>
          <w:color w:val="auto"/>
        </w:rPr>
        <w:t>for further details on our various borrowing arrangements.</w:t>
      </w:r>
    </w:p>
    <w:p>
      <w:pPr>
        <w:spacing w:after="0" w:line="21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On December 31, 2025, our consolidated cash and cash equivalents totaled $10.5 million. Of this amount, $3.3 million, $6.8 million and $0.4 million were held by our U.S., Australian and New Zealand operations, respectively. The funds held in Australia and New Zealand are, under our applicable bank lending arrangement, subject to limitations on their use outside of Australia or New Zealand as applicable. Due to the impact of the COVID-19 pandemic, the lack of U.S. Federal assistance (including funds from the Payroll Protection and Shuttered Venue Programs), the 2023 Hollywood strikes and continuing funding needs in the U.S. we no longer intend to indefinitely reinvest offshore any earnings derived from our Australian and New Zealand operations.</w:t>
      </w:r>
    </w:p>
    <w:p>
      <w:pPr>
        <w:spacing w:after="0" w:line="201"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We have historically funded our working capital requirements, capital expenditures and investments in individual properties primarily from a combination of internally generated cash flows and debt. During 2025, the need for such funding for capital expenditures and investments has decreased, as we have deferred to the fullest extent reasonable such expenditures. However, due primarily to the 2023 Hollywood strikes and the increase in interest rates, our operating income is still insufficient to cover our costs and expenses accordingly, our negative working capital has increased over the course of the year. The funding that has been required, has been funded predominantly from cost reductions, bridge facility debt and strategic asset sales and landlord concessions. As noted in the preceding table, we had no unused available unrestricted corporate credit facilities at December 31, 2025.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change in cash and cash equivalents for the three years ended December 31, 2025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430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5"/>
                <w:szCs w:val="15"/>
                <w:color w:val="auto"/>
              </w:rPr>
            </w:pPr>
          </w:p>
        </w:tc>
        <w:tc>
          <w:tcPr>
            <w:tcW w:w="800" w:type="dxa"/>
            <w:vAlign w:val="bottom"/>
          </w:tcPr>
          <w:p>
            <w:pPr>
              <w:jc w:val="right"/>
              <w:ind w:right="260"/>
              <w:spacing w:after="0" w:line="173" w:lineRule="exact"/>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60"/>
              <w:spacing w:after="0" w:line="173"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40"/>
              <w:spacing w:after="0" w:line="173" w:lineRule="exact"/>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tcBorders>
              <w:top w:val="single" w:sz="8" w:color="auto"/>
            </w:tcBorders>
            <w:gridSpan w:val="4"/>
          </w:tcPr>
          <w:p>
            <w:pPr>
              <w:spacing w:after="0" w:line="173" w:lineRule="exact"/>
              <w:rPr>
                <w:sz w:val="20"/>
                <w:szCs w:val="20"/>
                <w:color w:val="auto"/>
              </w:rPr>
            </w:pPr>
            <w:r>
              <w:rPr>
                <w:rFonts w:ascii="Arial" w:cs="Arial" w:eastAsia="Arial" w:hAnsi="Arial"/>
                <w:sz w:val="16"/>
                <w:szCs w:val="16"/>
                <w:b w:val="1"/>
                <w:bCs w:val="1"/>
                <w:color w:val="auto"/>
                <w:w w:val="89"/>
              </w:rPr>
              <w:t>2025 vs. 2024 2024 vs. 2023</w:t>
            </w:r>
          </w:p>
        </w:tc>
      </w:tr>
      <w:tr>
        <w:trPr>
          <w:trHeight w:val="173"/>
        </w:trPr>
        <w:tc>
          <w:tcPr>
            <w:tcW w:w="422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6"/>
                <w:szCs w:val="16"/>
                <w:color w:val="auto"/>
              </w:rPr>
              <w:t>Net cash provided by (used in) operating activities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(1,578)</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6"/>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(3,833)</w:t>
            </w: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tcPr>
          <w:p>
            <w:pPr>
              <w:jc w:val="right"/>
              <w:ind w:right="46"/>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color w:val="auto"/>
              </w:rPr>
              <w:t>(9,735)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line="171" w:lineRule="exact"/>
              <w:rPr>
                <w:sz w:val="20"/>
                <w:szCs w:val="20"/>
                <w:color w:val="auto"/>
              </w:rPr>
            </w:pPr>
            <w:r>
              <w:rPr>
                <w:rFonts w:ascii="Arial" w:cs="Arial" w:eastAsia="Arial" w:hAnsi="Arial"/>
                <w:sz w:val="16"/>
                <w:szCs w:val="16"/>
                <w:color w:val="auto"/>
              </w:rPr>
              <w:t>59%</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61%</w:t>
            </w:r>
          </w:p>
        </w:tc>
      </w:tr>
      <w:tr>
        <w:trPr>
          <w:trHeight w:val="173"/>
        </w:trPr>
        <w:tc>
          <w:tcPr>
            <w:tcW w:w="4300" w:type="dxa"/>
            <w:vAlign w:val="bottom"/>
            <w:gridSpan w:val="2"/>
          </w:tcPr>
          <w:p>
            <w:pPr>
              <w:spacing w:after="0" w:line="173" w:lineRule="exact"/>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37,106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3,961</w:t>
            </w: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(2,699)</w:t>
            </w:r>
          </w:p>
        </w:tc>
        <w:tc>
          <w:tcPr>
            <w:tcW w:w="940" w:type="dxa"/>
            <w:vAlign w:val="bottom"/>
            <w:gridSpan w:val="3"/>
          </w:tcPr>
          <w:p>
            <w:pPr>
              <w:jc w:val="right"/>
              <w:spacing w:after="0" w:line="173" w:lineRule="exact"/>
              <w:rPr>
                <w:sz w:val="20"/>
                <w:szCs w:val="20"/>
                <w:color w:val="auto"/>
              </w:rPr>
            </w:pPr>
            <w:r>
              <w:rPr>
                <w:rFonts w:ascii="Arial" w:cs="Arial" w:eastAsia="Arial" w:hAnsi="Arial"/>
                <w:sz w:val="16"/>
                <w:szCs w:val="16"/>
                <w:color w:val="auto"/>
              </w:rPr>
              <w:t>&gt;100%</w:t>
            </w:r>
          </w:p>
        </w:tc>
        <w:tc>
          <w:tcPr>
            <w:tcW w:w="80" w:type="dxa"/>
            <w:vAlign w:val="bottom"/>
          </w:tcPr>
          <w:p>
            <w:pPr>
              <w:spacing w:after="0"/>
              <w:rPr>
                <w:sz w:val="15"/>
                <w:szCs w:val="15"/>
                <w:color w:val="auto"/>
              </w:rPr>
            </w:pPr>
          </w:p>
        </w:tc>
        <w:tc>
          <w:tcPr>
            <w:tcW w:w="920" w:type="dxa"/>
            <w:vAlign w:val="bottom"/>
          </w:tcPr>
          <w:p>
            <w:pPr>
              <w:jc w:val="right"/>
              <w:ind w:right="20"/>
              <w:spacing w:after="0" w:line="173" w:lineRule="exact"/>
              <w:rPr>
                <w:sz w:val="20"/>
                <w:szCs w:val="20"/>
                <w:color w:val="auto"/>
              </w:rPr>
            </w:pPr>
            <w:r>
              <w:rPr>
                <w:rFonts w:ascii="Arial" w:cs="Arial" w:eastAsia="Arial" w:hAnsi="Arial"/>
                <w:sz w:val="16"/>
                <w:szCs w:val="16"/>
                <w:color w:val="auto"/>
              </w:rPr>
              <w:t>&gt;100%</w:t>
            </w:r>
          </w:p>
        </w:tc>
      </w:tr>
      <w:tr>
        <w:trPr>
          <w:trHeight w:val="173"/>
        </w:trPr>
        <w:tc>
          <w:tcPr>
            <w:tcW w:w="430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Net cash provided by (used in) financing activities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(37,886)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337</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(6,667)</w:t>
            </w:r>
          </w:p>
        </w:tc>
        <w:tc>
          <w:tcPr>
            <w:tcW w:w="7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(&gt;100)%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&gt;100%</w:t>
            </w:r>
          </w:p>
        </w:tc>
      </w:tr>
      <w:tr>
        <w:trPr>
          <w:trHeight w:val="173"/>
        </w:trPr>
        <w:tc>
          <w:tcPr>
            <w:tcW w:w="4300" w:type="dxa"/>
            <w:vAlign w:val="bottom"/>
            <w:gridSpan w:val="2"/>
          </w:tcPr>
          <w:p>
            <w:pPr>
              <w:spacing w:after="0" w:line="173" w:lineRule="exact"/>
              <w:rPr>
                <w:sz w:val="20"/>
                <w:szCs w:val="20"/>
                <w:color w:val="auto"/>
              </w:rPr>
            </w:pPr>
            <w:r>
              <w:rPr>
                <w:rFonts w:ascii="Arial" w:cs="Arial" w:eastAsia="Arial" w:hAnsi="Arial"/>
                <w:sz w:val="16"/>
                <w:szCs w:val="16"/>
                <w:color w:val="auto"/>
              </w:rPr>
              <w:t>Impact of exchange rate on cash</w:t>
            </w:r>
          </w:p>
        </w:tc>
        <w:tc>
          <w:tcPr>
            <w:tcW w:w="2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134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(824)</w:t>
            </w: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(437)</w:t>
            </w:r>
          </w:p>
        </w:tc>
        <w:tc>
          <w:tcPr>
            <w:tcW w:w="940" w:type="dxa"/>
            <w:vAlign w:val="bottom"/>
            <w:gridSpan w:val="3"/>
          </w:tcPr>
          <w:p>
            <w:pPr>
              <w:jc w:val="right"/>
              <w:spacing w:after="0" w:line="173" w:lineRule="exact"/>
              <w:rPr>
                <w:sz w:val="20"/>
                <w:szCs w:val="20"/>
                <w:color w:val="auto"/>
              </w:rPr>
            </w:pPr>
            <w:r>
              <w:rPr>
                <w:rFonts w:ascii="Arial" w:cs="Arial" w:eastAsia="Arial" w:hAnsi="Arial"/>
                <w:sz w:val="16"/>
                <w:szCs w:val="16"/>
                <w:color w:val="auto"/>
              </w:rPr>
              <w:t>&gt;100%</w:t>
            </w:r>
          </w:p>
        </w:tc>
        <w:tc>
          <w:tcPr>
            <w:tcW w:w="100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(89)%</w:t>
            </w:r>
          </w:p>
        </w:tc>
      </w:tr>
      <w:tr>
        <w:trPr>
          <w:trHeight w:val="183"/>
        </w:trPr>
        <w:tc>
          <w:tcPr>
            <w:tcW w:w="4300" w:type="dxa"/>
            <w:vAlign w:val="bottom"/>
            <w:tcBorders>
              <w:top w:val="single" w:sz="8" w:color="CCEEFF"/>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(2,224)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(359)</w:t>
            </w:r>
          </w:p>
        </w:tc>
        <w:tc>
          <w:tcPr>
            <w:tcW w:w="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(19,538)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(&gt;100)</w:t>
            </w:r>
          </w:p>
        </w:tc>
        <w:tc>
          <w:tcPr>
            <w:tcW w:w="220" w:type="dxa"/>
            <w:vAlign w:val="bottom"/>
            <w:tcBorders>
              <w:top w:val="single" w:sz="8" w:color="CCEEFF"/>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w w:val="98"/>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-589280</wp:posOffset>
            </wp:positionV>
            <wp:extent cx="575310" cy="1193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575310" cy="11938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347" w:right="1246" w:bottom="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2025 vs. 2024</w:t>
      </w:r>
    </w:p>
    <w:p>
      <w:pPr>
        <w:jc w:val="both"/>
        <w:ind w:right="60"/>
        <w:spacing w:after="0" w:line="226" w:lineRule="auto"/>
        <w:rPr>
          <w:sz w:val="20"/>
          <w:szCs w:val="20"/>
          <w:color w:val="auto"/>
        </w:rPr>
      </w:pPr>
      <w:r>
        <w:rPr>
          <w:rFonts w:ascii="Arial" w:cs="Arial" w:eastAsia="Arial" w:hAnsi="Arial"/>
          <w:sz w:val="20"/>
          <w:szCs w:val="20"/>
          <w:color w:val="auto"/>
        </w:rPr>
        <w:t>Cash used in operating activities for the twelve months ended December 31, 2025 decreased by $2.3 million, to cash used of $1.6 million compared to cash used in the same period of prior year of $3.8 million, driven by a decrease in Net operating Loss of $11.5 million, offset by a $9.3 million decrease in net payable primarily due to increase in receivables and a smaller increase in accounts payable and accrued expense plus deferred revenues and other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2025 vs. 2024</w:t>
      </w:r>
    </w:p>
    <w:p>
      <w:pPr>
        <w:jc w:val="both"/>
        <w:ind w:right="60"/>
        <w:spacing w:after="0" w:line="255" w:lineRule="auto"/>
        <w:rPr>
          <w:sz w:val="20"/>
          <w:szCs w:val="20"/>
          <w:color w:val="auto"/>
        </w:rPr>
      </w:pPr>
      <w:r>
        <w:rPr>
          <w:rFonts w:ascii="Arial" w:cs="Arial" w:eastAsia="Arial" w:hAnsi="Arial"/>
          <w:sz w:val="18"/>
          <w:szCs w:val="18"/>
          <w:color w:val="auto"/>
        </w:rPr>
        <w:t>Cash provided in investing activities during the twelve months ended December 31, 2025, increased by $33.1 million, to cash provided of $37.1 million from a cash provided of $4.0 million in the same period of prior year. This was due to the proceeds from sale of our Cannon Park property assets in May 2025 and the Wellington property assets in January 2025, compared to the proceeds from the sale of our Culver City office in February 2024.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2025 vs. 2024</w:t>
      </w:r>
    </w:p>
    <w:p>
      <w:pPr>
        <w:jc w:val="both"/>
        <w:ind w:right="60"/>
        <w:spacing w:after="0" w:line="238" w:lineRule="auto"/>
        <w:rPr>
          <w:sz w:val="20"/>
          <w:szCs w:val="20"/>
          <w:color w:val="auto"/>
        </w:rPr>
      </w:pPr>
      <w:r>
        <w:rPr>
          <w:rFonts w:ascii="Arial" w:cs="Arial" w:eastAsia="Arial" w:hAnsi="Arial"/>
          <w:sz w:val="19"/>
          <w:szCs w:val="19"/>
          <w:color w:val="auto"/>
        </w:rPr>
        <w:t>Cash used in financing activities for the twelve months ended December 31, 2025, increased by $38.2 million, from a cash provided of $0.3 million to a cash used of $37.9 million. This was primarily due to the paydowns of our Westpac debt, Bank of America debt and NAB Bridge Facility in 2025 as discussed previously.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COMMITMENTS AND CONTINGENCIES</w:t>
      </w:r>
    </w:p>
    <w:p>
      <w:pPr>
        <w:spacing w:after="0" w:line="212"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color w:val="auto"/>
        </w:rPr>
        <w:t>The following table provides information with respect to the future maturities and scheduled principal repayments of our recorded contractual obligations and certain of our commitments and contingencies, either recorded or off-balance sheet, as of December 31, 2025: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2029</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2030</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Thereafter</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Total</w:t>
            </w:r>
          </w:p>
        </w:tc>
      </w:tr>
      <w:tr>
        <w:trPr>
          <w:trHeight w:val="233"/>
        </w:trPr>
        <w:tc>
          <w:tcPr>
            <w:tcW w:w="2800" w:type="dxa"/>
            <w:vAlign w:val="bottom"/>
            <w:gridSpan w:val="2"/>
            <w:shd w:val="clear" w:color="auto" w:fill="CCEEFF"/>
          </w:tcPr>
          <w:p>
            <w:pPr>
              <w:spacing w:after="0" w:line="232" w:lineRule="exact"/>
              <w:rPr>
                <w:sz w:val="20"/>
                <w:szCs w:val="20"/>
                <w:color w:val="auto"/>
              </w:rPr>
            </w:pPr>
            <w:r>
              <w:rPr>
                <w:rFonts w:ascii="Arial" w:cs="Arial" w:eastAsia="Arial" w:hAnsi="Arial"/>
                <w:sz w:val="15"/>
                <w:szCs w:val="15"/>
                <w:color w:val="auto"/>
              </w:rPr>
              <w:t>Debt</w:t>
            </w:r>
            <w:r>
              <w:rPr>
                <w:rFonts w:ascii="Arial" w:cs="Arial" w:eastAsia="Arial" w:hAnsi="Arial"/>
                <w:sz w:val="26"/>
                <w:szCs w:val="26"/>
                <w:color w:val="auto"/>
                <w:vertAlign w:val="superscript"/>
              </w:rPr>
              <w:t>(1)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83,245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51,485</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13,646</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157,178</w:t>
            </w:r>
          </w:p>
        </w:tc>
      </w:tr>
      <w:tr>
        <w:trPr>
          <w:trHeight w:val="171"/>
        </w:trPr>
        <w:tc>
          <w:tcPr>
            <w:tcW w:w="2800" w:type="dxa"/>
            <w:vAlign w:val="bottom"/>
            <w:gridSpan w:val="2"/>
          </w:tcPr>
          <w:p>
            <w:pPr>
              <w:spacing w:after="0" w:line="171" w:lineRule="exact"/>
              <w:rPr>
                <w:sz w:val="20"/>
                <w:szCs w:val="20"/>
                <w:color w:val="auto"/>
              </w:rPr>
            </w:pPr>
            <w:r>
              <w:rPr>
                <w:rFonts w:ascii="Arial" w:cs="Arial" w:eastAsia="Arial" w:hAnsi="Arial"/>
                <w:sz w:val="16"/>
                <w:szCs w:val="16"/>
                <w:color w:val="auto"/>
              </w:rPr>
              <w:t>Operating leases, including imputed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2800" w:type="dxa"/>
            <w:vAlign w:val="bottom"/>
            <w:gridSpan w:val="2"/>
          </w:tcPr>
          <w:p>
            <w:pPr>
              <w:spacing w:after="0" w:line="175" w:lineRule="exact"/>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5"/>
                <w:szCs w:val="15"/>
                <w:color w:val="auto"/>
              </w:rPr>
            </w:pP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29,197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26,662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25,293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23,851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21,653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color w:val="auto"/>
              </w:rPr>
              <w:t>111,402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238,058</w:t>
            </w:r>
          </w:p>
        </w:tc>
      </w:tr>
      <w:tr>
        <w:trPr>
          <w:trHeight w:val="173"/>
        </w:trPr>
        <w:tc>
          <w:tcPr>
            <w:tcW w:w="280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w w:val="93"/>
              </w:rPr>
              <w:t>Finance leases, including imputed interest</w:t>
            </w:r>
          </w:p>
        </w:tc>
        <w:tc>
          <w:tcPr>
            <w:tcW w:w="1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r>
      <w:tr>
        <w:trPr>
          <w:trHeight w:val="233"/>
        </w:trPr>
        <w:tc>
          <w:tcPr>
            <w:tcW w:w="2800" w:type="dxa"/>
            <w:vAlign w:val="bottom"/>
            <w:gridSpan w:val="2"/>
          </w:tcPr>
          <w:p>
            <w:pPr>
              <w:spacing w:after="0" w:line="232" w:lineRule="exact"/>
              <w:rPr>
                <w:sz w:val="20"/>
                <w:szCs w:val="20"/>
                <w:color w:val="auto"/>
              </w:rPr>
            </w:pPr>
            <w:r>
              <w:rPr>
                <w:rFonts w:ascii="Arial" w:cs="Arial" w:eastAsia="Arial" w:hAnsi="Arial"/>
                <w:sz w:val="15"/>
                <w:szCs w:val="15"/>
                <w:color w:val="auto"/>
              </w:rPr>
              <w:t>Subordinated debt</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27,913</w:t>
            </w:r>
          </w:p>
        </w:tc>
      </w:tr>
      <w:tr>
        <w:trPr>
          <w:trHeight w:val="173"/>
        </w:trPr>
        <w:tc>
          <w:tcPr>
            <w:tcW w:w="280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Pension liability</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633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444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2,322</w:t>
            </w:r>
          </w:p>
        </w:tc>
      </w:tr>
      <w:tr>
        <w:trPr>
          <w:trHeight w:val="173"/>
        </w:trPr>
        <w:tc>
          <w:tcPr>
            <w:tcW w:w="2800" w:type="dxa"/>
            <w:vAlign w:val="bottom"/>
            <w:gridSpan w:val="2"/>
          </w:tcPr>
          <w:p>
            <w:pPr>
              <w:spacing w:after="0" w:line="173" w:lineRule="exact"/>
              <w:rPr>
                <w:sz w:val="20"/>
                <w:szCs w:val="20"/>
                <w:color w:val="auto"/>
              </w:rPr>
            </w:pPr>
            <w:r>
              <w:rPr>
                <w:rFonts w:ascii="Arial" w:cs="Arial" w:eastAsia="Arial" w:hAnsi="Arial"/>
                <w:sz w:val="16"/>
                <w:szCs w:val="16"/>
                <w:color w:val="auto"/>
              </w:rPr>
              <w:t>Interest on pension liability</w:t>
            </w:r>
          </w:p>
        </w:tc>
        <w:tc>
          <w:tcPr>
            <w:tcW w:w="180" w:type="dxa"/>
            <w:vAlign w:val="bottom"/>
          </w:tcPr>
          <w:p>
            <w:pPr>
              <w:spacing w:after="0"/>
              <w:rPr>
                <w:sz w:val="15"/>
                <w:szCs w:val="15"/>
                <w:color w:val="auto"/>
              </w:rPr>
            </w:pPr>
          </w:p>
        </w:tc>
        <w:tc>
          <w:tcPr>
            <w:tcW w:w="72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62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88</w:t>
            </w:r>
          </w:p>
        </w:tc>
        <w:tc>
          <w:tcPr>
            <w:tcW w:w="180" w:type="dxa"/>
            <w:vAlign w:val="bottom"/>
          </w:tcPr>
          <w:p>
            <w:pPr>
              <w:spacing w:after="0"/>
              <w:rPr>
                <w:sz w:val="15"/>
                <w:szCs w:val="15"/>
                <w:color w:val="auto"/>
              </w:rPr>
            </w:pPr>
          </w:p>
        </w:tc>
        <w:tc>
          <w:tcPr>
            <w:tcW w:w="7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56</w:t>
            </w:r>
          </w:p>
        </w:tc>
        <w:tc>
          <w:tcPr>
            <w:tcW w:w="180" w:type="dxa"/>
            <w:vAlign w:val="bottom"/>
          </w:tcPr>
          <w:p>
            <w:pPr>
              <w:spacing w:after="0"/>
              <w:rPr>
                <w:sz w:val="15"/>
                <w:szCs w:val="15"/>
                <w:color w:val="auto"/>
              </w:rPr>
            </w:pPr>
          </w:p>
        </w:tc>
        <w:tc>
          <w:tcPr>
            <w:tcW w:w="7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18</w:t>
            </w:r>
          </w:p>
        </w:tc>
        <w:tc>
          <w:tcPr>
            <w:tcW w:w="180" w:type="dxa"/>
            <w:vAlign w:val="bottom"/>
          </w:tcPr>
          <w:p>
            <w:pPr>
              <w:spacing w:after="0"/>
              <w:rPr>
                <w:sz w:val="15"/>
                <w:szCs w:val="15"/>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224</w:t>
            </w:r>
          </w:p>
        </w:tc>
      </w:tr>
      <w:tr>
        <w:trPr>
          <w:trHeight w:val="243"/>
        </w:trPr>
        <w:tc>
          <w:tcPr>
            <w:tcW w:w="2800" w:type="dxa"/>
            <w:vAlign w:val="bottom"/>
            <w:tcBorders>
              <w:bottom w:val="single" w:sz="8" w:color="CCEEFF"/>
            </w:tcBorders>
            <w:gridSpan w:val="2"/>
            <w:shd w:val="clear" w:color="auto" w:fill="CCEEFF"/>
          </w:tcPr>
          <w:p>
            <w:pPr>
              <w:spacing w:after="0" w:line="222" w:lineRule="exact"/>
              <w:rPr>
                <w:sz w:val="20"/>
                <w:szCs w:val="20"/>
                <w:color w:val="auto"/>
              </w:rPr>
            </w:pPr>
            <w:r>
              <w:rPr>
                <w:rFonts w:ascii="Arial" w:cs="Arial" w:eastAsia="Arial" w:hAnsi="Arial"/>
                <w:sz w:val="15"/>
                <w:szCs w:val="15"/>
                <w:color w:val="auto"/>
              </w:rPr>
              <w:t>Estimated interest on debt</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32,390</w:t>
            </w:r>
          </w:p>
        </w:tc>
      </w:tr>
      <w:tr>
        <w:trPr>
          <w:trHeight w:val="163"/>
        </w:trPr>
        <w:tc>
          <w:tcPr>
            <w:tcW w:w="2800" w:type="dxa"/>
            <w:vAlign w:val="bottom"/>
            <w:gridSpan w:val="2"/>
          </w:tcPr>
          <w:p>
            <w:pPr>
              <w:ind w:left="100"/>
              <w:spacing w:after="0" w:line="153" w:lineRule="exact"/>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ind w:right="26"/>
              <w:spacing w:after="0" w:line="153"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126,637</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63,550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53"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32,969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53"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31,141</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53"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75,659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3"/>
              <w:spacing w:after="0" w:line="153" w:lineRule="exact"/>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128,129</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6"/>
              <w:spacing w:after="0" w:line="153"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458,085</w:t>
            </w:r>
          </w:p>
        </w:tc>
      </w:tr>
    </w:tbl>
    <w:p>
      <w:pPr>
        <w:spacing w:after="0" w:line="203" w:lineRule="exact"/>
        <w:rPr>
          <w:sz w:val="20"/>
          <w:szCs w:val="20"/>
          <w:color w:val="auto"/>
        </w:rPr>
      </w:pPr>
    </w:p>
    <w:p>
      <w:pPr>
        <w:ind w:left="720" w:hanging="36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is presented gross of deferred financing costs.</w:t>
      </w:r>
    </w:p>
    <w:p>
      <w:pPr>
        <w:ind w:left="720" w:hanging="366"/>
        <w:spacing w:after="0" w:line="225"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lease liability of the option associated with the ground lease purchase of the Village East Cinema.</w:t>
      </w:r>
    </w:p>
    <w:p>
      <w:pPr>
        <w:ind w:left="720" w:hanging="366"/>
        <w:spacing w:after="0"/>
        <w:tabs>
          <w:tab w:leader="none" w:pos="7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Estimated interest on debt is based on the anticipated loan balances for future periods and current applicable interest rates.</w:t>
      </w:r>
    </w:p>
    <w:p>
      <w:pPr>
        <w:spacing w:after="0" w:line="173" w:lineRule="exact"/>
        <w:rPr>
          <w:sz w:val="20"/>
          <w:szCs w:val="20"/>
          <w:color w:val="auto"/>
        </w:rPr>
      </w:pPr>
    </w:p>
    <w:p>
      <w:pPr>
        <w:ind w:right="340"/>
        <w:spacing w:after="0" w:line="227" w:lineRule="auto"/>
        <w:rPr>
          <w:sz w:val="20"/>
          <w:szCs w:val="20"/>
          <w:color w:val="auto"/>
        </w:rPr>
      </w:pPr>
      <w:r>
        <w:rPr>
          <w:rFonts w:ascii="Arial" w:cs="Arial" w:eastAsia="Arial" w:hAnsi="Arial"/>
          <w:sz w:val="20"/>
          <w:szCs w:val="20"/>
          <w:color w:val="auto"/>
        </w:rPr>
        <w:t xml:space="preserve">Please refer to </w:t>
      </w:r>
      <w:r>
        <w:rPr>
          <w:rFonts w:ascii="Arial" w:cs="Arial" w:eastAsia="Arial" w:hAnsi="Arial"/>
          <w:sz w:val="20"/>
          <w:szCs w:val="20"/>
          <w:i w:val="1"/>
          <w:iCs w:val="1"/>
          <w:color w:val="auto"/>
        </w:rPr>
        <w:t>Part II, Item 8 – Financial Statements and Supplementary Data—Notes to Consolidated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Note 15 – Commitments and Contingencies </w:t>
      </w:r>
      <w:r>
        <w:rPr>
          <w:rFonts w:ascii="Arial" w:cs="Arial" w:eastAsia="Arial" w:hAnsi="Arial"/>
          <w:sz w:val="20"/>
          <w:szCs w:val="20"/>
          <w:color w:val="auto"/>
        </w:rPr>
        <w:t>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12"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We are currently involved in certain legal proceedings and, as required, have accrued estimates of probable and estimable losses for the resolution of these claims, as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Please refer to </w:t>
      </w:r>
      <w:r>
        <w:rPr>
          <w:rFonts w:ascii="Arial" w:cs="Arial" w:eastAsia="Arial" w:hAnsi="Arial"/>
          <w:sz w:val="20"/>
          <w:szCs w:val="20"/>
          <w:i w:val="1"/>
          <w:iCs w:val="1"/>
          <w:color w:val="auto"/>
        </w:rPr>
        <w:t>Part I, Item 3 – Legal Proceedings</w:t>
      </w:r>
      <w:r>
        <w:rPr>
          <w:rFonts w:ascii="Arial" w:cs="Arial" w:eastAsia="Arial" w:hAnsi="Arial"/>
          <w:sz w:val="20"/>
          <w:szCs w:val="20"/>
          <w:color w:val="auto"/>
        </w:rPr>
        <w:t xml:space="preserve">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19"/>
          <w:szCs w:val="19"/>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337" w:right="1246" w:bottom="0" w:gutter="0" w:footer="0" w:header="0"/>
          <w:type w:val="continuous"/>
        </w:sectPr>
      </w:pPr>
    </w:p>
    <w:bookmarkStart w:id="76" w:name="page77"/>
    <w:bookmarkEnd w:id="76"/>
    <w:p>
      <w:pPr>
        <w:jc w:val="center"/>
        <w:ind w:right="6"/>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026"/>
          </w:cols>
          <w:pgMar w:left="1440" w:top="1251" w:right="144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FINANCIAL RISK MANAGEMENT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Currency and Interest Rate Risk</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9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decrease in the value of the Australian and New Zealand currencies as compared to the U.S. dollar combined with the limitations under our bank loans in Australia and New Zealand to move funds into the U.S., however, have negatively impacted our ability to rely on such funding for ongoing support of our domestic overhead.</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 We are currently facing additional risk as approximately $114.1 million of our borrowings mature over the next 24 months. We believe it unlikely that we will be able to refinance this debt at their current interest rates in this environment.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Inflation may also adversely impact the rent we pay for our leased cinemas, as many have cost of living adjustment features.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12"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We believe that the application of the following accounting policies requires significant judgments and estimates in the preparation of our financial results: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 Including Goodwill and Intangible Assets</w:t>
      </w:r>
    </w:p>
    <w:p>
      <w:pPr>
        <w:spacing w:after="0" w:line="21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214" w:lineRule="exact"/>
        <w:rPr>
          <w:sz w:val="20"/>
          <w:szCs w:val="20"/>
          <w:color w:val="auto"/>
        </w:rPr>
      </w:pPr>
    </w:p>
    <w:p>
      <w:pPr>
        <w:jc w:val="both"/>
        <w:ind w:left="720" w:right="60" w:hanging="366"/>
        <w:spacing w:after="0" w:line="252" w:lineRule="auto"/>
        <w:tabs>
          <w:tab w:leader="none" w:pos="7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Impairment of Long-lived Assets (other than Goodwill and Intangible Assets with indefinite lives) –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205" w:lineRule="exact"/>
        <w:rPr>
          <w:rFonts w:ascii="Arial" w:cs="Arial" w:eastAsia="Arial" w:hAnsi="Arial"/>
          <w:sz w:val="18"/>
          <w:szCs w:val="18"/>
          <w:i w:val="1"/>
          <w:iCs w:val="1"/>
          <w:color w:val="auto"/>
        </w:rPr>
      </w:pPr>
    </w:p>
    <w:p>
      <w:pPr>
        <w:ind w:left="720" w:right="80"/>
        <w:spacing w:after="0" w:line="227" w:lineRule="auto"/>
        <w:rPr>
          <w:rFonts w:ascii="Arial" w:cs="Arial" w:eastAsia="Arial" w:hAnsi="Arial"/>
          <w:sz w:val="18"/>
          <w:szCs w:val="18"/>
          <w:i w:val="1"/>
          <w:iCs w:val="1"/>
          <w:color w:val="auto"/>
        </w:rPr>
      </w:pPr>
      <w:r>
        <w:rPr>
          <w:rFonts w:ascii="Arial" w:cs="Arial" w:eastAsia="Arial" w:hAnsi="Arial"/>
          <w:sz w:val="20"/>
          <w:szCs w:val="20"/>
          <w:color w:val="auto"/>
        </w:rPr>
        <w:t>No impairment losses were recorded for long-lived assets for the year ended December 31, 2025, 2024 or 2023.</w:t>
      </w:r>
    </w:p>
    <w:p>
      <w:pPr>
        <w:spacing w:after="0" w:line="212" w:lineRule="exact"/>
        <w:rPr>
          <w:rFonts w:ascii="Arial" w:cs="Arial" w:eastAsia="Arial" w:hAnsi="Arial"/>
          <w:sz w:val="18"/>
          <w:szCs w:val="18"/>
          <w:i w:val="1"/>
          <w:iCs w:val="1"/>
          <w:color w:val="auto"/>
        </w:rPr>
      </w:pPr>
    </w:p>
    <w:p>
      <w:pPr>
        <w:jc w:val="both"/>
        <w:ind w:left="720" w:right="60" w:hanging="366"/>
        <w:spacing w:after="0" w:line="253" w:lineRule="auto"/>
        <w:tabs>
          <w:tab w:leader="none" w:pos="7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of Goodwill and Intangible Assets with indefinite lives –g</w:t>
      </w:r>
      <w:r>
        <w:rPr>
          <w:rFonts w:ascii="Arial" w:cs="Arial" w:eastAsia="Arial" w:hAnsi="Arial"/>
          <w:sz w:val="18"/>
          <w:szCs w:val="18"/>
          <w:color w:val="auto"/>
        </w:rPr>
        <w:t>oodwill and intangible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200" w:lineRule="exact"/>
        <w:rPr>
          <w:rFonts w:ascii="Arial" w:cs="Arial" w:eastAsia="Arial" w:hAnsi="Arial"/>
          <w:sz w:val="18"/>
          <w:szCs w:val="18"/>
          <w:i w:val="1"/>
          <w:iCs w:val="1"/>
          <w:color w:val="auto"/>
        </w:rPr>
      </w:pPr>
    </w:p>
    <w:p>
      <w:pPr>
        <w:ind w:left="720" w:right="60"/>
        <w:spacing w:after="0" w:line="227" w:lineRule="auto"/>
        <w:rPr>
          <w:rFonts w:ascii="Arial" w:cs="Arial" w:eastAsia="Arial" w:hAnsi="Arial"/>
          <w:sz w:val="18"/>
          <w:szCs w:val="18"/>
          <w:i w:val="1"/>
          <w:iCs w:val="1"/>
          <w:color w:val="auto"/>
        </w:rPr>
      </w:pPr>
      <w:r>
        <w:rPr>
          <w:rFonts w:ascii="Arial" w:cs="Arial" w:eastAsia="Arial" w:hAnsi="Arial"/>
          <w:sz w:val="20"/>
          <w:szCs w:val="20"/>
          <w:color w:val="auto"/>
        </w:rPr>
        <w:t>No impairment losses were recorded for goodwill and indefinite-lived intangible assets for the years ended December 31, 2025, 2024, or 2023.</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9400"/>
          </w:cols>
          <w:pgMar w:left="1260" w:top="1337" w:right="1246" w:bottom="0" w:gutter="0" w:footer="0" w:header="0"/>
          <w:type w:val="continuous"/>
        </w:sectPr>
      </w:pPr>
    </w:p>
    <w:bookmarkStart w:id="78" w:name="page79"/>
    <w:bookmarkEnd w:id="78"/>
    <w:p>
      <w:pPr>
        <w:jc w:val="center"/>
        <w:ind w:right="6"/>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026"/>
          </w:cols>
          <w:pgMar w:left="1440" w:top="1131" w:right="144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i w:val="1"/>
          <w:iCs w:val="1"/>
          <w:color w:val="auto"/>
        </w:rPr>
        <w:t>Tax Valuation Allowance and Deferred Taxes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 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2025, we had recorded approximately $72.7 million of deferred tax assets (net of $47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$70.1 million resulting in a net deferred tax asset of $2.6 million. The recoverability of deferred tax assets is dependent upon our ability to generate future taxable income.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Recognition of Gift Card Breakage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w:t>
      </w:r>
    </w:p>
    <w:p>
      <w:pPr>
        <w:spacing w:after="0" w:line="21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 xml:space="preserve">In contrast, recognition of gift card breakage income requires certain estimates and judgements to be made in regarding the pattern of customer behavior at our cinemas. This policy is described in detail in the section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Item 8 – Financial Statements and Supplementary Data—Notes to Consolidated Financial Statements-- Note 3 – Summary of Significant Accounting Policies – Accounting Changes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21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 xml:space="preserve">For </w:t>
      </w:r>
      <w:r>
        <w:rPr>
          <w:rFonts w:ascii="Arial" w:cs="Arial" w:eastAsia="Arial" w:hAnsi="Arial"/>
          <w:sz w:val="20"/>
          <w:szCs w:val="20"/>
          <w:u w:val="single" w:color="auto"/>
          <w:color w:val="auto"/>
        </w:rPr>
        <w:t>loss contingencies</w:t>
      </w:r>
      <w:r>
        <w:rPr>
          <w:rFonts w:ascii="Arial" w:cs="Arial" w:eastAsia="Arial" w:hAnsi="Arial"/>
          <w:sz w:val="20"/>
          <w:szCs w:val="20"/>
          <w:color w:val="auto"/>
        </w:rPr>
        <w:t>, we record any loss contingencies when there is a probable likelihood that the liability has been incurred and the amount of the loss can be reasonably estimated.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w:t>
      </w:r>
      <w:r>
        <w:rPr>
          <w:rFonts w:ascii="Arial" w:cs="Arial" w:eastAsia="Arial" w:hAnsi="Arial"/>
          <w:sz w:val="20"/>
          <w:szCs w:val="20"/>
          <w:u w:val="single" w:color="auto"/>
          <w:color w:val="auto"/>
        </w:rPr>
        <w:t>other contingencies</w:t>
      </w:r>
      <w:r>
        <w:rPr>
          <w:rFonts w:ascii="Arial" w:cs="Arial" w:eastAsia="Arial" w:hAnsi="Arial"/>
          <w:sz w:val="20"/>
          <w:szCs w:val="20"/>
          <w:i w:val="1"/>
          <w:iCs w:val="1"/>
          <w:u w:val="single" w:color="auto"/>
          <w:color w:val="auto"/>
        </w:rPr>
        <w:t>,</w:t>
      </w:r>
    </w:p>
    <w:p>
      <w:pPr>
        <w:spacing w:after="0" w:line="212" w:lineRule="exact"/>
        <w:rPr>
          <w:sz w:val="20"/>
          <w:szCs w:val="20"/>
          <w:color w:val="auto"/>
        </w:rPr>
      </w:pPr>
    </w:p>
    <w:p>
      <w:pPr>
        <w:jc w:val="both"/>
        <w:ind w:left="720" w:hanging="366"/>
        <w:spacing w:after="0" w:line="258" w:lineRule="auto"/>
        <w:tabs>
          <w:tab w:leader="none" w:pos="72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96" w:lineRule="exact"/>
        <w:rPr>
          <w:rFonts w:ascii="Arial" w:cs="Arial" w:eastAsia="Arial" w:hAnsi="Arial"/>
          <w:sz w:val="18"/>
          <w:szCs w:val="18"/>
          <w:i w:val="1"/>
          <w:iCs w:val="1"/>
          <w:color w:val="auto"/>
        </w:rPr>
      </w:pPr>
    </w:p>
    <w:p>
      <w:pPr>
        <w:ind w:left="720" w:right="20" w:hanging="366"/>
        <w:spacing w:after="0" w:line="227" w:lineRule="auto"/>
        <w:tabs>
          <w:tab w:leader="none" w:pos="720" w:val="left"/>
        </w:tabs>
        <w:numPr>
          <w:ilvl w:val="0"/>
          <w:numId w:val="35"/>
        </w:numPr>
        <w:rPr>
          <w:rFonts w:ascii="Arial" w:cs="Arial" w:eastAsia="Arial" w:hAnsi="Arial"/>
          <w:sz w:val="20"/>
          <w:szCs w:val="20"/>
          <w:i w:val="1"/>
          <w:iCs w:val="1"/>
          <w:color w:val="auto"/>
        </w:rPr>
      </w:pPr>
      <w:r>
        <w:rPr>
          <w:rFonts w:ascii="Arial" w:cs="Arial" w:eastAsia="Arial" w:hAnsi="Arial"/>
          <w:sz w:val="20"/>
          <w:szCs w:val="20"/>
          <w:color w:val="auto"/>
        </w:rPr>
        <w:t>for gain contingencies resulting from legal settlements, we record those settlements in our consolidated statements of operations when cash or other forms of payments are received.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contingencies</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Arial" w:cs="Arial" w:eastAsia="Arial" w:hAnsi="Arial"/>
          <w:sz w:val="20"/>
          <w:szCs w:val="20"/>
          <w:i w:val="1"/>
          <w:iCs w:val="1"/>
          <w:color w:val="auto"/>
        </w:rPr>
        <w:t>Part II, Item 8 – Financial Statements and Supplementary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Data—Notes to Consolidated Financial Statements-- Note 15 – Commitments and Contingencies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legal matters.</w:t>
      </w:r>
    </w:p>
    <w:p>
      <w:pPr>
        <w:spacing w:after="0" w:line="212" w:lineRule="exact"/>
        <w:rPr>
          <w:sz w:val="20"/>
          <w:szCs w:val="20"/>
          <w:color w:val="auto"/>
        </w:rPr>
      </w:pPr>
    </w:p>
    <w:p>
      <w:pPr>
        <w:ind w:right="120"/>
        <w:spacing w:after="0" w:line="226" w:lineRule="auto"/>
        <w:rPr>
          <w:sz w:val="20"/>
          <w:szCs w:val="20"/>
          <w:color w:val="auto"/>
        </w:rPr>
      </w:pPr>
      <w:r>
        <w:rPr>
          <w:rFonts w:ascii="Arial" w:cs="Arial" w:eastAsia="Arial" w:hAnsi="Arial"/>
          <w:sz w:val="20"/>
          <w:szCs w:val="20"/>
          <w:color w:val="auto"/>
        </w:rPr>
        <w:t xml:space="preserve">For a summary of our significant accounting policies, including the critical accounting estimates discussed above, see </w:t>
      </w:r>
      <w:r>
        <w:rPr>
          <w:rFonts w:ascii="Arial" w:cs="Arial" w:eastAsia="Arial" w:hAnsi="Arial"/>
          <w:sz w:val="20"/>
          <w:szCs w:val="20"/>
          <w:i w:val="1"/>
          <w:iCs w:val="1"/>
          <w:color w:val="auto"/>
        </w:rPr>
        <w:t>Part II, Item 8 – Financial Statements and Supplementary Data—Notes to Consolidated Financial Statements--</w:t>
      </w:r>
      <w:r>
        <w:rPr>
          <w:rFonts w:ascii="Arial" w:cs="Arial" w:eastAsia="Arial" w:hAnsi="Arial"/>
          <w:sz w:val="20"/>
          <w:szCs w:val="20"/>
          <w:color w:val="auto"/>
        </w:rPr>
        <w:t xml:space="preserve"> </w:t>
      </w:r>
      <w:r>
        <w:rPr>
          <w:rFonts w:ascii="Arial" w:cs="Arial" w:eastAsia="Arial" w:hAnsi="Arial"/>
          <w:sz w:val="20"/>
          <w:szCs w:val="20"/>
          <w:i w:val="1"/>
          <w:iCs w:val="1"/>
          <w:color w:val="auto"/>
        </w:rPr>
        <w:t>Note 3</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7A – Quantitative and Qualitative Disclosure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9340"/>
          </w:cols>
          <w:pgMar w:left="1260" w:top="133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9340"/>
          </w:cols>
          <w:pgMar w:left="1260" w:top="1337" w:right="1306" w:bottom="0" w:gutter="0" w:footer="0" w:header="0"/>
          <w:type w:val="continuous"/>
        </w:sectPr>
      </w:pPr>
    </w:p>
    <w:bookmarkStart w:id="80" w:name="page81"/>
    <w:bookmarkEnd w:id="80"/>
    <w:p>
      <w:pPr>
        <w:jc w:val="center"/>
        <w:ind w:right="6"/>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9026"/>
          </w:cols>
          <w:pgMar w:left="1440" w:top="1131" w:right="144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4"/>
          <w:szCs w:val="24"/>
          <w:b w:val="1"/>
          <w:bCs w:val="1"/>
          <w:u w:val="single" w:color="auto"/>
          <w:color w:val="auto"/>
        </w:rPr>
        <w:t>Item 8 – Financial Statements and Supplementary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21"/>
          </w:tcPr>
          <w:p>
            <w:pPr>
              <w:jc w:val="center"/>
              <w:ind w:right="2840"/>
              <w:spacing w:after="0"/>
              <w:rPr>
                <w:sz w:val="20"/>
                <w:szCs w:val="20"/>
                <w:color w:val="auto"/>
              </w:rPr>
            </w:pPr>
            <w:r>
              <w:rPr>
                <w:rFonts w:ascii="Arial" w:cs="Arial" w:eastAsia="Arial" w:hAnsi="Arial"/>
                <w:sz w:val="20"/>
                <w:szCs w:val="20"/>
                <w:b w:val="1"/>
                <w:bCs w:val="1"/>
                <w:color w:val="auto"/>
              </w:rPr>
              <w:t>READING INTERNATIONAL, INC.</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12"/>
          </w:tcPr>
          <w:p>
            <w:pPr>
              <w:jc w:val="center"/>
              <w:ind w:right="340"/>
              <w:spacing w:after="0" w:line="219" w:lineRule="exact"/>
              <w:rPr>
                <w:sz w:val="20"/>
                <w:szCs w:val="20"/>
                <w:color w:val="auto"/>
              </w:rPr>
            </w:pPr>
            <w:r>
              <w:rPr>
                <w:rFonts w:ascii="Arial" w:cs="Arial" w:eastAsia="Arial" w:hAnsi="Arial"/>
                <w:sz w:val="20"/>
                <w:szCs w:val="20"/>
                <w:b w:val="1"/>
                <w:bCs w:val="1"/>
                <w:color w:val="auto"/>
                <w:w w:val="99"/>
              </w:rPr>
              <w:t>TABLE OF CONTENTS</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vMerge w:val="restart"/>
          </w:tcPr>
          <w:p>
            <w:pPr>
              <w:jc w:val="right"/>
              <w:ind w:right="4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20" w:type="dxa"/>
            <w:vAlign w:val="bottom"/>
            <w:tcBorders>
              <w:bottom w:val="single" w:sz="8" w:color="0000FF"/>
            </w:tcBorders>
            <w:gridSpan w:val="26"/>
            <w:shd w:val="clear" w:color="auto" w:fill="CCEEFF"/>
          </w:tcPr>
          <w:p>
            <w:pPr>
              <w:spacing w:after="0" w:line="197" w:lineRule="exact"/>
              <w:rPr>
                <w:sz w:val="20"/>
                <w:szCs w:val="20"/>
                <w:color w:val="auto"/>
              </w:rPr>
            </w:pPr>
            <w:r>
              <w:rPr>
                <w:rFonts w:ascii="Arial" w:cs="Arial" w:eastAsia="Arial" w:hAnsi="Arial"/>
                <w:sz w:val="20"/>
                <w:szCs w:val="20"/>
                <w:color w:val="0000FF"/>
                <w:w w:val="91"/>
              </w:rPr>
              <w:t>Management’s Report on Internal Control over Financial Reporting</w:t>
            </w:r>
          </w:p>
        </w:tc>
        <w:tc>
          <w:tcPr>
            <w:tcW w:w="3440" w:type="dxa"/>
            <w:vAlign w:val="bottom"/>
            <w:tcBorders>
              <w:bottom w:val="single" w:sz="8" w:color="CCEEFF"/>
            </w:tcBorders>
            <w:gridSpan w:val="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196"/>
        </w:trPr>
        <w:tc>
          <w:tcPr>
            <w:tcW w:w="8860" w:type="dxa"/>
            <w:vAlign w:val="bottom"/>
            <w:gridSpan w:val="32"/>
          </w:tcPr>
          <w:p>
            <w:pPr>
              <w:spacing w:after="0" w:line="196" w:lineRule="exact"/>
              <w:rPr>
                <w:sz w:val="20"/>
                <w:szCs w:val="20"/>
                <w:color w:val="auto"/>
              </w:rPr>
            </w:pPr>
            <w:r>
              <w:rPr>
                <w:rFonts w:ascii="Arial" w:cs="Arial" w:eastAsia="Arial" w:hAnsi="Arial"/>
                <w:sz w:val="20"/>
                <w:szCs w:val="20"/>
                <w:color w:val="0000FF"/>
              </w:rPr>
              <w:t xml:space="preserve">Report of Independent Registered Public Accounting Firm </w:t>
            </w:r>
            <w:r>
              <w:rPr>
                <w:rFonts w:ascii="Arial" w:cs="Arial" w:eastAsia="Arial" w:hAnsi="Arial"/>
                <w:sz w:val="20"/>
                <w:szCs w:val="20"/>
                <w:color w:val="000000"/>
              </w:rPr>
              <w:t>(PCAOB ID Number 248)</w:t>
            </w: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FF"/>
            </w:tcBorders>
            <w:gridSpan w:val="25"/>
            <w:shd w:val="clear" w:color="auto" w:fill="CCEEFF"/>
          </w:tcPr>
          <w:p>
            <w:pPr>
              <w:spacing w:after="0" w:line="196" w:lineRule="exact"/>
              <w:rPr>
                <w:sz w:val="20"/>
                <w:szCs w:val="20"/>
                <w:color w:val="auto"/>
              </w:rPr>
            </w:pPr>
            <w:r>
              <w:rPr>
                <w:rFonts w:ascii="Arial" w:cs="Arial" w:eastAsia="Arial" w:hAnsi="Arial"/>
                <w:sz w:val="20"/>
                <w:szCs w:val="20"/>
                <w:color w:val="0000FF"/>
                <w:w w:val="88"/>
              </w:rPr>
              <w:t>Consolidated Balance Sheets as of December 31, 2025 and 2024</w:t>
            </w:r>
          </w:p>
        </w:tc>
        <w:tc>
          <w:tcPr>
            <w:tcW w:w="3680" w:type="dxa"/>
            <w:vAlign w:val="bottom"/>
            <w:tcBorders>
              <w:bottom w:val="single" w:sz="8" w:color="CCEEFF"/>
            </w:tcBorders>
            <w:gridSpan w:val="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20"/>
                <w:szCs w:val="20"/>
                <w:color w:val="0000FF"/>
                <w:w w:val="89"/>
              </w:rPr>
              <w:t>Consolidated Statements of Operations for the Three Years Ended December 31, 2025</w:t>
            </w:r>
          </w:p>
        </w:tc>
        <w:tc>
          <w:tcPr>
            <w:tcW w:w="19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196"/>
        </w:trPr>
        <w:tc>
          <w:tcPr>
            <w:tcW w:w="8860" w:type="dxa"/>
            <w:vAlign w:val="bottom"/>
            <w:gridSpan w:val="32"/>
            <w:shd w:val="clear" w:color="auto" w:fill="CCEEFF"/>
          </w:tcPr>
          <w:p>
            <w:pPr>
              <w:spacing w:after="0" w:line="196" w:lineRule="exact"/>
              <w:rPr>
                <w:sz w:val="20"/>
                <w:szCs w:val="20"/>
                <w:color w:val="auto"/>
              </w:rPr>
            </w:pPr>
            <w:r>
              <w:rPr>
                <w:rFonts w:ascii="Arial" w:cs="Arial" w:eastAsia="Arial" w:hAnsi="Arial"/>
                <w:sz w:val="20"/>
                <w:szCs w:val="20"/>
                <w:color w:val="0000FF"/>
                <w:w w:val="93"/>
              </w:rPr>
              <w:t>Consolidated Statements of Comprehensive Income (Loss) for the Three Years Ended December 31, 2025</w:t>
            </w:r>
          </w:p>
        </w:tc>
        <w:tc>
          <w:tcPr>
            <w:tcW w:w="20" w:type="dxa"/>
            <w:vAlign w:val="bottom"/>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196"/>
        </w:trPr>
        <w:tc>
          <w:tcPr>
            <w:tcW w:w="8480" w:type="dxa"/>
            <w:vAlign w:val="bottom"/>
            <w:tcBorders>
              <w:top w:val="single" w:sz="8" w:color="0000FF"/>
            </w:tcBorders>
            <w:gridSpan w:val="31"/>
          </w:tcPr>
          <w:p>
            <w:pPr>
              <w:spacing w:after="0" w:line="196" w:lineRule="exact"/>
              <w:rPr>
                <w:sz w:val="20"/>
                <w:szCs w:val="20"/>
                <w:color w:val="auto"/>
              </w:rPr>
            </w:pPr>
            <w:r>
              <w:rPr>
                <w:rFonts w:ascii="Arial" w:cs="Arial" w:eastAsia="Arial" w:hAnsi="Arial"/>
                <w:sz w:val="20"/>
                <w:szCs w:val="20"/>
                <w:color w:val="0000FF"/>
                <w:w w:val="98"/>
              </w:rPr>
              <w:t>Consolidated Statements of Stockholders’ Equity for the Three Years Ended December 31, 2025</w:t>
            </w:r>
          </w:p>
        </w:tc>
        <w:tc>
          <w:tcPr>
            <w:tcW w:w="3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FF"/>
              <w:bottom w:val="single" w:sz="8" w:color="0000FF"/>
            </w:tcBorders>
            <w:gridSpan w:val="29"/>
            <w:shd w:val="clear" w:color="auto" w:fill="CCEEFF"/>
          </w:tcPr>
          <w:p>
            <w:pPr>
              <w:spacing w:after="0" w:line="196" w:lineRule="exact"/>
              <w:rPr>
                <w:sz w:val="20"/>
                <w:szCs w:val="20"/>
                <w:color w:val="auto"/>
              </w:rPr>
            </w:pPr>
            <w:r>
              <w:rPr>
                <w:rFonts w:ascii="Arial" w:cs="Arial" w:eastAsia="Arial" w:hAnsi="Arial"/>
                <w:sz w:val="20"/>
                <w:szCs w:val="20"/>
                <w:color w:val="0000FF"/>
                <w:w w:val="89"/>
              </w:rPr>
              <w:t>Consolidated Statements of Cash Flows for the Three Years Ended December 31, 2025</w:t>
            </w:r>
          </w:p>
        </w:tc>
        <w:tc>
          <w:tcPr>
            <w:tcW w:w="740" w:type="dxa"/>
            <w:vAlign w:val="bottom"/>
            <w:tcBorders>
              <w:top w:val="single" w:sz="8" w:color="0000FF"/>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196"/>
        </w:trPr>
        <w:tc>
          <w:tcPr>
            <w:tcW w:w="8860" w:type="dxa"/>
            <w:vAlign w:val="bottom"/>
            <w:gridSpan w:val="32"/>
          </w:tcPr>
          <w:p>
            <w:pPr>
              <w:spacing w:after="0" w:line="196" w:lineRule="exact"/>
              <w:rPr>
                <w:sz w:val="20"/>
                <w:szCs w:val="20"/>
                <w:color w:val="auto"/>
              </w:rPr>
            </w:pPr>
            <w:r>
              <w:rPr>
                <w:rFonts w:ascii="Arial" w:cs="Arial" w:eastAsia="Arial" w:hAnsi="Arial"/>
                <w:sz w:val="20"/>
                <w:szCs w:val="20"/>
                <w:color w:val="0000FF"/>
              </w:rPr>
              <w:t>Notes to Consolidated Financial Statements</w:t>
            </w: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FF"/>
              <w:bottom w:val="single" w:sz="8" w:color="0000FF"/>
            </w:tcBorders>
            <w:gridSpan w:val="8"/>
            <w:shd w:val="clear" w:color="auto" w:fill="CCEEFF"/>
          </w:tcPr>
          <w:p>
            <w:pPr>
              <w:spacing w:after="0" w:line="196" w:lineRule="exact"/>
              <w:rPr>
                <w:sz w:val="20"/>
                <w:szCs w:val="20"/>
                <w:color w:val="auto"/>
              </w:rPr>
            </w:pPr>
            <w:r>
              <w:rPr>
                <w:rFonts w:ascii="Arial" w:cs="Arial" w:eastAsia="Arial" w:hAnsi="Arial"/>
                <w:sz w:val="20"/>
                <w:szCs w:val="20"/>
                <w:color w:val="0000FF"/>
                <w:w w:val="90"/>
              </w:rPr>
              <w:t>Note 1 – Description of Business</w:t>
            </w:r>
          </w:p>
        </w:tc>
        <w:tc>
          <w:tcPr>
            <w:tcW w:w="840" w:type="dxa"/>
            <w:vAlign w:val="bottom"/>
            <w:tcBorders>
              <w:top w:val="single" w:sz="8" w:color="0000FF"/>
              <w:bottom w:val="single" w:sz="8" w:color="CCEEFF"/>
            </w:tcBorders>
            <w:gridSpan w:val="9"/>
            <w:shd w:val="clear" w:color="auto" w:fill="CCEEFF"/>
          </w:tcPr>
          <w:p>
            <w:pPr>
              <w:spacing w:after="0"/>
              <w:rPr>
                <w:sz w:val="17"/>
                <w:szCs w:val="17"/>
                <w:color w:val="auto"/>
              </w:rPr>
            </w:pPr>
          </w:p>
        </w:tc>
        <w:tc>
          <w:tcPr>
            <w:tcW w:w="5360" w:type="dxa"/>
            <w:vAlign w:val="bottom"/>
            <w:tcBorders>
              <w:bottom w:val="single" w:sz="8" w:color="CCEEFF"/>
            </w:tcBorders>
            <w:gridSpan w:val="1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95"/>
              </w:rPr>
              <w:t>Note 2 – Liquidity</w:t>
            </w:r>
          </w:p>
        </w:tc>
        <w:tc>
          <w:tcPr>
            <w:tcW w:w="736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196"/>
        </w:trPr>
        <w:tc>
          <w:tcPr>
            <w:tcW w:w="8860" w:type="dxa"/>
            <w:vAlign w:val="bottom"/>
            <w:gridSpan w:val="32"/>
            <w:shd w:val="clear" w:color="auto" w:fill="CCEEFF"/>
          </w:tcPr>
          <w:p>
            <w:pPr>
              <w:spacing w:after="0" w:line="196" w:lineRule="exact"/>
              <w:rPr>
                <w:sz w:val="20"/>
                <w:szCs w:val="20"/>
                <w:color w:val="auto"/>
              </w:rPr>
            </w:pPr>
            <w:r>
              <w:rPr>
                <w:rFonts w:ascii="Arial" w:cs="Arial" w:eastAsia="Arial" w:hAnsi="Arial"/>
                <w:sz w:val="20"/>
                <w:szCs w:val="20"/>
                <w:color w:val="0000FF"/>
              </w:rPr>
              <w:t>Note 3 – Summary of Significant Accounting Policies</w:t>
            </w:r>
          </w:p>
        </w:tc>
        <w:tc>
          <w:tcPr>
            <w:tcW w:w="20" w:type="dxa"/>
            <w:vAlign w:val="bottom"/>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20"/>
                <w:szCs w:val="20"/>
                <w:color w:val="0000FF"/>
              </w:rPr>
              <w:t>Note 4 - Segment Reporting</w:t>
            </w:r>
          </w:p>
        </w:tc>
        <w:tc>
          <w:tcPr>
            <w:tcW w:w="4540" w:type="dxa"/>
            <w:vAlign w:val="bottom"/>
            <w:tcBorders>
              <w:top w:val="single" w:sz="8" w:color="CCEE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32"/>
            <w:shd w:val="clear" w:color="auto" w:fill="CCEEFF"/>
          </w:tcPr>
          <w:p>
            <w:pPr>
              <w:spacing w:after="0" w:line="196" w:lineRule="exact"/>
              <w:rPr>
                <w:sz w:val="20"/>
                <w:szCs w:val="20"/>
                <w:color w:val="auto"/>
              </w:rPr>
            </w:pPr>
            <w:r>
              <w:rPr>
                <w:rFonts w:ascii="Arial" w:cs="Arial" w:eastAsia="Arial" w:hAnsi="Arial"/>
                <w:sz w:val="20"/>
                <w:szCs w:val="20"/>
                <w:color w:val="0000FF"/>
              </w:rPr>
              <w:t>Note 5 – Earnings (Loss) Per Share</w:t>
            </w:r>
          </w:p>
        </w:tc>
        <w:tc>
          <w:tcPr>
            <w:tcW w:w="20" w:type="dxa"/>
            <w:vAlign w:val="bottom"/>
            <w:vMerge w:val="continue"/>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196"/>
        </w:trPr>
        <w:tc>
          <w:tcPr>
            <w:tcW w:w="2720" w:type="dxa"/>
            <w:vAlign w:val="bottom"/>
            <w:tcBorders>
              <w:top w:val="single" w:sz="8" w:color="0000FF"/>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w w:val="88"/>
              </w:rPr>
              <w:t>Note 6 – Real Estate Transactions</w:t>
            </w:r>
          </w:p>
        </w:tc>
        <w:tc>
          <w:tcPr>
            <w:tcW w:w="120" w:type="dxa"/>
            <w:vAlign w:val="bottom"/>
            <w:tcBorders>
              <w:top w:val="single" w:sz="8" w:color="0000FF"/>
            </w:tcBorders>
            <w:gridSpan w:val="3"/>
          </w:tcPr>
          <w:p>
            <w:pPr>
              <w:spacing w:after="0"/>
              <w:rPr>
                <w:sz w:val="17"/>
                <w:szCs w:val="17"/>
                <w:color w:val="auto"/>
              </w:rPr>
            </w:pPr>
          </w:p>
        </w:tc>
        <w:tc>
          <w:tcPr>
            <w:tcW w:w="6020" w:type="dxa"/>
            <w:vAlign w:val="bottom"/>
            <w:tcBorders>
              <w:top w:val="single" w:sz="8" w:color="CCEEFF"/>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FF"/>
            </w:tcBorders>
            <w:gridSpan w:val="12"/>
            <w:shd w:val="clear" w:color="auto" w:fill="CCEEFF"/>
          </w:tcPr>
          <w:p>
            <w:pPr>
              <w:spacing w:after="0" w:line="196" w:lineRule="exact"/>
              <w:rPr>
                <w:sz w:val="20"/>
                <w:szCs w:val="20"/>
                <w:color w:val="auto"/>
              </w:rPr>
            </w:pPr>
            <w:r>
              <w:rPr>
                <w:rFonts w:ascii="Arial" w:cs="Arial" w:eastAsia="Arial" w:hAnsi="Arial"/>
                <w:sz w:val="20"/>
                <w:szCs w:val="20"/>
                <w:color w:val="0000FF"/>
                <w:w w:val="90"/>
              </w:rPr>
              <w:t>Note 7 – Properties and Equipment</w:t>
            </w:r>
          </w:p>
        </w:tc>
        <w:tc>
          <w:tcPr>
            <w:tcW w:w="6020" w:type="dxa"/>
            <w:vAlign w:val="bottom"/>
            <w:tcBorders>
              <w:bottom w:val="single" w:sz="8" w:color="CCEEFF"/>
            </w:tcBorders>
            <w:gridSpan w:val="20"/>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7"/>
              </w:rPr>
              <w:t>Note 8 – Leases</w:t>
            </w:r>
          </w:p>
        </w:tc>
        <w:tc>
          <w:tcPr>
            <w:tcW w:w="756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196"/>
        </w:trPr>
        <w:tc>
          <w:tcPr>
            <w:tcW w:w="8860" w:type="dxa"/>
            <w:vAlign w:val="bottom"/>
            <w:gridSpan w:val="32"/>
            <w:shd w:val="clear" w:color="auto" w:fill="CCEEFF"/>
          </w:tcPr>
          <w:p>
            <w:pPr>
              <w:spacing w:after="0" w:line="196" w:lineRule="exact"/>
              <w:rPr>
                <w:sz w:val="20"/>
                <w:szCs w:val="20"/>
                <w:color w:val="auto"/>
              </w:rPr>
            </w:pPr>
            <w:r>
              <w:rPr>
                <w:rFonts w:ascii="Arial" w:cs="Arial" w:eastAsia="Arial" w:hAnsi="Arial"/>
                <w:sz w:val="20"/>
                <w:szCs w:val="20"/>
                <w:color w:val="0000FF"/>
              </w:rPr>
              <w:t>Note 9 – Investments in Unconsolidated Joint Ventures</w:t>
            </w:r>
          </w:p>
        </w:tc>
        <w:tc>
          <w:tcPr>
            <w:tcW w:w="20" w:type="dxa"/>
            <w:vAlign w:val="bottom"/>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FF"/>
            </w:tcBorders>
            <w:gridSpan w:val="22"/>
          </w:tcPr>
          <w:p>
            <w:pPr>
              <w:spacing w:after="0" w:line="196" w:lineRule="exact"/>
              <w:rPr>
                <w:sz w:val="20"/>
                <w:szCs w:val="20"/>
                <w:color w:val="auto"/>
              </w:rPr>
            </w:pPr>
            <w:r>
              <w:rPr>
                <w:rFonts w:ascii="Arial" w:cs="Arial" w:eastAsia="Arial" w:hAnsi="Arial"/>
                <w:sz w:val="20"/>
                <w:szCs w:val="20"/>
                <w:color w:val="0000FF"/>
              </w:rPr>
              <w:t>Note 10 – Goodwill and Intangible Assets</w:t>
            </w:r>
          </w:p>
        </w:tc>
        <w:tc>
          <w:tcPr>
            <w:tcW w:w="4460" w:type="dxa"/>
            <w:vAlign w:val="bottom"/>
            <w:tcBorders>
              <w:top w:val="single" w:sz="8" w:color="CCEEFF"/>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FF"/>
              <w:bottom w:val="single" w:sz="8" w:color="0000FF"/>
            </w:tcBorders>
            <w:gridSpan w:val="13"/>
            <w:shd w:val="clear" w:color="auto" w:fill="CCEEFF"/>
          </w:tcPr>
          <w:p>
            <w:pPr>
              <w:spacing w:after="0" w:line="196" w:lineRule="exact"/>
              <w:rPr>
                <w:sz w:val="20"/>
                <w:szCs w:val="20"/>
                <w:color w:val="auto"/>
              </w:rPr>
            </w:pPr>
            <w:r>
              <w:rPr>
                <w:rFonts w:ascii="Arial" w:cs="Arial" w:eastAsia="Arial" w:hAnsi="Arial"/>
                <w:sz w:val="20"/>
                <w:szCs w:val="20"/>
                <w:color w:val="0000FF"/>
                <w:w w:val="88"/>
              </w:rPr>
              <w:t>Note 11 – Prepaid and Other Assets</w:t>
            </w:r>
          </w:p>
        </w:tc>
        <w:tc>
          <w:tcPr>
            <w:tcW w:w="50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5500" w:type="dxa"/>
            <w:vAlign w:val="bottom"/>
            <w:tcBorders>
              <w:bottom w:val="single" w:sz="8" w:color="CCEEFF"/>
            </w:tcBorders>
            <w:gridSpan w:val="1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89"/>
              </w:rPr>
              <w:t>Note 12 – Income Taxes</w:t>
            </w:r>
          </w:p>
        </w:tc>
        <w:tc>
          <w:tcPr>
            <w:tcW w:w="690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FF"/>
            </w:tcBorders>
            <w:gridSpan w:val="3"/>
            <w:shd w:val="clear" w:color="auto" w:fill="CCEEFF"/>
          </w:tcPr>
          <w:p>
            <w:pPr>
              <w:spacing w:after="0" w:line="196" w:lineRule="exact"/>
              <w:rPr>
                <w:sz w:val="20"/>
                <w:szCs w:val="20"/>
                <w:color w:val="auto"/>
              </w:rPr>
            </w:pPr>
            <w:r>
              <w:rPr>
                <w:rFonts w:ascii="Arial" w:cs="Arial" w:eastAsia="Arial" w:hAnsi="Arial"/>
                <w:sz w:val="20"/>
                <w:szCs w:val="20"/>
                <w:color w:val="0000FF"/>
                <w:w w:val="92"/>
              </w:rPr>
              <w:t>Note 13 – Borrowings</w:t>
            </w:r>
          </w:p>
        </w:tc>
        <w:tc>
          <w:tcPr>
            <w:tcW w:w="7060" w:type="dxa"/>
            <w:vAlign w:val="bottom"/>
            <w:tcBorders>
              <w:bottom w:val="single" w:sz="8" w:color="CCEEFF"/>
            </w:tcBorders>
            <w:gridSpan w:val="29"/>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196"/>
        </w:trPr>
        <w:tc>
          <w:tcPr>
            <w:tcW w:w="8860" w:type="dxa"/>
            <w:vAlign w:val="bottom"/>
            <w:gridSpan w:val="32"/>
          </w:tcPr>
          <w:p>
            <w:pPr>
              <w:spacing w:after="0" w:line="196" w:lineRule="exact"/>
              <w:rPr>
                <w:sz w:val="20"/>
                <w:szCs w:val="20"/>
                <w:color w:val="auto"/>
              </w:rPr>
            </w:pPr>
            <w:r>
              <w:rPr>
                <w:rFonts w:ascii="Arial" w:cs="Arial" w:eastAsia="Arial" w:hAnsi="Arial"/>
                <w:sz w:val="20"/>
                <w:szCs w:val="20"/>
                <w:color w:val="0000FF"/>
              </w:rPr>
              <w:t>Note 14 – Pension and Other Liabilities</w:t>
            </w: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FF"/>
            </w:tcBorders>
            <w:gridSpan w:val="18"/>
            <w:shd w:val="clear" w:color="auto" w:fill="CCEEFF"/>
          </w:tcPr>
          <w:p>
            <w:pPr>
              <w:spacing w:after="0" w:line="196" w:lineRule="exact"/>
              <w:rPr>
                <w:sz w:val="20"/>
                <w:szCs w:val="20"/>
                <w:color w:val="auto"/>
              </w:rPr>
            </w:pPr>
            <w:r>
              <w:rPr>
                <w:rFonts w:ascii="Arial" w:cs="Arial" w:eastAsia="Arial" w:hAnsi="Arial"/>
                <w:sz w:val="20"/>
                <w:szCs w:val="20"/>
                <w:color w:val="0000FF"/>
                <w:w w:val="90"/>
              </w:rPr>
              <w:t>Note 15 – Commitments and Contingencies</w:t>
            </w:r>
          </w:p>
        </w:tc>
        <w:tc>
          <w:tcPr>
            <w:tcW w:w="5340" w:type="dxa"/>
            <w:vAlign w:val="bottom"/>
            <w:tcBorders>
              <w:bottom w:val="single" w:sz="8" w:color="CCEEFF"/>
            </w:tcBorders>
            <w:gridSpan w:val="1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20"/>
                <w:szCs w:val="20"/>
                <w:color w:val="0000FF"/>
                <w:w w:val="91"/>
              </w:rPr>
              <w:t>Note 16 – Noncontrolling Interests</w:t>
            </w:r>
          </w:p>
        </w:tc>
        <w:tc>
          <w:tcPr>
            <w:tcW w:w="60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0000FF"/>
            </w:tcBorders>
            <w:gridSpan w:val="24"/>
            <w:shd w:val="clear" w:color="auto" w:fill="CCEEFF"/>
          </w:tcPr>
          <w:p>
            <w:pPr>
              <w:spacing w:after="0" w:line="196" w:lineRule="exact"/>
              <w:rPr>
                <w:sz w:val="20"/>
                <w:szCs w:val="20"/>
                <w:color w:val="auto"/>
              </w:rPr>
            </w:pPr>
            <w:r>
              <w:rPr>
                <w:rFonts w:ascii="Arial" w:cs="Arial" w:eastAsia="Arial" w:hAnsi="Arial"/>
                <w:sz w:val="20"/>
                <w:szCs w:val="20"/>
                <w:color w:val="0000FF"/>
                <w:w w:val="87"/>
              </w:rPr>
              <w:t>Note 17 – Share-based Compensation and Repurchase Plans</w:t>
            </w:r>
          </w:p>
        </w:tc>
        <w:tc>
          <w:tcPr>
            <w:tcW w:w="402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196"/>
        </w:trPr>
        <w:tc>
          <w:tcPr>
            <w:tcW w:w="8860" w:type="dxa"/>
            <w:vAlign w:val="bottom"/>
            <w:gridSpan w:val="32"/>
          </w:tcPr>
          <w:p>
            <w:pPr>
              <w:spacing w:after="0" w:line="196" w:lineRule="exact"/>
              <w:rPr>
                <w:sz w:val="20"/>
                <w:szCs w:val="20"/>
                <w:color w:val="auto"/>
              </w:rPr>
            </w:pPr>
            <w:r>
              <w:rPr>
                <w:rFonts w:ascii="Arial" w:cs="Arial" w:eastAsia="Arial" w:hAnsi="Arial"/>
                <w:sz w:val="20"/>
                <w:szCs w:val="20"/>
                <w:color w:val="0000FF"/>
              </w:rPr>
              <w:t>Note 18 – Accumulated Other Comprehensive Income</w:t>
            </w: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FF"/>
            </w:tcBorders>
            <w:gridSpan w:val="21"/>
            <w:shd w:val="clear" w:color="auto" w:fill="CCEEFF"/>
          </w:tcPr>
          <w:p>
            <w:pPr>
              <w:spacing w:after="0" w:line="196" w:lineRule="exact"/>
              <w:rPr>
                <w:sz w:val="20"/>
                <w:szCs w:val="20"/>
                <w:color w:val="auto"/>
              </w:rPr>
            </w:pPr>
            <w:r>
              <w:rPr>
                <w:rFonts w:ascii="Arial" w:cs="Arial" w:eastAsia="Arial" w:hAnsi="Arial"/>
                <w:sz w:val="20"/>
                <w:szCs w:val="20"/>
                <w:color w:val="0000FF"/>
              </w:rPr>
              <w:t>Note 19 – Fair Value Measurements</w:t>
            </w:r>
          </w:p>
        </w:tc>
        <w:tc>
          <w:tcPr>
            <w:tcW w:w="4500" w:type="dxa"/>
            <w:vAlign w:val="bottom"/>
            <w:gridSpan w:val="11"/>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FF"/>
            </w:tcBorders>
            <w:gridSpan w:val="14"/>
          </w:tcPr>
          <w:p>
            <w:pPr>
              <w:spacing w:after="0" w:line="196" w:lineRule="exact"/>
              <w:rPr>
                <w:sz w:val="20"/>
                <w:szCs w:val="20"/>
                <w:color w:val="auto"/>
              </w:rPr>
            </w:pPr>
            <w:r>
              <w:rPr>
                <w:rFonts w:ascii="Arial" w:cs="Arial" w:eastAsia="Arial" w:hAnsi="Arial"/>
                <w:sz w:val="20"/>
                <w:szCs w:val="20"/>
                <w:color w:val="0000FF"/>
              </w:rPr>
              <w:t>Note 20 – Hedge Accounting</w:t>
            </w:r>
          </w:p>
        </w:tc>
        <w:tc>
          <w:tcPr>
            <w:tcW w:w="5980" w:type="dxa"/>
            <w:vAlign w:val="bottom"/>
            <w:tcBorders>
              <w:top w:val="single" w:sz="8" w:color="CCEEFF"/>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FF"/>
              <w:bottom w:val="single" w:sz="8" w:color="0000FF"/>
            </w:tcBorders>
            <w:gridSpan w:val="5"/>
            <w:shd w:val="clear" w:color="auto" w:fill="CCEEFF"/>
          </w:tcPr>
          <w:p>
            <w:pPr>
              <w:spacing w:after="0" w:line="196" w:lineRule="exact"/>
              <w:rPr>
                <w:sz w:val="20"/>
                <w:szCs w:val="20"/>
                <w:color w:val="auto"/>
              </w:rPr>
            </w:pPr>
            <w:r>
              <w:rPr>
                <w:rFonts w:ascii="Arial" w:cs="Arial" w:eastAsia="Arial" w:hAnsi="Arial"/>
                <w:sz w:val="20"/>
                <w:szCs w:val="20"/>
                <w:color w:val="0000FF"/>
                <w:w w:val="89"/>
              </w:rPr>
              <w:t>Note 21 – Related Parties</w:t>
            </w:r>
          </w:p>
        </w:tc>
        <w:tc>
          <w:tcPr>
            <w:tcW w:w="30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6500" w:type="dxa"/>
            <w:vAlign w:val="bottom"/>
            <w:tcBorders>
              <w:bottom w:val="single" w:sz="8" w:color="CCEEFF"/>
            </w:tcBorders>
            <w:gridSpan w:val="2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196"/>
        </w:trPr>
        <w:tc>
          <w:tcPr>
            <w:tcW w:w="8860" w:type="dxa"/>
            <w:vAlign w:val="bottom"/>
            <w:gridSpan w:val="32"/>
          </w:tcPr>
          <w:p>
            <w:pPr>
              <w:spacing w:after="0" w:line="196" w:lineRule="exact"/>
              <w:rPr>
                <w:sz w:val="20"/>
                <w:szCs w:val="20"/>
                <w:color w:val="auto"/>
              </w:rPr>
            </w:pPr>
            <w:r>
              <w:rPr>
                <w:rFonts w:ascii="Arial" w:cs="Arial" w:eastAsia="Arial" w:hAnsi="Arial"/>
                <w:sz w:val="20"/>
                <w:szCs w:val="20"/>
                <w:color w:val="0000FF"/>
              </w:rPr>
              <w:t>Note 22 – Subsequent Events</w:t>
            </w:r>
          </w:p>
        </w:tc>
        <w:tc>
          <w:tcPr>
            <w:tcW w:w="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0000FF"/>
            </w:tcBorders>
            <w:gridSpan w:val="19"/>
            <w:shd w:val="clear" w:color="auto" w:fill="CCEEFF"/>
          </w:tcPr>
          <w:p>
            <w:pPr>
              <w:spacing w:after="0" w:line="196" w:lineRule="exact"/>
              <w:rPr>
                <w:sz w:val="20"/>
                <w:szCs w:val="20"/>
                <w:color w:val="auto"/>
              </w:rPr>
            </w:pPr>
            <w:r>
              <w:rPr>
                <w:rFonts w:ascii="Arial" w:cs="Arial" w:eastAsia="Arial" w:hAnsi="Arial"/>
                <w:sz w:val="20"/>
                <w:szCs w:val="20"/>
                <w:color w:val="0000FF"/>
                <w:w w:val="91"/>
              </w:rPr>
              <w:t>Schedule II – Valuation and Qualifying Accounts</w:t>
            </w:r>
          </w:p>
        </w:tc>
        <w:tc>
          <w:tcPr>
            <w:tcW w:w="4920" w:type="dxa"/>
            <w:vAlign w:val="bottom"/>
            <w:tcBorders>
              <w:bottom w:val="single" w:sz="8" w:color="CCEEFF"/>
            </w:tcBorders>
            <w:gridSpan w:val="1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675"/>
        </w:trPr>
        <w:tc>
          <w:tcPr>
            <w:tcW w:w="5180" w:type="dxa"/>
            <w:vAlign w:val="bottom"/>
            <w:gridSpan w:val="25"/>
          </w:tcPr>
          <w:p>
            <w:pPr>
              <w:ind w:left="4480"/>
              <w:spacing w:after="0"/>
              <w:rPr>
                <w:sz w:val="20"/>
                <w:szCs w:val="20"/>
                <w:color w:val="auto"/>
              </w:rPr>
            </w:pPr>
            <w:r>
              <w:rPr>
                <w:rFonts w:ascii="Arial" w:cs="Arial" w:eastAsia="Arial" w:hAnsi="Arial"/>
                <w:sz w:val="20"/>
                <w:szCs w:val="20"/>
                <w:color w:val="auto"/>
              </w:rPr>
              <w:t>- 49 -</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3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9400"/>
          </w:cols>
          <w:pgMar w:left="1260" w:top="1334" w:right="1246" w:bottom="0" w:gutter="0" w:footer="0" w:header="0"/>
          <w:type w:val="continuous"/>
        </w:sectPr>
      </w:pPr>
    </w:p>
    <w:bookmarkStart w:id="82" w:name="page83"/>
    <w:bookmarkEnd w:id="82"/>
    <w:p>
      <w:pPr>
        <w:spacing w:after="0" w:line="123" w:lineRule="exact"/>
        <w:rPr>
          <w:sz w:val="20"/>
          <w:szCs w:val="20"/>
          <w:color w:val="auto"/>
        </w:rPr>
      </w:pPr>
    </w:p>
    <w:p>
      <w:pPr>
        <w:ind w:right="160"/>
        <w:spacing w:after="0" w:line="227" w:lineRule="auto"/>
        <w:rPr>
          <w:sz w:val="20"/>
          <w:szCs w:val="20"/>
          <w:color w:val="auto"/>
        </w:rPr>
      </w:pPr>
      <w:r>
        <w:rPr>
          <w:rFonts w:ascii="Arial" w:cs="Arial" w:eastAsia="Arial" w:hAnsi="Arial"/>
          <w:sz w:val="24"/>
          <w:szCs w:val="24"/>
          <w:b w:val="1"/>
          <w:bCs w:val="1"/>
          <w:color w:val="auto"/>
        </w:rPr>
        <w:t xml:space="preserve">MANAGEMENT'S REPORT ON INTERNAL CONTROL OVER FINANCIAL </w:t>
      </w:r>
      <w:r>
        <w:rPr>
          <w:rFonts w:ascii="Arial" w:cs="Arial" w:eastAsia="Arial" w:hAnsi="Arial"/>
          <w:sz w:val="24"/>
          <w:szCs w:val="24"/>
          <w:b w:val="1"/>
          <w:bCs w:val="1"/>
          <w:u w:val="single" w:color="auto"/>
          <w:color w:val="auto"/>
        </w:rPr>
        <w:t>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-171450</wp:posOffset>
                </wp:positionV>
                <wp:extent cx="596709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451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4999pt" to="469.55pt,-13.4999pt" o:allowincell="f" strokecolor="#000000" strokeweight="1.1425pt"/>
            </w:pict>
          </mc:Fallback>
        </mc:AlternateContent>
      </w:r>
    </w:p>
    <w:p>
      <w:pPr>
        <w:spacing w:after="0" w:line="37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of Directors and Stockholders</w:t>
      </w:r>
    </w:p>
    <w:p>
      <w:pPr>
        <w:spacing w:after="0" w:line="229" w:lineRule="auto"/>
        <w:rPr>
          <w:sz w:val="20"/>
          <w:szCs w:val="20"/>
          <w:color w:val="auto"/>
        </w:rPr>
      </w:pPr>
      <w:r>
        <w:rPr>
          <w:rFonts w:ascii="Arial" w:cs="Arial" w:eastAsia="Arial" w:hAnsi="Arial"/>
          <w:sz w:val="24"/>
          <w:szCs w:val="24"/>
          <w:b w:val="1"/>
          <w:bCs w:val="1"/>
          <w:color w:val="auto"/>
        </w:rPr>
        <w:t>Reading International, Inc.</w:t>
      </w:r>
    </w:p>
    <w:p>
      <w:pPr>
        <w:spacing w:after="0" w:line="25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Management, including our Chief Executive Officer and Chief Financial Officer, conducted an evaluation of the effectiveness of our internal control over financial reporting based on the criteria established in 2013 Internal Control —Integrated Framework issued by the Committee of Sponsoring Organizations (COSO) of the Treadway Commission. Based on this assessment, our management believes that the Company’s internal control over financial reporting is effective as of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Ellen M. Cotter</w:t>
            </w:r>
          </w:p>
        </w:tc>
        <w:tc>
          <w:tcPr>
            <w:tcW w:w="4800" w:type="dxa"/>
            <w:vAlign w:val="bottom"/>
            <w:gridSpan w:val="3"/>
          </w:tcPr>
          <w:p>
            <w:pPr>
              <w:ind w:left="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Gilbert Avanes</w:t>
            </w:r>
          </w:p>
        </w:tc>
      </w:tr>
      <w:tr>
        <w:trPr>
          <w:trHeight w:val="212"/>
        </w:trPr>
        <w:tc>
          <w:tcPr>
            <w:tcW w:w="340" w:type="dxa"/>
            <w:vAlign w:val="bottom"/>
          </w:tcPr>
          <w:p>
            <w:pPr>
              <w:spacing w:after="0"/>
              <w:rPr>
                <w:sz w:val="18"/>
                <w:szCs w:val="18"/>
                <w:color w:val="auto"/>
              </w:rPr>
            </w:pPr>
          </w:p>
        </w:tc>
        <w:tc>
          <w:tcPr>
            <w:tcW w:w="1500" w:type="dxa"/>
            <w:vAlign w:val="bottom"/>
            <w:tcBorders>
              <w:top w:val="single" w:sz="8" w:color="auto"/>
            </w:tcBorders>
          </w:tcPr>
          <w:p>
            <w:pPr>
              <w:ind w:left="20"/>
              <w:spacing w:after="0" w:line="212" w:lineRule="exact"/>
              <w:rPr>
                <w:sz w:val="20"/>
                <w:szCs w:val="20"/>
                <w:color w:val="auto"/>
              </w:rPr>
            </w:pPr>
            <w:r>
              <w:rPr>
                <w:rFonts w:ascii="Arial" w:cs="Arial" w:eastAsia="Arial" w:hAnsi="Arial"/>
                <w:sz w:val="20"/>
                <w:szCs w:val="20"/>
                <w:color w:val="auto"/>
              </w:rPr>
              <w:t>Ellen M. Cotter</w:t>
            </w: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Borders>
              <w:top w:val="single" w:sz="8" w:color="auto"/>
            </w:tcBorders>
          </w:tcPr>
          <w:p>
            <w:pPr>
              <w:ind w:left="20"/>
              <w:spacing w:after="0" w:line="212" w:lineRule="exact"/>
              <w:rPr>
                <w:sz w:val="20"/>
                <w:szCs w:val="20"/>
                <w:color w:val="auto"/>
              </w:rPr>
            </w:pPr>
            <w:r>
              <w:rPr>
                <w:rFonts w:ascii="Arial" w:cs="Arial" w:eastAsia="Arial" w:hAnsi="Arial"/>
                <w:sz w:val="20"/>
                <w:szCs w:val="20"/>
                <w:color w:val="auto"/>
              </w:rPr>
              <w:t>Gilbert Avanes</w:t>
            </w:r>
          </w:p>
        </w:tc>
        <w:tc>
          <w:tcPr>
            <w:tcW w:w="20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President and Chief Executive Officer</w:t>
            </w:r>
          </w:p>
        </w:tc>
        <w:tc>
          <w:tcPr>
            <w:tcW w:w="1320" w:type="dxa"/>
            <w:vAlign w:val="bottom"/>
          </w:tcPr>
          <w:p>
            <w:pPr>
              <w:spacing w:after="0"/>
              <w:rPr>
                <w:sz w:val="18"/>
                <w:szCs w:val="18"/>
                <w:color w:val="auto"/>
              </w:rPr>
            </w:pPr>
          </w:p>
        </w:tc>
        <w:tc>
          <w:tcPr>
            <w:tcW w:w="348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90"/>
              </w:rPr>
              <w:t>EVP, Chief Financial Officer and Treasurer</w:t>
            </w:r>
          </w:p>
        </w:tc>
      </w:tr>
      <w:tr>
        <w:trPr>
          <w:trHeight w:val="220"/>
        </w:trPr>
        <w:tc>
          <w:tcPr>
            <w:tcW w:w="340" w:type="dxa"/>
            <w:vAlign w:val="bottom"/>
          </w:tcPr>
          <w:p>
            <w:pPr>
              <w:spacing w:after="0"/>
              <w:rPr>
                <w:sz w:val="19"/>
                <w:szCs w:val="19"/>
                <w:color w:val="auto"/>
              </w:rPr>
            </w:pPr>
          </w:p>
        </w:tc>
        <w:tc>
          <w:tcPr>
            <w:tcW w:w="4080" w:type="dxa"/>
            <w:vAlign w:val="bottom"/>
            <w:gridSpan w:val="2"/>
          </w:tcPr>
          <w:p>
            <w:pPr>
              <w:ind w:left="20"/>
              <w:spacing w:after="0" w:line="220" w:lineRule="exact"/>
              <w:rPr>
                <w:sz w:val="20"/>
                <w:szCs w:val="20"/>
                <w:color w:val="auto"/>
              </w:rPr>
            </w:pPr>
            <w:r>
              <w:rPr>
                <w:rFonts w:ascii="Arial" w:cs="Arial" w:eastAsia="Arial" w:hAnsi="Arial"/>
                <w:sz w:val="20"/>
                <w:szCs w:val="20"/>
                <w:color w:val="auto"/>
              </w:rPr>
              <w:t>March 31, 2026</w:t>
            </w:r>
          </w:p>
        </w:tc>
        <w:tc>
          <w:tcPr>
            <w:tcW w:w="1320" w:type="dxa"/>
            <w:vAlign w:val="bottom"/>
          </w:tcPr>
          <w:p>
            <w:pPr>
              <w:spacing w:after="0"/>
              <w:rPr>
                <w:sz w:val="19"/>
                <w:szCs w:val="19"/>
                <w:color w:val="auto"/>
              </w:rPr>
            </w:pPr>
          </w:p>
        </w:tc>
        <w:tc>
          <w:tcPr>
            <w:tcW w:w="3480" w:type="dxa"/>
            <w:vAlign w:val="bottom"/>
            <w:gridSpan w:val="2"/>
          </w:tcPr>
          <w:p>
            <w:pPr>
              <w:ind w:left="20"/>
              <w:spacing w:after="0" w:line="220" w:lineRule="exact"/>
              <w:rPr>
                <w:sz w:val="20"/>
                <w:szCs w:val="20"/>
                <w:color w:val="auto"/>
              </w:rPr>
            </w:pPr>
            <w:r>
              <w:rPr>
                <w:rFonts w:ascii="Arial" w:cs="Arial" w:eastAsia="Arial" w:hAnsi="Arial"/>
                <w:sz w:val="20"/>
                <w:szCs w:val="20"/>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9380"/>
          </w:cols>
          <w:pgMar w:left="1260" w:top="1440" w:right="1266" w:bottom="0" w:gutter="0" w:footer="0" w:header="0"/>
          <w:type w:val="continuous"/>
        </w:sectPr>
      </w:pPr>
    </w:p>
    <w:bookmarkStart w:id="83" w:name="page84"/>
    <w:bookmarkEnd w:id="83"/>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REPORT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of Directors and Shareholders</w:t>
      </w:r>
    </w:p>
    <w:p>
      <w:pPr>
        <w:spacing w:after="0" w:line="229" w:lineRule="auto"/>
        <w:rPr>
          <w:sz w:val="20"/>
          <w:szCs w:val="20"/>
          <w:color w:val="auto"/>
        </w:rPr>
      </w:pPr>
      <w:r>
        <w:rPr>
          <w:rFonts w:ascii="Arial" w:cs="Arial" w:eastAsia="Arial" w:hAnsi="Arial"/>
          <w:sz w:val="24"/>
          <w:szCs w:val="24"/>
          <w:b w:val="1"/>
          <w:bCs w:val="1"/>
          <w:color w:val="auto"/>
        </w:rPr>
        <w:t>Reading International, Inc.</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Opinion on the financial statements</w:t>
      </w: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Reading International, Inc. and subsidiaries (the “Company”) as of December 31, 2025 and 2024, the related consolidated statements of operations, comprehensive income (loss), stockholders’ equity, and cash flows for each of the three years in the period ended December 31,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for opinion</w:t>
      </w:r>
    </w:p>
    <w:p>
      <w:pPr>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right="140"/>
        <w:spacing w:after="0" w:line="226"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Audit Matter</w:t>
      </w:r>
    </w:p>
    <w:p>
      <w:pPr>
        <w:ind w:right="4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of Long-Lived Assets</w:t>
      </w:r>
    </w:p>
    <w:p>
      <w:pPr>
        <w:ind w:right="20"/>
        <w:spacing w:after="0" w:line="251" w:lineRule="auto"/>
        <w:rPr>
          <w:sz w:val="20"/>
          <w:szCs w:val="20"/>
          <w:color w:val="auto"/>
        </w:rPr>
      </w:pPr>
      <w:r>
        <w:rPr>
          <w:rFonts w:ascii="Arial" w:cs="Arial" w:eastAsia="Arial" w:hAnsi="Arial"/>
          <w:sz w:val="18"/>
          <w:szCs w:val="18"/>
          <w:color w:val="auto"/>
        </w:rPr>
        <w:t>As described further in Note 2 and Note 3 to the financial statements, the Company reviews long-lived assets for impairment whenever events or changes in circumstances indicate the carrying amount of the asset may not be fully recoverable. The impairment evaluation of long-lived assets is an assessment that begins with the Company’s monitoring of indicators of impairment on an asset group basis, which the Company believes is the lowest applicable level for which there are identifiable cash flows. Outside of a change in circumstances that indicate the carrying amount of the asset may not be fully recoverable, the Company reviews long-lived assets for impairment as part of their annual budgeting process, at the beginning of the fourth quarter. When performing the impairment assessments, the Company estimates undiscounted cash flows at the asset group level from continuing use through the remainder of the asset’s useful life. If the estimated undiscounted cash flows are not sufficient to recover the carrying value of the asset, the Company then compares the carrying value of the asset with its estimated fair value. The key uncertainties in the assumptions used in estimating the projected cash flows of the operating properties and operating lease right-of-use assets are those surrounding admissions revenue expectations, growth rates, and discount rates. We identified the impairment of operating properties and operating lease right-of-use assets as a critical audit matter.</w:t>
      </w:r>
    </w:p>
    <w:p>
      <w:pPr>
        <w:spacing w:after="0" w:line="209" w:lineRule="exact"/>
        <w:rPr>
          <w:sz w:val="20"/>
          <w:szCs w:val="20"/>
          <w:color w:val="auto"/>
        </w:rPr>
      </w:pPr>
    </w:p>
    <w:p>
      <w:pPr>
        <w:ind w:right="160"/>
        <w:spacing w:after="0" w:line="224" w:lineRule="auto"/>
        <w:rPr>
          <w:sz w:val="20"/>
          <w:szCs w:val="20"/>
          <w:color w:val="auto"/>
        </w:rPr>
      </w:pPr>
      <w:r>
        <w:rPr>
          <w:rFonts w:ascii="Arial" w:cs="Arial" w:eastAsia="Arial" w:hAnsi="Arial"/>
          <w:sz w:val="20"/>
          <w:szCs w:val="20"/>
          <w:color w:val="auto"/>
        </w:rPr>
        <w:t>The principal considerations for our determination that the valuation of operating properties and operating lease right-of-use assets is a critical audit matter is due to the uncertainties and significant management judgment used to estimate the related undiscounted cash flows. Evaluating management’s estimates required a high degree of auditor judgment and an increased level of effort when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9380"/>
          </w:cols>
          <w:pgMar w:left="1260" w:top="1440" w:right="1266" w:bottom="0" w:gutter="0" w:footer="0" w:header="0"/>
          <w:type w:val="continuous"/>
        </w:sectPr>
      </w:pPr>
    </w:p>
    <w:bookmarkStart w:id="84" w:name="page85"/>
    <w:bookmarkEnd w:id="84"/>
    <w:p>
      <w:pPr>
        <w:jc w:val="center"/>
        <w:ind w:right="6"/>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9026"/>
          </w:cols>
          <w:pgMar w:left="1440" w:top="1131" w:right="1440" w:bottom="0" w:gutter="0" w:footer="0" w:header="0"/>
          <w:type w:val="continuous"/>
        </w:sectPr>
      </w:pPr>
    </w:p>
    <w:bookmarkStart w:id="85" w:name="page86"/>
    <w:bookmarkEnd w:id="85"/>
    <w:p>
      <w:pPr>
        <w:ind w:left="6" w:right="560"/>
        <w:spacing w:after="0" w:line="226" w:lineRule="auto"/>
        <w:rPr>
          <w:sz w:val="20"/>
          <w:szCs w:val="20"/>
          <w:color w:val="auto"/>
        </w:rPr>
      </w:pPr>
      <w:r>
        <w:rPr>
          <w:rFonts w:ascii="Arial" w:cs="Arial" w:eastAsia="Arial" w:hAnsi="Arial"/>
          <w:sz w:val="20"/>
          <w:szCs w:val="20"/>
          <w:color w:val="auto"/>
        </w:rPr>
        <w:t>performing audit procedures to evaluate the reasonableness of management’s cash flow analysis in light of the sensitive nature of the significant assumptions utilized by management.</w:t>
      </w:r>
    </w:p>
    <w:p>
      <w:pPr>
        <w:spacing w:after="0" w:line="154" w:lineRule="exact"/>
        <w:rPr>
          <w:sz w:val="20"/>
          <w:szCs w:val="20"/>
          <w:color w:val="auto"/>
        </w:rPr>
      </w:pPr>
    </w:p>
    <w:p>
      <w:pPr>
        <w:ind w:left="6" w:right="60"/>
        <w:spacing w:after="0" w:line="226" w:lineRule="auto"/>
        <w:rPr>
          <w:sz w:val="20"/>
          <w:szCs w:val="20"/>
          <w:color w:val="auto"/>
        </w:rPr>
      </w:pPr>
      <w:r>
        <w:rPr>
          <w:rFonts w:ascii="Arial" w:cs="Arial" w:eastAsia="Arial" w:hAnsi="Arial"/>
          <w:sz w:val="20"/>
          <w:szCs w:val="20"/>
          <w:color w:val="auto"/>
        </w:rPr>
        <w:t>Our audit procedures related to the valuation considerations for operating properties and operating lease right-of-use assets included the following, among others.</w:t>
      </w:r>
    </w:p>
    <w:p>
      <w:pPr>
        <w:spacing w:after="0" w:line="155" w:lineRule="exact"/>
        <w:rPr>
          <w:sz w:val="20"/>
          <w:szCs w:val="20"/>
          <w:color w:val="auto"/>
        </w:rPr>
      </w:pPr>
    </w:p>
    <w:p>
      <w:pPr>
        <w:ind w:left="366" w:right="340" w:hanging="366"/>
        <w:spacing w:after="0" w:line="242" w:lineRule="auto"/>
        <w:tabs>
          <w:tab w:leader="none" w:pos="366" w:val="left"/>
        </w:tabs>
        <w:numPr>
          <w:ilvl w:val="0"/>
          <w:numId w:val="36"/>
        </w:numPr>
        <w:rPr>
          <w:rFonts w:ascii="Wingdings" w:cs="Wingdings" w:eastAsia="Wingdings" w:hAnsi="Wingdings"/>
          <w:sz w:val="19"/>
          <w:szCs w:val="19"/>
          <w:color w:val="auto"/>
        </w:rPr>
      </w:pPr>
      <w:r>
        <w:rPr>
          <w:rFonts w:ascii="Arial" w:cs="Arial" w:eastAsia="Arial" w:hAnsi="Arial"/>
          <w:sz w:val="19"/>
          <w:szCs w:val="19"/>
          <w:color w:val="auto"/>
        </w:rPr>
        <w:t>We tested the design and implementation of internal controls relating to management’s identification of triggering events, measurement considerations for long-lived assets, and key inputs and assumptions used in relation to the projected undiscounted cash flows to be generated by asset groups.</w:t>
      </w:r>
    </w:p>
    <w:p>
      <w:pPr>
        <w:ind w:left="366" w:right="20" w:hanging="366"/>
        <w:spacing w:after="0" w:line="228" w:lineRule="auto"/>
        <w:tabs>
          <w:tab w:leader="none" w:pos="366" w:val="left"/>
        </w:tabs>
        <w:numPr>
          <w:ilvl w:val="0"/>
          <w:numId w:val="36"/>
        </w:numPr>
        <w:rPr>
          <w:rFonts w:ascii="Wingdings" w:cs="Wingdings" w:eastAsia="Wingdings" w:hAnsi="Wingdings"/>
          <w:sz w:val="20"/>
          <w:szCs w:val="20"/>
          <w:color w:val="auto"/>
        </w:rPr>
      </w:pPr>
      <w:r>
        <w:rPr>
          <w:rFonts w:ascii="Arial" w:cs="Arial" w:eastAsia="Arial" w:hAnsi="Arial"/>
          <w:sz w:val="20"/>
          <w:szCs w:val="20"/>
          <w:color w:val="auto"/>
        </w:rPr>
        <w:t>The evaluation of assumptions within the impairment consideration models, including future cash flows, growth rates and terminal values were evaluated for management bias. We benchmarked the average historical cash flows generated at the specific theater location level during prior periods not impacted by pandemic concerns or other industry disruptions such as the Hollywood strikes.</w:t>
      </w:r>
    </w:p>
    <w:p>
      <w:pPr>
        <w:ind w:left="366" w:right="500" w:hanging="366"/>
        <w:spacing w:after="0" w:line="233" w:lineRule="auto"/>
        <w:tabs>
          <w:tab w:leader="none" w:pos="366" w:val="left"/>
        </w:tabs>
        <w:numPr>
          <w:ilvl w:val="0"/>
          <w:numId w:val="36"/>
        </w:numPr>
        <w:rPr>
          <w:rFonts w:ascii="Wingdings" w:cs="Wingdings" w:eastAsia="Wingdings" w:hAnsi="Wingdings"/>
          <w:sz w:val="20"/>
          <w:szCs w:val="20"/>
          <w:color w:val="auto"/>
        </w:rPr>
      </w:pPr>
      <w:r>
        <w:rPr>
          <w:rFonts w:ascii="Arial" w:cs="Arial" w:eastAsia="Arial" w:hAnsi="Arial"/>
          <w:sz w:val="20"/>
          <w:szCs w:val="20"/>
          <w:color w:val="auto"/>
        </w:rPr>
        <w:t>On a scope basis we performed independent calculations to test the sensitivity of key assumptions used by management.</w:t>
      </w:r>
    </w:p>
    <w:p>
      <w:pPr>
        <w:spacing w:after="0" w:line="1" w:lineRule="exact"/>
        <w:rPr>
          <w:rFonts w:ascii="Wingdings" w:cs="Wingdings" w:eastAsia="Wingdings" w:hAnsi="Wingdings"/>
          <w:sz w:val="20"/>
          <w:szCs w:val="20"/>
          <w:color w:val="auto"/>
        </w:rPr>
      </w:pPr>
    </w:p>
    <w:p>
      <w:pPr>
        <w:ind w:left="366" w:hanging="366"/>
        <w:spacing w:after="0" w:line="231" w:lineRule="auto"/>
        <w:tabs>
          <w:tab w:leader="none" w:pos="366" w:val="left"/>
        </w:tabs>
        <w:numPr>
          <w:ilvl w:val="0"/>
          <w:numId w:val="36"/>
        </w:numPr>
        <w:rPr>
          <w:rFonts w:ascii="Wingdings" w:cs="Wingdings" w:eastAsia="Wingdings" w:hAnsi="Wingdings"/>
          <w:sz w:val="20"/>
          <w:szCs w:val="20"/>
          <w:color w:val="auto"/>
        </w:rPr>
      </w:pPr>
      <w:r>
        <w:rPr>
          <w:rFonts w:ascii="Arial" w:cs="Arial" w:eastAsia="Arial" w:hAnsi="Arial"/>
          <w:sz w:val="20"/>
          <w:szCs w:val="20"/>
          <w:color w:val="auto"/>
        </w:rPr>
        <w:t>We utilized the assistance of our firm’s valuation services group to assist in testing certain scoped assets’ impairment consideration models and in evaluating the reasonableness of significant assumptions utilized within the models.</w:t>
      </w:r>
    </w:p>
    <w:p>
      <w:pPr>
        <w:spacing w:after="0" w:line="200" w:lineRule="exact"/>
        <w:rPr>
          <w:sz w:val="20"/>
          <w:szCs w:val="20"/>
          <w:color w:val="auto"/>
        </w:rPr>
      </w:pPr>
    </w:p>
    <w:p>
      <w:pPr>
        <w:spacing w:after="0" w:line="379" w:lineRule="exact"/>
        <w:rPr>
          <w:sz w:val="20"/>
          <w:szCs w:val="20"/>
          <w:color w:val="auto"/>
        </w:rPr>
      </w:pPr>
    </w:p>
    <w:p>
      <w:pPr>
        <w:ind w:left="6"/>
        <w:spacing w:after="0"/>
        <w:rPr>
          <w:sz w:val="20"/>
          <w:szCs w:val="20"/>
          <w:color w:val="auto"/>
        </w:rPr>
      </w:pPr>
      <w:r>
        <w:rPr>
          <w:rFonts w:ascii="Arial" w:cs="Arial" w:eastAsia="Arial" w:hAnsi="Arial"/>
          <w:sz w:val="20"/>
          <w:szCs w:val="20"/>
          <w:color w:val="auto"/>
        </w:rPr>
        <w:t>/s/ GRANT THORNTON LLP</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We have served as the Company’s auditor since 2011.</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color w:val="auto"/>
        </w:rPr>
        <w:t>Newport Beach, California</w:t>
      </w:r>
    </w:p>
    <w:p>
      <w:pPr>
        <w:ind w:left="6"/>
        <w:spacing w:after="0" w:line="229" w:lineRule="auto"/>
        <w:rPr>
          <w:sz w:val="20"/>
          <w:szCs w:val="20"/>
          <w:color w:val="auto"/>
        </w:rPr>
      </w:pPr>
      <w:r>
        <w:rPr>
          <w:rFonts w:ascii="Arial" w:cs="Arial" w:eastAsia="Arial" w:hAnsi="Arial"/>
          <w:sz w:val="20"/>
          <w:szCs w:val="20"/>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29"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9366"/>
          </w:cols>
          <w:pgMar w:left="1254" w:top="1129" w:right="1286" w:bottom="0" w:gutter="0" w:footer="0" w:header="0"/>
          <w:type w:val="continuous"/>
        </w:sectPr>
      </w:pPr>
    </w:p>
    <w:bookmarkStart w:id="86" w:name="page87"/>
    <w:bookmarkEnd w:id="86"/>
    <w:p>
      <w:pPr>
        <w:jc w:val="center"/>
        <w:ind w:right="2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20"/>
        <w:spacing w:after="0" w:line="225" w:lineRule="auto"/>
        <w:rPr>
          <w:sz w:val="20"/>
          <w:szCs w:val="20"/>
          <w:color w:val="auto"/>
        </w:rPr>
      </w:pPr>
      <w:r>
        <w:rPr>
          <w:rFonts w:ascii="Arial" w:cs="Arial" w:eastAsia="Arial" w:hAnsi="Arial"/>
          <w:sz w:val="20"/>
          <w:szCs w:val="20"/>
          <w:b w:val="1"/>
          <w:bCs w:val="1"/>
          <w:color w:val="auto"/>
        </w:rPr>
        <w:t>Consolidated Balance Sheets as of December 31, 2025 and 2024</w:t>
      </w:r>
    </w:p>
    <w:p>
      <w:pPr>
        <w:jc w:val="center"/>
        <w:ind w:right="20"/>
        <w:spacing w:after="0" w:line="230" w:lineRule="auto"/>
        <w:rPr>
          <w:sz w:val="20"/>
          <w:szCs w:val="20"/>
          <w:color w:val="auto"/>
        </w:rPr>
      </w:pPr>
      <w:r>
        <w:rPr>
          <w:rFonts w:ascii="Arial" w:cs="Arial" w:eastAsia="Arial" w:hAnsi="Arial"/>
          <w:sz w:val="20"/>
          <w:szCs w:val="20"/>
          <w:i w:val="1"/>
          <w:iCs w:val="1"/>
          <w:color w:val="auto"/>
        </w:rPr>
        <w:t>(U.S. dollars in thousands, except share information)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20" w:type="dxa"/>
            <w:vAlign w:val="bottom"/>
          </w:tcPr>
          <w:p>
            <w:pPr>
              <w:spacing w:after="0"/>
              <w:rPr>
                <w:sz w:val="15"/>
                <w:szCs w:val="15"/>
                <w:color w:val="auto"/>
              </w:rPr>
            </w:pPr>
          </w:p>
        </w:tc>
        <w:tc>
          <w:tcPr>
            <w:tcW w:w="6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1"/>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line="173" w:lineRule="exact"/>
              <w:rPr>
                <w:sz w:val="20"/>
                <w:szCs w:val="20"/>
                <w:color w:val="auto"/>
              </w:rPr>
            </w:pPr>
            <w:r>
              <w:rPr>
                <w:rFonts w:ascii="Arial" w:cs="Arial" w:eastAsia="Arial" w:hAnsi="Arial"/>
                <w:sz w:val="16"/>
                <w:szCs w:val="16"/>
                <w:b w:val="1"/>
                <w:bCs w:val="1"/>
                <w:color w:val="auto"/>
              </w:rPr>
              <w:t>2024</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b w:val="1"/>
                <w:bCs w:val="1"/>
                <w:color w:val="auto"/>
              </w:rPr>
              <w:t>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Current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Cash and cash equivalents</w:t>
            </w:r>
          </w:p>
        </w:tc>
        <w:tc>
          <w:tcPr>
            <w:tcW w:w="3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10,531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12,347</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Restricted cash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2,735</w:t>
            </w: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Receivables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4,553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5,276</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Inventories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1,685</w:t>
            </w: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Prepaid and other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2,281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2,668</w:t>
            </w:r>
          </w:p>
        </w:tc>
      </w:tr>
      <w:tr>
        <w:trPr>
          <w:trHeight w:val="236"/>
        </w:trPr>
        <w:tc>
          <w:tcPr>
            <w:tcW w:w="20" w:type="dxa"/>
            <w:vAlign w:val="bottom"/>
          </w:tcPr>
          <w:p>
            <w:pPr>
              <w:spacing w:after="0"/>
              <w:rPr>
                <w:sz w:val="20"/>
                <w:szCs w:val="20"/>
                <w:color w:val="auto"/>
              </w:rPr>
            </w:pPr>
          </w:p>
        </w:tc>
        <w:tc>
          <w:tcPr>
            <w:tcW w:w="6780" w:type="dxa"/>
            <w:vAlign w:val="bottom"/>
            <w:tcBorders>
              <w:bottom w:val="single" w:sz="8" w:color="auto"/>
            </w:tcBorders>
            <w:shd w:val="clear" w:color="auto" w:fill="CCEEFF"/>
          </w:tcPr>
          <w:p>
            <w:pPr>
              <w:ind w:left="120"/>
              <w:spacing w:after="0" w:line="216" w:lineRule="exact"/>
              <w:rPr>
                <w:sz w:val="20"/>
                <w:szCs w:val="20"/>
                <w:color w:val="auto"/>
              </w:rPr>
            </w:pPr>
            <w:r>
              <w:rPr>
                <w:rFonts w:ascii="Arial" w:cs="Arial" w:eastAsia="Arial" w:hAnsi="Arial"/>
                <w:sz w:val="20"/>
                <w:szCs w:val="20"/>
                <w:color w:val="auto"/>
              </w:rPr>
              <w:t>Asset groups held for sale</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460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32,331</w:t>
            </w:r>
          </w:p>
        </w:tc>
      </w:tr>
      <w:tr>
        <w:trPr>
          <w:trHeight w:val="196"/>
        </w:trPr>
        <w:tc>
          <w:tcPr>
            <w:tcW w:w="20" w:type="dxa"/>
            <w:vAlign w:val="bottom"/>
          </w:tcPr>
          <w:p>
            <w:pPr>
              <w:spacing w:after="0"/>
              <w:rPr>
                <w:sz w:val="17"/>
                <w:szCs w:val="17"/>
                <w:color w:val="auto"/>
              </w:rPr>
            </w:pPr>
          </w:p>
        </w:tc>
        <w:tc>
          <w:tcPr>
            <w:tcW w:w="6780" w:type="dxa"/>
            <w:vAlign w:val="bottom"/>
          </w:tcPr>
          <w:p>
            <w:pPr>
              <w:spacing w:after="0" w:line="196" w:lineRule="exact"/>
              <w:rPr>
                <w:sz w:val="20"/>
                <w:szCs w:val="20"/>
                <w:color w:val="auto"/>
              </w:rPr>
            </w:pPr>
            <w:r>
              <w:rPr>
                <w:rFonts w:ascii="Arial" w:cs="Arial" w:eastAsia="Arial" w:hAnsi="Arial"/>
                <w:sz w:val="20"/>
                <w:szCs w:val="20"/>
                <w:b w:val="1"/>
                <w:bCs w:val="1"/>
                <w:color w:val="auto"/>
              </w:rPr>
              <w:t>Total Current Assets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20"/>
                <w:szCs w:val="20"/>
                <w:color w:val="auto"/>
              </w:rPr>
              <w:t>21,816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57,042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Operating properties,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207,974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214,694</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Operating lease right-of-use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159,659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160,873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Investment in unconsolidated joint ventures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3,138</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Goodwill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24,603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23,712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Intangible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1,800</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Deferred tax assets,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2,619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953</w:t>
            </w:r>
          </w:p>
        </w:tc>
      </w:tr>
      <w:tr>
        <w:trPr>
          <w:trHeight w:val="236"/>
        </w:trPr>
        <w:tc>
          <w:tcPr>
            <w:tcW w:w="20" w:type="dxa"/>
            <w:vAlign w:val="bottom"/>
          </w:tcPr>
          <w:p>
            <w:pPr>
              <w:spacing w:after="0"/>
              <w:rPr>
                <w:sz w:val="20"/>
                <w:szCs w:val="20"/>
                <w:color w:val="auto"/>
              </w:rPr>
            </w:pPr>
          </w:p>
        </w:tc>
        <w:tc>
          <w:tcPr>
            <w:tcW w:w="67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13,418</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8,799</w:t>
            </w:r>
          </w:p>
        </w:tc>
      </w:tr>
      <w:tr>
        <w:trPr>
          <w:trHeight w:val="206"/>
        </w:trPr>
        <w:tc>
          <w:tcPr>
            <w:tcW w:w="20" w:type="dxa"/>
            <w:vAlign w:val="bottom"/>
          </w:tcPr>
          <w:p>
            <w:pPr>
              <w:spacing w:after="0"/>
              <w:rPr>
                <w:sz w:val="17"/>
                <w:szCs w:val="17"/>
                <w:color w:val="auto"/>
              </w:rPr>
            </w:pPr>
          </w:p>
        </w:tc>
        <w:tc>
          <w:tcPr>
            <w:tcW w:w="6780" w:type="dxa"/>
            <w:vAlign w:val="bottom"/>
            <w:tcBorders>
              <w:bottom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Total Assets</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20"/>
                <w:szCs w:val="20"/>
                <w:b w:val="1"/>
                <w:bCs w:val="1"/>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434,929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471,011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b w:val="1"/>
                <w:bCs w:val="1"/>
                <w:color w:val="auto"/>
              </w:rPr>
              <w:t>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Accounts payable and accrued liabilities</w:t>
            </w:r>
          </w:p>
        </w:tc>
        <w:tc>
          <w:tcPr>
            <w:tcW w:w="38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52,826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48,651</w:t>
            </w: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Film rent payable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6,973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5,820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Debt - current portion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35,999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69,193</w:t>
            </w: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Derivative financial instruments - current portion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Taxes payable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891</w:t>
            </w: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line="216" w:lineRule="exact"/>
              <w:rPr>
                <w:sz w:val="20"/>
                <w:szCs w:val="20"/>
                <w:color w:val="auto"/>
              </w:rPr>
            </w:pPr>
            <w:r>
              <w:rPr>
                <w:rFonts w:ascii="Arial" w:cs="Arial" w:eastAsia="Arial" w:hAnsi="Arial"/>
                <w:sz w:val="20"/>
                <w:szCs w:val="20"/>
                <w:color w:val="auto"/>
              </w:rPr>
              <w:t>Deferred current 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11,327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9,731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Operating lease liabilities - current portion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20,081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20,747</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tcPr>
          <w:p>
            <w:pPr>
              <w:ind w:left="80"/>
              <w:spacing w:after="0" w:line="216" w:lineRule="exact"/>
              <w:rPr>
                <w:sz w:val="20"/>
                <w:szCs w:val="20"/>
                <w:color w:val="auto"/>
              </w:rPr>
            </w:pPr>
            <w:r>
              <w:rPr>
                <w:rFonts w:ascii="Arial" w:cs="Arial" w:eastAsia="Arial" w:hAnsi="Arial"/>
                <w:sz w:val="20"/>
                <w:szCs w:val="20"/>
                <w:color w:val="auto"/>
              </w:rPr>
              <w:t>Other current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774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6,593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128,581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161,626</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Debt – long-term portion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114,350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105,239</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Derivative financial instruments - non-current portion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137</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Subordinated debt - non-current portion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27,617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27,394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Noncurrent tax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6,434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6,041</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Operating lease liabilities - non-current portion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162,919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161,702</w:t>
            </w:r>
          </w:p>
        </w:tc>
      </w:tr>
      <w:tr>
        <w:trPr>
          <w:trHeight w:val="236"/>
        </w:trPr>
        <w:tc>
          <w:tcPr>
            <w:tcW w:w="20" w:type="dxa"/>
            <w:vAlign w:val="bottom"/>
          </w:tcPr>
          <w:p>
            <w:pPr>
              <w:spacing w:after="0"/>
              <w:rPr>
                <w:sz w:val="20"/>
                <w:szCs w:val="20"/>
                <w:color w:val="auto"/>
              </w:rPr>
            </w:pPr>
          </w:p>
        </w:tc>
        <w:tc>
          <w:tcPr>
            <w:tcW w:w="67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Other non-current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13,126</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13,662</w:t>
            </w:r>
          </w:p>
        </w:tc>
      </w:tr>
      <w:tr>
        <w:trPr>
          <w:trHeight w:val="196"/>
        </w:trPr>
        <w:tc>
          <w:tcPr>
            <w:tcW w:w="20" w:type="dxa"/>
            <w:vAlign w:val="bottom"/>
          </w:tcPr>
          <w:p>
            <w:pPr>
              <w:spacing w:after="0"/>
              <w:rPr>
                <w:sz w:val="17"/>
                <w:szCs w:val="17"/>
                <w:color w:val="auto"/>
              </w:rPr>
            </w:pPr>
          </w:p>
        </w:tc>
        <w:tc>
          <w:tcPr>
            <w:tcW w:w="6780" w:type="dxa"/>
            <w:vAlign w:val="bottom"/>
            <w:tcBorders>
              <w:bottom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Total Liabilities</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453,027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475,801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b w:val="1"/>
                <w:bCs w:val="1"/>
                <w:color w:val="auto"/>
              </w:rPr>
              <w:t>Stockholders’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89"/>
              </w:rPr>
              <w:t>Class A non-voting common shares, par value $0.01, 100,000,000 shares authorized,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33,972,781 issued and 21,036,670 outstanding at December 31, 2025 and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80" w:type="dxa"/>
            <w:vAlign w:val="bottom"/>
            <w:shd w:val="clear" w:color="auto" w:fill="CCEEFF"/>
          </w:tcPr>
          <w:p>
            <w:pPr>
              <w:ind w:left="80"/>
              <w:spacing w:after="0" w:line="219" w:lineRule="exact"/>
              <w:rPr>
                <w:sz w:val="20"/>
                <w:szCs w:val="20"/>
                <w:color w:val="auto"/>
              </w:rPr>
            </w:pPr>
            <w:r>
              <w:rPr>
                <w:rFonts w:ascii="Arial" w:cs="Arial" w:eastAsia="Arial" w:hAnsi="Arial"/>
                <w:sz w:val="20"/>
                <w:szCs w:val="20"/>
                <w:color w:val="auto"/>
              </w:rPr>
              <w:t>33,681,705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issued and 20,745,594 outstanding at December 31, 2024</w:t>
            </w:r>
          </w:p>
        </w:tc>
        <w:tc>
          <w:tcPr>
            <w:tcW w:w="38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238</w:t>
            </w:r>
          </w:p>
        </w:tc>
      </w:tr>
      <w:tr>
        <w:trPr>
          <w:trHeight w:val="213"/>
        </w:trPr>
        <w:tc>
          <w:tcPr>
            <w:tcW w:w="20" w:type="dxa"/>
            <w:vAlign w:val="bottom"/>
          </w:tcPr>
          <w:p>
            <w:pPr>
              <w:spacing w:after="0"/>
              <w:rPr>
                <w:sz w:val="18"/>
                <w:szCs w:val="18"/>
                <w:color w:val="auto"/>
              </w:rPr>
            </w:pPr>
          </w:p>
        </w:tc>
        <w:tc>
          <w:tcPr>
            <w:tcW w:w="6780" w:type="dxa"/>
            <w:vAlign w:val="bottom"/>
          </w:tcPr>
          <w:p>
            <w:pPr>
              <w:spacing w:after="0" w:line="213" w:lineRule="exact"/>
              <w:rPr>
                <w:sz w:val="20"/>
                <w:szCs w:val="20"/>
                <w:color w:val="auto"/>
              </w:rPr>
            </w:pPr>
            <w:r>
              <w:rPr>
                <w:rFonts w:ascii="Arial" w:cs="Arial" w:eastAsia="Arial" w:hAnsi="Arial"/>
                <w:sz w:val="20"/>
                <w:szCs w:val="20"/>
                <w:color w:val="auto"/>
                <w:w w:val="91"/>
              </w:rPr>
              <w:t>Class B voting common shares, par value $0.01, 20,000,000 shares authorized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80" w:type="dxa"/>
            <w:vAlign w:val="bottom"/>
          </w:tcPr>
          <w:p>
            <w:pPr>
              <w:ind w:left="80"/>
              <w:spacing w:after="0" w:line="219" w:lineRule="exact"/>
              <w:rPr>
                <w:sz w:val="20"/>
                <w:szCs w:val="20"/>
                <w:color w:val="auto"/>
              </w:rPr>
            </w:pPr>
            <w:r>
              <w:rPr>
                <w:rFonts w:ascii="Arial" w:cs="Arial" w:eastAsia="Arial" w:hAnsi="Arial"/>
                <w:sz w:val="20"/>
                <w:szCs w:val="20"/>
                <w:color w:val="auto"/>
              </w:rPr>
              <w:t>1,680,590 issued and outstanding at December 31, 2025 and 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Arial" w:cs="Arial" w:eastAsia="Arial" w:hAnsi="Arial"/>
                <w:sz w:val="20"/>
                <w:szCs w:val="20"/>
                <w:color w:val="auto"/>
              </w:rPr>
              <w:t>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Arial" w:cs="Arial" w:eastAsia="Arial" w:hAnsi="Arial"/>
                <w:sz w:val="20"/>
                <w:szCs w:val="20"/>
                <w:color w:val="auto"/>
              </w:rPr>
              <w:t>17</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w w:val="89"/>
              </w:rPr>
              <w:t>Nonvoting preferred shares, par value $0.01, 12,000 shares authorized and no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or outstanding shares at December 31, 2025 and 2024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Additional paid-in capital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155,454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157,751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Retained earnings (accumulated deficit)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(128,930)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(114,790)</w:t>
            </w: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20"/>
                <w:szCs w:val="20"/>
                <w:color w:val="auto"/>
              </w:rPr>
              <w:t>Treasury shares, at cost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(40,407)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(40,407)</w:t>
            </w:r>
          </w:p>
        </w:tc>
      </w:tr>
      <w:tr>
        <w:trPr>
          <w:trHeight w:val="236"/>
        </w:trPr>
        <w:tc>
          <w:tcPr>
            <w:tcW w:w="20" w:type="dxa"/>
            <w:vAlign w:val="bottom"/>
          </w:tcPr>
          <w:p>
            <w:pPr>
              <w:spacing w:after="0"/>
              <w:rPr>
                <w:sz w:val="20"/>
                <w:szCs w:val="20"/>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Accumulated other comprehensive income</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(4,614)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(7,173)</w:t>
            </w:r>
          </w:p>
        </w:tc>
      </w:tr>
      <w:tr>
        <w:trPr>
          <w:trHeight w:val="196"/>
        </w:trPr>
        <w:tc>
          <w:tcPr>
            <w:tcW w:w="20" w:type="dxa"/>
            <w:vAlign w:val="bottom"/>
          </w:tcPr>
          <w:p>
            <w:pPr>
              <w:spacing w:after="0"/>
              <w:rPr>
                <w:sz w:val="17"/>
                <w:szCs w:val="17"/>
                <w:color w:val="auto"/>
              </w:rPr>
            </w:pPr>
          </w:p>
        </w:tc>
        <w:tc>
          <w:tcPr>
            <w:tcW w:w="6780" w:type="dxa"/>
            <w:vAlign w:val="bottom"/>
            <w:tcBorders>
              <w:top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Total Reading International, Inc. ("RDI") Stockholders’ Equity</w:t>
            </w: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(18,239)</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(4,364)</w:t>
            </w:r>
          </w:p>
        </w:tc>
      </w:tr>
      <w:tr>
        <w:trPr>
          <w:trHeight w:val="236"/>
        </w:trPr>
        <w:tc>
          <w:tcPr>
            <w:tcW w:w="20" w:type="dxa"/>
            <w:vAlign w:val="bottom"/>
          </w:tcPr>
          <w:p>
            <w:pPr>
              <w:spacing w:after="0"/>
              <w:rPr>
                <w:sz w:val="20"/>
                <w:szCs w:val="20"/>
                <w:color w:val="auto"/>
              </w:rPr>
            </w:pPr>
          </w:p>
        </w:tc>
        <w:tc>
          <w:tcPr>
            <w:tcW w:w="67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Noncontrolling Interests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141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(426)</w:t>
            </w:r>
          </w:p>
        </w:tc>
      </w:tr>
      <w:tr>
        <w:trPr>
          <w:trHeight w:val="196"/>
        </w:trPr>
        <w:tc>
          <w:tcPr>
            <w:tcW w:w="20" w:type="dxa"/>
            <w:vAlign w:val="bottom"/>
          </w:tcPr>
          <w:p>
            <w:pPr>
              <w:spacing w:after="0"/>
              <w:rPr>
                <w:sz w:val="17"/>
                <w:szCs w:val="17"/>
                <w:color w:val="auto"/>
              </w:rPr>
            </w:pPr>
          </w:p>
        </w:tc>
        <w:tc>
          <w:tcPr>
            <w:tcW w:w="67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Total Stockholders’ Equity</w:t>
            </w:r>
          </w:p>
        </w:tc>
        <w:tc>
          <w:tcPr>
            <w:tcW w:w="1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line="196"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(18,098)</w:t>
            </w:r>
          </w:p>
        </w:tc>
        <w:tc>
          <w:tcPr>
            <w:tcW w:w="8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(4,790)</w:t>
            </w:r>
          </w:p>
        </w:tc>
      </w:tr>
      <w:tr>
        <w:trPr>
          <w:trHeight w:val="226"/>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0"/>
              <w:spacing w:after="0" w:line="216" w:lineRule="exact"/>
              <w:rPr>
                <w:sz w:val="20"/>
                <w:szCs w:val="20"/>
                <w:color w:val="auto"/>
              </w:rPr>
            </w:pPr>
            <w:r>
              <w:rPr>
                <w:rFonts w:ascii="Arial" w:cs="Arial" w:eastAsia="Arial" w:hAnsi="Arial"/>
                <w:sz w:val="20"/>
                <w:szCs w:val="20"/>
                <w:b w:val="1"/>
                <w:bCs w:val="1"/>
                <w:color w:val="auto"/>
                <w:w w:val="71"/>
              </w:rPr>
              <w:t>$</w:t>
            </w: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434,929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471,011</w:t>
            </w:r>
          </w:p>
        </w:tc>
      </w:tr>
    </w:tbl>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jc w:val="center"/>
        <w:ind w:right="20"/>
        <w:spacing w:after="0" w:line="229" w:lineRule="auto"/>
        <w:rPr>
          <w:sz w:val="20"/>
          <w:szCs w:val="20"/>
          <w:color w:val="auto"/>
        </w:rPr>
      </w:pPr>
      <w:r>
        <w:rPr>
          <w:rFonts w:ascii="Arial" w:cs="Arial" w:eastAsia="Arial" w:hAnsi="Arial"/>
          <w:sz w:val="20"/>
          <w:szCs w:val="20"/>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9400"/>
          </w:cols>
          <w:pgMar w:left="1260" w:top="1327" w:right="1246" w:bottom="0" w:gutter="0" w:footer="0" w:header="0"/>
          <w:type w:val="continuous"/>
        </w:sectPr>
      </w:pPr>
    </w:p>
    <w:bookmarkStart w:id="87" w:name="page88"/>
    <w:bookmarkEnd w:id="87"/>
    <w:p>
      <w:pPr>
        <w:jc w:val="center"/>
        <w:ind w:right="2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20"/>
        <w:spacing w:after="0" w:line="225" w:lineRule="auto"/>
        <w:rPr>
          <w:sz w:val="20"/>
          <w:szCs w:val="20"/>
          <w:color w:val="auto"/>
        </w:rPr>
      </w:pPr>
      <w:r>
        <w:rPr>
          <w:rFonts w:ascii="Arial" w:cs="Arial" w:eastAsia="Arial" w:hAnsi="Arial"/>
          <w:sz w:val="20"/>
          <w:szCs w:val="20"/>
          <w:b w:val="1"/>
          <w:bCs w:val="1"/>
          <w:color w:val="auto"/>
        </w:rPr>
        <w:t>Consolidated Statements of Operations for the Three Years Ended December 31, 2025</w:t>
      </w:r>
    </w:p>
    <w:p>
      <w:pPr>
        <w:jc w:val="center"/>
        <w:ind w:right="20"/>
        <w:spacing w:after="0" w:line="230" w:lineRule="auto"/>
        <w:rPr>
          <w:sz w:val="20"/>
          <w:szCs w:val="20"/>
          <w:color w:val="auto"/>
        </w:rPr>
      </w:pPr>
      <w:r>
        <w:rPr>
          <w:rFonts w:ascii="Arial" w:cs="Arial" w:eastAsia="Arial" w:hAnsi="Arial"/>
          <w:sz w:val="20"/>
          <w:szCs w:val="20"/>
          <w:i w:val="1"/>
          <w:iCs w:val="1"/>
          <w:color w:val="auto"/>
        </w:rPr>
        <w:t>(U.S. dollars 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2023</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Cinema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188,603</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195,130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207,641</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auto"/>
              </w:rPr>
              <w:t>Real estate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14,385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15,397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15,103</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revenues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202,988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210,527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222,744</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b w:val="1"/>
                <w:bCs w:val="1"/>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Cinema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(168,328)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(179,377)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(187,418)</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(7,463)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(9,243)</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(8,763)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(13,198)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(15,779)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(18,422)</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(19,306)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(20,161)</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(20,172)</w:t>
            </w:r>
          </w:p>
        </w:tc>
      </w:tr>
      <w:tr>
        <w:trPr>
          <w:trHeight w:val="236"/>
        </w:trPr>
        <w:tc>
          <w:tcPr>
            <w:tcW w:w="20" w:type="dxa"/>
            <w:vAlign w:val="bottom"/>
          </w:tcPr>
          <w:p>
            <w:pPr>
              <w:spacing w:after="0"/>
              <w:rPr>
                <w:sz w:val="20"/>
                <w:szCs w:val="20"/>
                <w:color w:val="auto"/>
              </w:rPr>
            </w:pPr>
          </w:p>
        </w:tc>
        <w:tc>
          <w:tcPr>
            <w:tcW w:w="5500" w:type="dxa"/>
            <w:vAlign w:val="bottom"/>
            <w:tcBorders>
              <w:top w:val="single" w:sz="8" w:color="auto"/>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costs and expenses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(208,295)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(224,560)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(234,775)</w:t>
            </w:r>
          </w:p>
        </w:tc>
      </w:tr>
      <w:tr>
        <w:trPr>
          <w:trHeight w:val="196"/>
        </w:trPr>
        <w:tc>
          <w:tcPr>
            <w:tcW w:w="20" w:type="dxa"/>
            <w:vAlign w:val="bottom"/>
          </w:tcPr>
          <w:p>
            <w:pPr>
              <w:spacing w:after="0"/>
              <w:rPr>
                <w:sz w:val="17"/>
                <w:szCs w:val="17"/>
                <w:color w:val="auto"/>
              </w:rPr>
            </w:pPr>
          </w:p>
        </w:tc>
        <w:tc>
          <w:tcPr>
            <w:tcW w:w="5500" w:type="dxa"/>
            <w:vAlign w:val="bottom"/>
          </w:tcPr>
          <w:p>
            <w:pPr>
              <w:spacing w:after="0" w:line="196" w:lineRule="exact"/>
              <w:rPr>
                <w:sz w:val="20"/>
                <w:szCs w:val="20"/>
                <w:color w:val="auto"/>
              </w:rPr>
            </w:pPr>
            <w:r>
              <w:rPr>
                <w:rFonts w:ascii="Arial" w:cs="Arial" w:eastAsia="Arial" w:hAnsi="Arial"/>
                <w:sz w:val="20"/>
                <w:szCs w:val="20"/>
                <w:b w:val="1"/>
                <w:bCs w:val="1"/>
                <w:color w:val="auto"/>
              </w:rPr>
              <w:t>Operating income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(5,307)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(14,033)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b w:val="1"/>
                <w:bCs w:val="1"/>
                <w:color w:val="auto"/>
              </w:rPr>
              <w:t>(12,031)</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(17,930)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(21,154)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(19,418)</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Gain (loss) on noncontrolling interest acquisition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2,691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(loss) on sale of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(1,371)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562</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auto"/>
              </w:rPr>
              <w:t>Other income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(2,178)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(164)</w:t>
            </w:r>
          </w:p>
        </w:tc>
      </w:tr>
      <w:tr>
        <w:trPr>
          <w:trHeight w:val="213"/>
        </w:trPr>
        <w:tc>
          <w:tcPr>
            <w:tcW w:w="20" w:type="dxa"/>
            <w:vAlign w:val="bottom"/>
          </w:tcPr>
          <w:p>
            <w:pPr>
              <w:spacing w:after="0"/>
              <w:rPr>
                <w:sz w:val="18"/>
                <w:szCs w:val="18"/>
                <w:color w:val="auto"/>
              </w:rPr>
            </w:pPr>
          </w:p>
        </w:tc>
        <w:tc>
          <w:tcPr>
            <w:tcW w:w="5500" w:type="dxa"/>
            <w:vAlign w:val="bottom"/>
            <w:shd w:val="clear" w:color="auto" w:fill="CCEEFF"/>
          </w:tcPr>
          <w:p>
            <w:pPr>
              <w:spacing w:after="0" w:line="213" w:lineRule="exact"/>
              <w:rPr>
                <w:sz w:val="20"/>
                <w:szCs w:val="20"/>
                <w:color w:val="auto"/>
              </w:rPr>
            </w:pPr>
            <w:r>
              <w:rPr>
                <w:rFonts w:ascii="Arial" w:cs="Arial" w:eastAsia="Arial" w:hAnsi="Arial"/>
                <w:sz w:val="20"/>
                <w:szCs w:val="20"/>
                <w:b w:val="1"/>
                <w:bCs w:val="1"/>
                <w:color w:val="auto"/>
                <w:w w:val="89"/>
              </w:rPr>
              <w:t>Income (loss) before income tax expense and equity earnings of</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CEEFF"/>
          </w:tcPr>
          <w:p>
            <w:pPr>
              <w:spacing w:after="0" w:line="219" w:lineRule="exact"/>
              <w:rPr>
                <w:sz w:val="20"/>
                <w:szCs w:val="20"/>
                <w:color w:val="auto"/>
              </w:rPr>
            </w:pPr>
            <w:r>
              <w:rPr>
                <w:rFonts w:ascii="Arial" w:cs="Arial" w:eastAsia="Arial" w:hAnsi="Arial"/>
                <w:sz w:val="20"/>
                <w:szCs w:val="20"/>
                <w:b w:val="1"/>
                <w:bCs w:val="1"/>
                <w:color w:val="auto"/>
              </w:rPr>
              <w:t>unconsolidated joint ventures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b w:val="1"/>
                <w:bCs w:val="1"/>
                <w:color w:val="auto"/>
              </w:rPr>
              <w:t>(14,359)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line="219" w:lineRule="exact"/>
              <w:rPr>
                <w:sz w:val="20"/>
                <w:szCs w:val="20"/>
                <w:color w:val="auto"/>
              </w:rPr>
            </w:pPr>
            <w:r>
              <w:rPr>
                <w:rFonts w:ascii="Arial" w:cs="Arial" w:eastAsia="Arial" w:hAnsi="Arial"/>
                <w:sz w:val="20"/>
                <w:szCs w:val="20"/>
                <w:b w:val="1"/>
                <w:bCs w:val="1"/>
                <w:color w:val="auto"/>
              </w:rPr>
              <w:t>(35,030)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b w:val="1"/>
                <w:bCs w:val="1"/>
                <w:color w:val="auto"/>
              </w:rPr>
              <w:t>(31,051)</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Equity earnings of unconsolidated joint ventures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(387)</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456</w:t>
            </w: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Income (loss) before income taxes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(13,799)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(35,417)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(30,595)</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Income tax benefit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(853)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(481)</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(590)</w:t>
            </w: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(14,652)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(35,898)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(31,185)</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Less: net income (loss) attributable to noncontrolling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(597)</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(512)</w:t>
            </w:r>
          </w:p>
        </w:tc>
      </w:tr>
      <w:tr>
        <w:trPr>
          <w:trHeight w:val="236"/>
        </w:trPr>
        <w:tc>
          <w:tcPr>
            <w:tcW w:w="20" w:type="dxa"/>
            <w:vAlign w:val="bottom"/>
          </w:tcPr>
          <w:p>
            <w:pPr>
              <w:spacing w:after="0"/>
              <w:rPr>
                <w:sz w:val="20"/>
                <w:szCs w:val="20"/>
                <w:color w:val="auto"/>
              </w:rPr>
            </w:pPr>
          </w:p>
        </w:tc>
        <w:tc>
          <w:tcPr>
            <w:tcW w:w="5500" w:type="dxa"/>
            <w:vAlign w:val="bottom"/>
            <w:tcBorders>
              <w:top w:val="single" w:sz="8" w:color="auto"/>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w w:val="97"/>
              </w:rPr>
              <w:t>Net income (loss) attributable to Reading International, Inc.</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(14,140)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(35,301)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(30,673)</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b w:val="1"/>
                <w:bCs w:val="1"/>
                <w:color w:val="auto"/>
              </w:rPr>
              <w:t>Basic earnings (loss) per share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(0.62)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(1.58)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(1.38)</w:t>
            </w:r>
          </w:p>
        </w:tc>
      </w:tr>
      <w:tr>
        <w:trPr>
          <w:trHeight w:val="226"/>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Diluted earnings (loss) per share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(0.62)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(1.58)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(1.38)</w:t>
            </w:r>
          </w:p>
        </w:tc>
      </w:tr>
      <w:tr>
        <w:trPr>
          <w:trHeight w:val="432"/>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Weighted average number of shares outstanding–basic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91"/>
              </w:rPr>
              <w:t>22,652,270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1"/>
              </w:rPr>
              <w:t>22,401,662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91"/>
              </w:rPr>
              <w:t>22,222,635</w:t>
            </w:r>
          </w:p>
        </w:tc>
      </w:tr>
      <w:tr>
        <w:trPr>
          <w:trHeight w:val="442"/>
        </w:trPr>
        <w:tc>
          <w:tcPr>
            <w:tcW w:w="20" w:type="dxa"/>
            <w:vAlign w:val="bottom"/>
          </w:tcPr>
          <w:p>
            <w:pPr>
              <w:spacing w:after="0"/>
              <w:rPr>
                <w:sz w:val="24"/>
                <w:szCs w:val="24"/>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b w:val="1"/>
                <w:bCs w:val="1"/>
                <w:color w:val="auto"/>
              </w:rPr>
              <w:t>Weighted average number of shares outstanding–diluted</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22,652,270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22,401,662</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22,222,635</w:t>
            </w:r>
          </w:p>
        </w:tc>
      </w:tr>
    </w:tbl>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9400"/>
          </w:cols>
          <w:pgMar w:left="1260" w:top="1327" w:right="1246" w:bottom="0" w:gutter="0" w:footer="0" w:header="0"/>
          <w:type w:val="continuous"/>
        </w:sectPr>
      </w:pPr>
    </w:p>
    <w:bookmarkStart w:id="88" w:name="page89"/>
    <w:bookmarkEnd w:id="88"/>
    <w:p>
      <w:pPr>
        <w:jc w:val="center"/>
        <w:ind w:right="2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20"/>
        <w:spacing w:after="0" w:line="227" w:lineRule="auto"/>
        <w:rPr>
          <w:sz w:val="20"/>
          <w:szCs w:val="20"/>
          <w:color w:val="auto"/>
        </w:rPr>
      </w:pPr>
      <w:r>
        <w:rPr>
          <w:rFonts w:ascii="Arial" w:cs="Arial" w:eastAsia="Arial" w:hAnsi="Arial"/>
          <w:sz w:val="20"/>
          <w:szCs w:val="20"/>
          <w:b w:val="1"/>
          <w:bCs w:val="1"/>
          <w:color w:val="auto"/>
        </w:rPr>
        <w:t xml:space="preserve">Consolidated Statements of Comprehensive Income (Loss) for the Three Years Ended December 31, 2025 </w:t>
      </w:r>
      <w:r>
        <w:rPr>
          <w:rFonts w:ascii="Arial" w:cs="Arial" w:eastAsia="Arial" w:hAnsi="Arial"/>
          <w:sz w:val="20"/>
          <w:szCs w:val="20"/>
          <w:i w:val="1"/>
          <w:iCs w:val="1"/>
          <w:color w:val="auto"/>
        </w:rPr>
        <w:t>(U.S.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Net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(14,652)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(35,898)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(31,185)</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Foreign currency translation gain (loss)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2,337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(4,544)</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(290)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(loss) on cash flow hedges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(137)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(580)</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auto"/>
              </w:rPr>
              <w:t>Others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172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Comprehensive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(12,083)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(40,407)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(31,902)</w:t>
            </w:r>
          </w:p>
        </w:tc>
      </w:tr>
      <w:tr>
        <w:trPr>
          <w:trHeight w:val="216"/>
        </w:trPr>
        <w:tc>
          <w:tcPr>
            <w:tcW w:w="20" w:type="dxa"/>
            <w:vAlign w:val="bottom"/>
          </w:tcPr>
          <w:p>
            <w:pPr>
              <w:spacing w:after="0"/>
              <w:rPr>
                <w:sz w:val="18"/>
                <w:szCs w:val="18"/>
                <w:color w:val="auto"/>
              </w:rPr>
            </w:pPr>
          </w:p>
        </w:tc>
        <w:tc>
          <w:tcPr>
            <w:tcW w:w="5500" w:type="dxa"/>
            <w:vAlign w:val="bottom"/>
          </w:tcPr>
          <w:p>
            <w:pPr>
              <w:spacing w:after="0" w:line="216" w:lineRule="exact"/>
              <w:rPr>
                <w:sz w:val="20"/>
                <w:szCs w:val="20"/>
                <w:color w:val="auto"/>
              </w:rPr>
            </w:pPr>
            <w:r>
              <w:rPr>
                <w:rFonts w:ascii="Arial" w:cs="Arial" w:eastAsia="Arial" w:hAnsi="Arial"/>
                <w:sz w:val="20"/>
                <w:szCs w:val="20"/>
                <w:color w:val="auto"/>
              </w:rPr>
              <w:t>Less: net income (loss) attributable to noncontrolling interests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(597)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(512)</w:t>
            </w:r>
          </w:p>
        </w:tc>
      </w:tr>
      <w:tr>
        <w:trPr>
          <w:trHeight w:val="213"/>
        </w:trPr>
        <w:tc>
          <w:tcPr>
            <w:tcW w:w="20" w:type="dxa"/>
            <w:vAlign w:val="bottom"/>
          </w:tcPr>
          <w:p>
            <w:pPr>
              <w:spacing w:after="0"/>
              <w:rPr>
                <w:sz w:val="18"/>
                <w:szCs w:val="18"/>
                <w:color w:val="auto"/>
              </w:rPr>
            </w:pPr>
          </w:p>
        </w:tc>
        <w:tc>
          <w:tcPr>
            <w:tcW w:w="55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6"/>
              </w:rPr>
              <w:t>Less: comprehensive income (loss) attributable to noncontrolling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500" w:type="dxa"/>
            <w:vAlign w:val="bottom"/>
            <w:shd w:val="clear" w:color="auto" w:fill="CCEEFF"/>
          </w:tcPr>
          <w:p>
            <w:pPr>
              <w:spacing w:after="0" w:line="219" w:lineRule="exact"/>
              <w:rPr>
                <w:sz w:val="20"/>
                <w:szCs w:val="20"/>
                <w:color w:val="auto"/>
              </w:rPr>
            </w:pPr>
            <w:r>
              <w:rPr>
                <w:rFonts w:ascii="Arial" w:cs="Arial" w:eastAsia="Arial" w:hAnsi="Arial"/>
                <w:sz w:val="20"/>
                <w:szCs w:val="20"/>
                <w:color w:val="auto"/>
              </w:rPr>
              <w:t>interests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rPr>
              <w:t>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line="219" w:lineRule="exact"/>
              <w:rPr>
                <w:sz w:val="20"/>
                <w:szCs w:val="20"/>
                <w:color w:val="auto"/>
              </w:rPr>
            </w:pPr>
            <w:r>
              <w:rPr>
                <w:rFonts w:ascii="Arial" w:cs="Arial" w:eastAsia="Arial" w:hAnsi="Arial"/>
                <w:sz w:val="20"/>
                <w:szCs w:val="20"/>
                <w:color w:val="auto"/>
              </w:rPr>
              <w:t>(9)</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rPr>
              <w:t>(1)</w:t>
            </w:r>
          </w:p>
        </w:tc>
      </w:tr>
      <w:tr>
        <w:trPr>
          <w:trHeight w:val="206"/>
        </w:trPr>
        <w:tc>
          <w:tcPr>
            <w:tcW w:w="20" w:type="dxa"/>
            <w:vAlign w:val="bottom"/>
            <w:tcBorders>
              <w:bottom w:val="single" w:sz="8" w:color="auto"/>
            </w:tcBorders>
          </w:tcPr>
          <w:p>
            <w:pPr>
              <w:spacing w:after="0"/>
              <w:rPr>
                <w:sz w:val="17"/>
                <w:szCs w:val="17"/>
                <w:color w:val="auto"/>
              </w:rPr>
            </w:pPr>
          </w:p>
        </w:tc>
        <w:tc>
          <w:tcPr>
            <w:tcW w:w="55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Comprehensive income (loss)</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(11,581)</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(39,801)</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(31,389)</w:t>
            </w:r>
          </w:p>
        </w:tc>
      </w:tr>
    </w:tbl>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9400"/>
          </w:cols>
          <w:pgMar w:left="1260" w:top="1349" w:right="1246" w:bottom="0" w:gutter="0" w:footer="0" w:header="0"/>
          <w:type w:val="continuous"/>
        </w:sectPr>
      </w:pPr>
    </w:p>
    <w:bookmarkStart w:id="89" w:name="page90"/>
    <w:bookmarkEnd w:id="89"/>
    <w:p>
      <w:pPr>
        <w:jc w:val="center"/>
        <w:ind w:right="12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120"/>
        <w:spacing w:after="0" w:line="227" w:lineRule="auto"/>
        <w:rPr>
          <w:sz w:val="20"/>
          <w:szCs w:val="20"/>
          <w:color w:val="auto"/>
        </w:rPr>
      </w:pPr>
      <w:r>
        <w:rPr>
          <w:rFonts w:ascii="Arial" w:cs="Arial" w:eastAsia="Arial" w:hAnsi="Arial"/>
          <w:sz w:val="20"/>
          <w:szCs w:val="20"/>
          <w:b w:val="1"/>
          <w:bCs w:val="1"/>
          <w:color w:val="auto"/>
        </w:rPr>
        <w:t xml:space="preserve">Consolidated Statements of Stockholders’ Equity for the Three Years Ended December 31, 2025 </w:t>
      </w:r>
      <w:r>
        <w:rPr>
          <w:rFonts w:ascii="Arial" w:cs="Arial" w:eastAsia="Arial" w:hAnsi="Arial"/>
          <w:sz w:val="20"/>
          <w:szCs w:val="20"/>
          <w:i w:val="1"/>
          <w:i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9"/>
              </w:rPr>
              <w:t>Common Shares</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Reading</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5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Class</w:t>
            </w:r>
          </w:p>
        </w:tc>
        <w:tc>
          <w:tcPr>
            <w:tcW w:w="660" w:type="dxa"/>
            <w:vAlign w:val="bottom"/>
            <w:tcBorders>
              <w:right w:val="single" w:sz="8" w:color="auto"/>
            </w:tcBorders>
          </w:tcPr>
          <w:p>
            <w:pPr>
              <w:jc w:val="right"/>
              <w:ind w:right="30"/>
              <w:spacing w:after="0" w:line="149" w:lineRule="exact"/>
              <w:rPr>
                <w:sz w:val="20"/>
                <w:szCs w:val="20"/>
                <w:color w:val="auto"/>
              </w:rPr>
            </w:pPr>
            <w:r>
              <w:rPr>
                <w:rFonts w:ascii="Arial" w:cs="Arial" w:eastAsia="Arial" w:hAnsi="Arial"/>
                <w:sz w:val="14"/>
                <w:szCs w:val="14"/>
                <w:b w:val="1"/>
                <w:bCs w:val="1"/>
                <w:color w:val="auto"/>
                <w:w w:val="82"/>
              </w:rPr>
              <w:t>A Class B</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Class</w:t>
            </w:r>
          </w:p>
        </w:tc>
        <w:tc>
          <w:tcPr>
            <w:tcW w:w="1400" w:type="dxa"/>
            <w:vAlign w:val="bottom"/>
            <w:gridSpan w:val="4"/>
          </w:tcPr>
          <w:p>
            <w:pPr>
              <w:jc w:val="right"/>
              <w:ind w:right="70"/>
              <w:spacing w:after="0" w:line="149" w:lineRule="exact"/>
              <w:rPr>
                <w:sz w:val="20"/>
                <w:szCs w:val="20"/>
                <w:color w:val="auto"/>
              </w:rPr>
            </w:pPr>
            <w:r>
              <w:rPr>
                <w:rFonts w:ascii="Arial" w:cs="Arial" w:eastAsia="Arial" w:hAnsi="Arial"/>
                <w:sz w:val="14"/>
                <w:szCs w:val="14"/>
                <w:b w:val="1"/>
                <w:bCs w:val="1"/>
                <w:color w:val="auto"/>
                <w:w w:val="87"/>
              </w:rPr>
              <w:t>B AdditionalEarnings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Other</w:t>
            </w:r>
          </w:p>
        </w:tc>
        <w:tc>
          <w:tcPr>
            <w:tcW w:w="1660" w:type="dxa"/>
            <w:vAlign w:val="bottom"/>
            <w:gridSpan w:val="4"/>
          </w:tcPr>
          <w:p>
            <w:pPr>
              <w:jc w:val="right"/>
              <w:ind w:right="530"/>
              <w:spacing w:after="0" w:line="149" w:lineRule="exact"/>
              <w:rPr>
                <w:sz w:val="20"/>
                <w:szCs w:val="20"/>
                <w:color w:val="auto"/>
              </w:rPr>
            </w:pPr>
            <w:r>
              <w:rPr>
                <w:rFonts w:ascii="Arial" w:cs="Arial" w:eastAsia="Arial" w:hAnsi="Arial"/>
                <w:sz w:val="14"/>
                <w:szCs w:val="14"/>
                <w:b w:val="1"/>
                <w:bCs w:val="1"/>
                <w:color w:val="auto"/>
                <w:w w:val="92"/>
              </w:rPr>
              <w:t>International Inc.</w:t>
            </w: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56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560" w:type="dxa"/>
            <w:vAlign w:val="bottom"/>
          </w:tcPr>
          <w:p>
            <w:pPr>
              <w:ind w:left="120"/>
              <w:spacing w:after="0" w:line="151" w:lineRule="exact"/>
              <w:rPr>
                <w:sz w:val="20"/>
                <w:szCs w:val="20"/>
                <w:color w:val="auto"/>
              </w:rPr>
            </w:pPr>
            <w:r>
              <w:rPr>
                <w:rFonts w:ascii="Arial" w:cs="Arial" w:eastAsia="Arial" w:hAnsi="Arial"/>
                <w:sz w:val="14"/>
                <w:szCs w:val="14"/>
                <w:b w:val="1"/>
                <w:bCs w:val="1"/>
                <w:color w:val="auto"/>
                <w:w w:val="96"/>
              </w:rPr>
              <w:t>Voting</w:t>
            </w:r>
          </w:p>
        </w:tc>
        <w:tc>
          <w:tcPr>
            <w:tcW w:w="60" w:type="dxa"/>
            <w:vAlign w:val="bottom"/>
          </w:tcPr>
          <w:p>
            <w:pPr>
              <w:spacing w:after="0"/>
              <w:rPr>
                <w:sz w:val="13"/>
                <w:szCs w:val="13"/>
                <w:color w:val="auto"/>
              </w:rPr>
            </w:pPr>
          </w:p>
        </w:tc>
        <w:tc>
          <w:tcPr>
            <w:tcW w:w="4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7"/>
              </w:rPr>
              <w:t>Par</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3"/>
                <w:szCs w:val="13"/>
                <w:color w:val="auto"/>
              </w:rPr>
            </w:pPr>
          </w:p>
        </w:tc>
        <w:tc>
          <w:tcPr>
            <w:tcW w:w="400" w:type="dxa"/>
            <w:vAlign w:val="bottom"/>
          </w:tcPr>
          <w:p>
            <w:pPr>
              <w:jc w:val="right"/>
              <w:ind w:right="70"/>
              <w:spacing w:after="0" w:line="151" w:lineRule="exact"/>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3"/>
                <w:szCs w:val="13"/>
                <w:color w:val="auto"/>
              </w:rPr>
            </w:pPr>
          </w:p>
        </w:tc>
        <w:tc>
          <w:tcPr>
            <w:tcW w:w="5300" w:type="dxa"/>
            <w:vAlign w:val="bottom"/>
            <w:gridSpan w:val="14"/>
          </w:tcPr>
          <w:p>
            <w:pPr>
              <w:ind w:left="120"/>
              <w:spacing w:after="0" w:line="151" w:lineRule="exact"/>
              <w:rPr>
                <w:sz w:val="20"/>
                <w:szCs w:val="20"/>
                <w:color w:val="auto"/>
              </w:rPr>
            </w:pPr>
            <w:r>
              <w:rPr>
                <w:rFonts w:ascii="Arial" w:cs="Arial" w:eastAsia="Arial" w:hAnsi="Arial"/>
                <w:sz w:val="14"/>
                <w:szCs w:val="14"/>
                <w:b w:val="1"/>
                <w:bCs w:val="1"/>
                <w:color w:val="auto"/>
                <w:w w:val="86"/>
              </w:rPr>
              <w:t>Paid-In (AccumulatedTreasury ComprehensiveStockholders’ NoncontrollingStockholders’</w:t>
            </w: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90"/>
              <w:spacing w:after="0" w:line="151" w:lineRule="exact"/>
              <w:rPr>
                <w:sz w:val="20"/>
                <w:szCs w:val="20"/>
                <w:color w:val="auto"/>
              </w:rPr>
            </w:pPr>
            <w:r>
              <w:rPr>
                <w:rFonts w:ascii="Arial" w:cs="Arial" w:eastAsia="Arial" w:hAnsi="Arial"/>
                <w:sz w:val="14"/>
                <w:szCs w:val="14"/>
                <w:b w:val="1"/>
                <w:bCs w:val="1"/>
                <w:color w:val="auto"/>
                <w:w w:val="90"/>
              </w:rPr>
              <w:t>Income/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5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3"/>
                <w:szCs w:val="13"/>
                <w:color w:val="auto"/>
              </w:rPr>
            </w:pPr>
          </w:p>
        </w:tc>
        <w:tc>
          <w:tcPr>
            <w:tcW w:w="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Value</w:t>
            </w:r>
          </w:p>
        </w:tc>
        <w:tc>
          <w:tcPr>
            <w:tcW w:w="660" w:type="dxa"/>
            <w:vAlign w:val="bottom"/>
            <w:tcBorders>
              <w:right w:val="single" w:sz="8" w:color="auto"/>
            </w:tcBorders>
          </w:tcPr>
          <w:p>
            <w:pPr>
              <w:jc w:val="right"/>
              <w:ind w:right="30"/>
              <w:spacing w:after="0" w:line="153"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680" w:type="dxa"/>
            <w:vAlign w:val="bottom"/>
          </w:tcPr>
          <w:p>
            <w:pPr>
              <w:jc w:val="right"/>
              <w:ind w:right="110"/>
              <w:spacing w:after="0" w:line="153"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540" w:type="dxa"/>
            <w:vAlign w:val="bottom"/>
          </w:tcPr>
          <w:p>
            <w:pPr>
              <w:jc w:val="right"/>
              <w:ind w:right="50"/>
              <w:spacing w:after="0" w:line="153"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3"/>
                <w:szCs w:val="13"/>
                <w:color w:val="auto"/>
              </w:rPr>
            </w:pPr>
          </w:p>
        </w:tc>
        <w:tc>
          <w:tcPr>
            <w:tcW w:w="680" w:type="dxa"/>
            <w:vAlign w:val="bottom"/>
          </w:tcPr>
          <w:p>
            <w:pPr>
              <w:jc w:val="center"/>
              <w:ind w:right="70"/>
              <w:spacing w:after="0" w:line="153" w:lineRule="exact"/>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3"/>
                <w:szCs w:val="13"/>
                <w:color w:val="auto"/>
              </w:rPr>
            </w:pPr>
          </w:p>
        </w:tc>
        <w:tc>
          <w:tcPr>
            <w:tcW w:w="740" w:type="dxa"/>
            <w:vAlign w:val="bottom"/>
          </w:tcPr>
          <w:p>
            <w:pPr>
              <w:jc w:val="right"/>
              <w:ind w:right="170"/>
              <w:spacing w:after="0" w:line="153"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680" w:type="dxa"/>
            <w:vAlign w:val="bottom"/>
          </w:tcPr>
          <w:p>
            <w:pPr>
              <w:jc w:val="right"/>
              <w:ind w:right="70"/>
              <w:spacing w:after="0" w:line="153" w:lineRule="exact"/>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Equity</w:t>
            </w:r>
          </w:p>
        </w:tc>
      </w:tr>
      <w:tr>
        <w:trPr>
          <w:trHeight w:val="312"/>
        </w:trPr>
        <w:tc>
          <w:tcPr>
            <w:tcW w:w="20" w:type="dxa"/>
            <w:vAlign w:val="bottom"/>
          </w:tcPr>
          <w:p>
            <w:pPr>
              <w:spacing w:after="0"/>
              <w:rPr>
                <w:sz w:val="24"/>
                <w:szCs w:val="24"/>
                <w:color w:val="auto"/>
              </w:rPr>
            </w:pPr>
          </w:p>
        </w:tc>
        <w:tc>
          <w:tcPr>
            <w:tcW w:w="20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At December 31, 2022</w:t>
            </w:r>
          </w:p>
        </w:tc>
        <w:tc>
          <w:tcPr>
            <w:tcW w:w="5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w w:val="97"/>
              </w:rPr>
              <w:t>20,410</w:t>
            </w: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83"/>
              </w:rPr>
              <w:t>$235</w:t>
            </w:r>
          </w:p>
        </w:tc>
        <w:tc>
          <w:tcPr>
            <w:tcW w:w="660" w:type="dxa"/>
            <w:vAlign w:val="bottom"/>
            <w:tcBorders>
              <w:top w:val="single" w:sz="8" w:color="auto"/>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1,680</w:t>
            </w: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95"/>
              </w:rPr>
              <w:t>$ 17</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$153,783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(48,816)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(40,407)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62,856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63,279</w:t>
            </w:r>
          </w:p>
        </w:tc>
        <w:tc>
          <w:tcPr>
            <w:tcW w:w="10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Net income (loss)</w:t>
            </w:r>
          </w:p>
        </w:tc>
        <w:tc>
          <w:tcPr>
            <w:tcW w:w="560" w:type="dxa"/>
            <w:vAlign w:val="bottom"/>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(30,673)</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(30,673)</w:t>
            </w: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(512)</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(31,185)</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w w:val="93"/>
              </w:rPr>
              <w:t>Other comprehensive income, net</w:t>
            </w:r>
          </w:p>
        </w:tc>
        <w:tc>
          <w:tcPr>
            <w:tcW w:w="560" w:type="dxa"/>
            <w:vAlign w:val="bottom"/>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(716)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(717)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expense</w:t>
            </w:r>
          </w:p>
        </w:tc>
        <w:tc>
          <w:tcPr>
            <w:tcW w:w="560" w:type="dxa"/>
            <w:vAlign w:val="bottom"/>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0" w:type="dxa"/>
            <w:vAlign w:val="bottom"/>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1,864</w:t>
            </w:r>
          </w:p>
        </w:tc>
        <w:tc>
          <w:tcPr>
            <w:tcW w:w="8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1,864</w:t>
            </w:r>
          </w:p>
        </w:tc>
        <w:tc>
          <w:tcPr>
            <w:tcW w:w="10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1,864</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bottom w:val="single" w:sz="8" w:color="auto"/>
              <w:right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Restricted Stock Units</w:t>
            </w:r>
          </w:p>
        </w:tc>
        <w:tc>
          <w:tcPr>
            <w:tcW w:w="560" w:type="dxa"/>
            <w:vAlign w:val="bottom"/>
            <w:tcBorders>
              <w:bottom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254</w:t>
            </w: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2</w:t>
            </w:r>
          </w:p>
        </w:tc>
        <w:tc>
          <w:tcPr>
            <w:tcW w:w="660" w:type="dxa"/>
            <w:vAlign w:val="bottom"/>
            <w:tcBorders>
              <w:bottom w:val="single" w:sz="8" w:color="auto"/>
              <w:right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(245)</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(243)</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(243)</w:t>
            </w:r>
          </w:p>
        </w:tc>
        <w:tc>
          <w:tcPr>
            <w:tcW w:w="100" w:type="dxa"/>
            <w:vAlign w:val="bottom"/>
          </w:tcPr>
          <w:p>
            <w:pPr>
              <w:spacing w:after="0"/>
              <w:rPr>
                <w:sz w:val="13"/>
                <w:szCs w:val="13"/>
                <w:color w:val="auto"/>
              </w:rPr>
            </w:pPr>
          </w:p>
        </w:tc>
      </w:tr>
      <w:tr>
        <w:trPr>
          <w:trHeight w:val="312"/>
        </w:trPr>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 2023</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7"/>
              </w:rPr>
              <w:t>20,664</w:t>
            </w:r>
          </w:p>
        </w:tc>
        <w:tc>
          <w:tcPr>
            <w:tcW w:w="4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$237</w:t>
            </w:r>
          </w:p>
        </w:tc>
        <w:tc>
          <w:tcPr>
            <w:tcW w:w="66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1,680</w:t>
            </w:r>
          </w:p>
        </w:tc>
        <w:tc>
          <w:tcPr>
            <w:tcW w:w="8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4"/>
                <w:szCs w:val="14"/>
                <w:b w:val="1"/>
                <w:bCs w:val="1"/>
                <w:color w:val="auto"/>
                <w:w w:val="95"/>
              </w:rPr>
              <w:t>$ 17</w:t>
            </w: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$155,402</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(79,489)</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9"/>
              </w:rPr>
              <w:t>(40,407)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(2,673)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33,087</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32,996</w:t>
            </w:r>
          </w:p>
        </w:tc>
        <w:tc>
          <w:tcPr>
            <w:tcW w:w="10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2000" w:type="dxa"/>
            <w:vAlign w:val="bottom"/>
            <w:tcBorders>
              <w:top w:val="single" w:sz="8" w:color="auto"/>
              <w:right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Net income (loss)</w:t>
            </w:r>
          </w:p>
        </w:tc>
        <w:tc>
          <w:tcPr>
            <w:tcW w:w="560" w:type="dxa"/>
            <w:vAlign w:val="bottom"/>
            <w:tcBorders>
              <w:top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right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(35,301)</w:t>
            </w: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(35,301)</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(597)</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(35,898)</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3"/>
              </w:rPr>
              <w:t>Other comprehensive income, net</w:t>
            </w:r>
          </w:p>
        </w:tc>
        <w:tc>
          <w:tcPr>
            <w:tcW w:w="560" w:type="dxa"/>
            <w:vAlign w:val="bottom"/>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(4,500)</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(4,500)</w:t>
            </w: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(4,509)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expense</w:t>
            </w:r>
          </w:p>
        </w:tc>
        <w:tc>
          <w:tcPr>
            <w:tcW w:w="560" w:type="dxa"/>
            <w:vAlign w:val="bottom"/>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2,356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2,356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2,356</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Restricted Stock Units</w:t>
            </w:r>
          </w:p>
        </w:tc>
        <w:tc>
          <w:tcPr>
            <w:tcW w:w="560" w:type="dxa"/>
            <w:vAlign w:val="bottom"/>
          </w:tcPr>
          <w:p>
            <w:pPr>
              <w:jc w:val="right"/>
              <w:ind w:right="70"/>
              <w:spacing w:after="0" w:line="151" w:lineRule="exact"/>
              <w:rPr>
                <w:sz w:val="20"/>
                <w:szCs w:val="20"/>
                <w:color w:val="auto"/>
              </w:rPr>
            </w:pPr>
            <w:r>
              <w:rPr>
                <w:rFonts w:ascii="Arial" w:cs="Arial" w:eastAsia="Arial" w:hAnsi="Arial"/>
                <w:sz w:val="14"/>
                <w:szCs w:val="14"/>
                <w:color w:val="auto"/>
              </w:rPr>
              <w:t>79</w:t>
            </w:r>
          </w:p>
        </w:tc>
        <w:tc>
          <w:tcPr>
            <w:tcW w:w="6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Contributions from</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000" w:type="dxa"/>
            <w:vAlign w:val="bottom"/>
            <w:tcBorders>
              <w:bottom w:val="single" w:sz="8" w:color="auto"/>
              <w:right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noncontrolling stockholders</w:t>
            </w:r>
          </w:p>
        </w:tc>
        <w:tc>
          <w:tcPr>
            <w:tcW w:w="560" w:type="dxa"/>
            <w:vAlign w:val="bottom"/>
            <w:tcBorders>
              <w:bottom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271</w:t>
            </w: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271</w:t>
            </w:r>
          </w:p>
        </w:tc>
        <w:tc>
          <w:tcPr>
            <w:tcW w:w="100" w:type="dxa"/>
            <w:vAlign w:val="bottom"/>
          </w:tcPr>
          <w:p>
            <w:pPr>
              <w:spacing w:after="0"/>
              <w:rPr>
                <w:sz w:val="13"/>
                <w:szCs w:val="13"/>
                <w:color w:val="auto"/>
              </w:rPr>
            </w:pPr>
          </w:p>
        </w:tc>
      </w:tr>
      <w:tr>
        <w:trPr>
          <w:trHeight w:val="312"/>
        </w:trPr>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 2024</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7"/>
              </w:rPr>
              <w:t>20,743</w:t>
            </w:r>
          </w:p>
        </w:tc>
        <w:tc>
          <w:tcPr>
            <w:tcW w:w="4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$238</w:t>
            </w:r>
          </w:p>
        </w:tc>
        <w:tc>
          <w:tcPr>
            <w:tcW w:w="66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1,680</w:t>
            </w:r>
          </w:p>
        </w:tc>
        <w:tc>
          <w:tcPr>
            <w:tcW w:w="8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4"/>
                <w:szCs w:val="14"/>
                <w:b w:val="1"/>
                <w:bCs w:val="1"/>
                <w:color w:val="auto"/>
                <w:w w:val="95"/>
              </w:rPr>
              <w:t>$ 17</w:t>
            </w: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$157,751</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(114,790)</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9"/>
              </w:rPr>
              <w:t>(40,407)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(7,173)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(4,364)</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(4,790)</w:t>
            </w:r>
          </w:p>
        </w:tc>
        <w:tc>
          <w:tcPr>
            <w:tcW w:w="10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2000" w:type="dxa"/>
            <w:vAlign w:val="bottom"/>
            <w:tcBorders>
              <w:top w:val="single" w:sz="8" w:color="auto"/>
              <w:right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Net income (loss)</w:t>
            </w:r>
          </w:p>
        </w:tc>
        <w:tc>
          <w:tcPr>
            <w:tcW w:w="560" w:type="dxa"/>
            <w:vAlign w:val="bottom"/>
            <w:tcBorders>
              <w:top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right w:val="single" w:sz="8" w:color="auto"/>
            </w:tcBorders>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(14,140)</w:t>
            </w: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(14,140)</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(512)</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(14,652)</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3"/>
              </w:rPr>
              <w:t>Other comprehensive income, net</w:t>
            </w:r>
          </w:p>
        </w:tc>
        <w:tc>
          <w:tcPr>
            <w:tcW w:w="560" w:type="dxa"/>
            <w:vAlign w:val="bottom"/>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2,559</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2,559</w:t>
            </w: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2,569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expense</w:t>
            </w:r>
          </w:p>
        </w:tc>
        <w:tc>
          <w:tcPr>
            <w:tcW w:w="560" w:type="dxa"/>
            <w:vAlign w:val="bottom"/>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1,914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1,914</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0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Restricted Stock Units</w:t>
            </w:r>
          </w:p>
        </w:tc>
        <w:tc>
          <w:tcPr>
            <w:tcW w:w="560" w:type="dxa"/>
            <w:vAlign w:val="bottom"/>
          </w:tcPr>
          <w:p>
            <w:pPr>
              <w:jc w:val="right"/>
              <w:ind w:right="70"/>
              <w:spacing w:after="0" w:line="151" w:lineRule="exact"/>
              <w:rPr>
                <w:sz w:val="20"/>
                <w:szCs w:val="20"/>
                <w:color w:val="auto"/>
              </w:rPr>
            </w:pPr>
            <w:r>
              <w:rPr>
                <w:rFonts w:ascii="Arial" w:cs="Arial" w:eastAsia="Arial" w:hAnsi="Arial"/>
                <w:sz w:val="14"/>
                <w:szCs w:val="14"/>
                <w:color w:val="auto"/>
              </w:rPr>
              <w:t>291</w:t>
            </w:r>
          </w:p>
        </w:tc>
        <w:tc>
          <w:tcPr>
            <w:tcW w:w="6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3</w:t>
            </w:r>
          </w:p>
        </w:tc>
        <w:tc>
          <w:tcPr>
            <w:tcW w:w="660" w:type="dxa"/>
            <w:vAlign w:val="bottom"/>
            <w:tcBorders>
              <w:right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(185)</w:t>
            </w: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Acquisition of non-controlling</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0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interest</w:t>
            </w:r>
          </w:p>
        </w:tc>
        <w:tc>
          <w:tcPr>
            <w:tcW w:w="560" w:type="dxa"/>
            <w:vAlign w:val="bottom"/>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(4,026)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(4,026)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(2,901)</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0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Distributions to noncontrolling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stockholders</w:t>
            </w:r>
          </w:p>
        </w:tc>
        <w:tc>
          <w:tcPr>
            <w:tcW w:w="560" w:type="dxa"/>
            <w:vAlign w:val="bottom"/>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0" w:type="dxa"/>
            <w:vAlign w:val="bottom"/>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right"/>
              <w:ind w:right="7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20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At December 31, 2025</w:t>
            </w:r>
          </w:p>
        </w:tc>
        <w:tc>
          <w:tcPr>
            <w:tcW w:w="5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w w:val="97"/>
              </w:rPr>
              <w:t>21,034</w:t>
            </w: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83"/>
              </w:rPr>
              <w:t>$241</w:t>
            </w:r>
          </w:p>
        </w:tc>
        <w:tc>
          <w:tcPr>
            <w:tcW w:w="660" w:type="dxa"/>
            <w:vAlign w:val="bottom"/>
            <w:tcBorders>
              <w:top w:val="single" w:sz="8" w:color="auto"/>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1,680</w:t>
            </w: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95"/>
              </w:rPr>
              <w:t>$ 17</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$155,454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(128,930)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(40,407)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(18,239)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(18,098)</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1620520</wp:posOffset>
                </wp:positionH>
                <wp:positionV relativeFrom="paragraph">
                  <wp:posOffset>-3403600</wp:posOffset>
                </wp:positionV>
                <wp:extent cx="0" cy="34036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03600"/>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6pt,-268pt" to="127.6pt,0pt" o:allowincell="f" strokecolor="#000000" strokeweight="0.9999pt"/>
            </w:pict>
          </mc:Fallback>
        </mc:AlternateContent>
        <mc:AlternateContent>
          <mc:Choice Requires="wps">
            <w:drawing>
              <wp:anchor simplePos="0" relativeHeight="251657728" behindDoc="1" locked="0" layoutInCell="0" allowOverlap="1">
                <wp:simplePos x="0" y="0"/>
                <wp:positionH relativeFrom="column">
                  <wp:posOffset>1932940</wp:posOffset>
                </wp:positionH>
                <wp:positionV relativeFrom="paragraph">
                  <wp:posOffset>-3403600</wp:posOffset>
                </wp:positionV>
                <wp:extent cx="0" cy="34036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03600"/>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2pt,-268pt" to="152.2pt,0pt" o:allowincell="f" strokecolor="#000000" strokeweight="0.9999pt"/>
            </w:pict>
          </mc:Fallback>
        </mc:AlternateContent>
        <mc:AlternateContent>
          <mc:Choice Requires="wps">
            <w:drawing>
              <wp:anchor simplePos="0" relativeHeight="251657728" behindDoc="1" locked="0" layoutInCell="0" allowOverlap="1">
                <wp:simplePos x="0" y="0"/>
                <wp:positionH relativeFrom="column">
                  <wp:posOffset>2657475</wp:posOffset>
                </wp:positionH>
                <wp:positionV relativeFrom="paragraph">
                  <wp:posOffset>-3403600</wp:posOffset>
                </wp:positionV>
                <wp:extent cx="0" cy="34036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03600"/>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5pt,-268pt" to="209.25pt,0pt" o:allowincell="f" strokecolor="#000000" strokeweight="0.9999pt"/>
            </w:pict>
          </mc:Fallback>
        </mc:AlternateContent>
      </w:r>
    </w:p>
    <w:p>
      <w:pPr>
        <w:spacing w:after="0" w:line="200" w:lineRule="exact"/>
        <w:rPr>
          <w:sz w:val="20"/>
          <w:szCs w:val="20"/>
          <w:color w:val="auto"/>
        </w:rPr>
      </w:pP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9500"/>
          </w:cols>
          <w:pgMar w:left="1260" w:top="1327" w:right="1146" w:bottom="0" w:gutter="0" w:footer="0" w:header="0"/>
          <w:type w:val="continuous"/>
        </w:sectPr>
      </w:pPr>
    </w:p>
    <w:bookmarkStart w:id="90" w:name="page91"/>
    <w:bookmarkEnd w:id="90"/>
    <w:p>
      <w:pPr>
        <w:jc w:val="center"/>
        <w:ind w:right="2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20"/>
        <w:spacing w:after="0" w:line="225" w:lineRule="auto"/>
        <w:rPr>
          <w:sz w:val="20"/>
          <w:szCs w:val="20"/>
          <w:color w:val="auto"/>
        </w:rPr>
      </w:pPr>
      <w:r>
        <w:rPr>
          <w:rFonts w:ascii="Arial" w:cs="Arial" w:eastAsia="Arial" w:hAnsi="Arial"/>
          <w:sz w:val="20"/>
          <w:szCs w:val="20"/>
          <w:b w:val="1"/>
          <w:bCs w:val="1"/>
          <w:color w:val="auto"/>
        </w:rPr>
        <w:t>Consolidated Statements of Cash Flows for the Three Years Ended December 31, 2025</w:t>
      </w:r>
    </w:p>
    <w:p>
      <w:pPr>
        <w:jc w:val="center"/>
        <w:ind w:right="20"/>
        <w:spacing w:after="0" w:line="230" w:lineRule="auto"/>
        <w:rPr>
          <w:sz w:val="20"/>
          <w:szCs w:val="20"/>
          <w:color w:val="auto"/>
        </w:rPr>
      </w:pPr>
      <w:r>
        <w:rPr>
          <w:rFonts w:ascii="Arial" w:cs="Arial" w:eastAsia="Arial" w:hAnsi="Arial"/>
          <w:sz w:val="20"/>
          <w:szCs w:val="20"/>
          <w:i w:val="1"/>
          <w:iCs w:val="1"/>
          <w:color w:val="auto"/>
        </w:rPr>
        <w:t>(U.S.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Operating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Net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(14,652)</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(35,898)</w:t>
            </w: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(31,185)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3" w:lineRule="exact"/>
              <w:rPr>
                <w:sz w:val="20"/>
                <w:szCs w:val="20"/>
                <w:color w:val="auto"/>
              </w:rPr>
            </w:pPr>
            <w:r>
              <w:rPr>
                <w:rFonts w:ascii="Arial" w:cs="Arial" w:eastAsia="Arial" w:hAnsi="Arial"/>
                <w:sz w:val="20"/>
                <w:szCs w:val="20"/>
                <w:i w:val="1"/>
                <w:iCs w:val="1"/>
                <w:color w:val="auto"/>
              </w:rPr>
              <w:t>Adjustments to reconcile net income to net cash flows from</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60"/>
              <w:spacing w:after="0" w:line="219" w:lineRule="exact"/>
              <w:rPr>
                <w:sz w:val="20"/>
                <w:szCs w:val="20"/>
                <w:color w:val="auto"/>
              </w:rPr>
            </w:pPr>
            <w:r>
              <w:rPr>
                <w:rFonts w:ascii="Arial" w:cs="Arial" w:eastAsia="Arial" w:hAnsi="Arial"/>
                <w:sz w:val="20"/>
                <w:szCs w:val="20"/>
                <w:i w:val="1"/>
                <w:iCs w:val="1"/>
                <w:color w:val="auto"/>
              </w:rPr>
              <w:t>operating activities: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Equity earnings of unconsolidated joint ventures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Distributions of earnings from unconsolidated joint ventures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912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Gain recognized on foreign currency transactions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(1,754)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Net loss (gain) on sale of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(8,365)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1,371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Net loss (gain) on acquisition of non-controlling interest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(2,691)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Amortization of operating leases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22,439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15,991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Amortization of finance leases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Change in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(18,980)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(16,416)</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Change in net deferred tax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(776)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13,198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15,779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color w:val="auto"/>
              </w:rPr>
              <w:t>Other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1,382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60"/>
              <w:spacing w:after="0" w:line="216" w:lineRule="exact"/>
              <w:rPr>
                <w:sz w:val="20"/>
                <w:szCs w:val="20"/>
                <w:color w:val="auto"/>
              </w:rPr>
            </w:pPr>
            <w:r>
              <w:rPr>
                <w:rFonts w:ascii="Arial" w:cs="Arial" w:eastAsia="Arial" w:hAnsi="Arial"/>
                <w:sz w:val="20"/>
                <w:szCs w:val="20"/>
                <w:color w:val="auto"/>
              </w:rPr>
              <w:t>Share-based compensation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1,914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2,356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60"/>
              <w:spacing w:after="0" w:line="216" w:lineRule="exact"/>
              <w:rPr>
                <w:sz w:val="20"/>
                <w:szCs w:val="20"/>
                <w:color w:val="auto"/>
              </w:rPr>
            </w:pPr>
            <w:r>
              <w:rPr>
                <w:rFonts w:ascii="Arial" w:cs="Arial" w:eastAsia="Arial" w:hAnsi="Arial"/>
                <w:sz w:val="20"/>
                <w:szCs w:val="20"/>
                <w:i w:val="1"/>
                <w:iCs w:val="1"/>
                <w:color w:val="auto"/>
              </w:rPr>
              <w:t>Net changes in operating assets and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320"/>
              <w:spacing w:after="0" w:line="216" w:lineRule="exact"/>
              <w:rPr>
                <w:sz w:val="20"/>
                <w:szCs w:val="20"/>
                <w:color w:val="auto"/>
              </w:rPr>
            </w:pPr>
            <w:r>
              <w:rPr>
                <w:rFonts w:ascii="Arial" w:cs="Arial" w:eastAsia="Arial" w:hAnsi="Arial"/>
                <w:sz w:val="20"/>
                <w:szCs w:val="20"/>
                <w:color w:val="auto"/>
              </w:rPr>
              <w:t>Receivables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(1,165)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2,099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320"/>
              <w:spacing w:after="0" w:line="216" w:lineRule="exact"/>
              <w:rPr>
                <w:sz w:val="20"/>
                <w:szCs w:val="20"/>
                <w:color w:val="auto"/>
              </w:rPr>
            </w:pPr>
            <w:r>
              <w:rPr>
                <w:rFonts w:ascii="Arial" w:cs="Arial" w:eastAsia="Arial" w:hAnsi="Arial"/>
                <w:sz w:val="20"/>
                <w:szCs w:val="20"/>
                <w:color w:val="auto"/>
              </w:rPr>
              <w:t>Prepaid and other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(515)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320"/>
              <w:spacing w:after="0" w:line="216" w:lineRule="exact"/>
              <w:rPr>
                <w:sz w:val="20"/>
                <w:szCs w:val="20"/>
                <w:color w:val="auto"/>
              </w:rPr>
            </w:pPr>
            <w:r>
              <w:rPr>
                <w:rFonts w:ascii="Arial" w:cs="Arial" w:eastAsia="Arial" w:hAnsi="Arial"/>
                <w:sz w:val="20"/>
                <w:szCs w:val="20"/>
                <w:color w:val="auto"/>
              </w:rPr>
              <w:t>Payments for accrued pension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(683)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(683)</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320"/>
              <w:spacing w:after="0" w:line="216" w:lineRule="exact"/>
              <w:rPr>
                <w:sz w:val="20"/>
                <w:szCs w:val="20"/>
                <w:color w:val="auto"/>
              </w:rPr>
            </w:pPr>
            <w:r>
              <w:rPr>
                <w:rFonts w:ascii="Arial" w:cs="Arial" w:eastAsia="Arial" w:hAnsi="Arial"/>
                <w:sz w:val="20"/>
                <w:szCs w:val="20"/>
                <w:color w:val="auto"/>
              </w:rPr>
              <w:t>Accounts payable and accrued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7,669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9,791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320"/>
              <w:spacing w:after="0" w:line="216" w:lineRule="exact"/>
              <w:rPr>
                <w:sz w:val="20"/>
                <w:szCs w:val="20"/>
                <w:color w:val="auto"/>
              </w:rPr>
            </w:pPr>
            <w:r>
              <w:rPr>
                <w:rFonts w:ascii="Arial" w:cs="Arial" w:eastAsia="Arial" w:hAnsi="Arial"/>
                <w:sz w:val="20"/>
                <w:szCs w:val="20"/>
                <w:color w:val="auto"/>
              </w:rPr>
              <w:t>Film rent payable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981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320"/>
              <w:spacing w:after="0" w:line="216" w:lineRule="exact"/>
              <w:rPr>
                <w:sz w:val="20"/>
                <w:szCs w:val="20"/>
                <w:color w:val="auto"/>
              </w:rPr>
            </w:pPr>
            <w:r>
              <w:rPr>
                <w:rFonts w:ascii="Arial" w:cs="Arial" w:eastAsia="Arial" w:hAnsi="Arial"/>
                <w:sz w:val="20"/>
                <w:szCs w:val="20"/>
                <w:color w:val="auto"/>
              </w:rPr>
              <w:t>Taxes payable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(390)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ind w:left="320"/>
              <w:spacing w:after="0" w:line="216" w:lineRule="exact"/>
              <w:rPr>
                <w:sz w:val="20"/>
                <w:szCs w:val="20"/>
                <w:color w:val="auto"/>
              </w:rPr>
            </w:pPr>
            <w:r>
              <w:rPr>
                <w:rFonts w:ascii="Arial" w:cs="Arial" w:eastAsia="Arial" w:hAnsi="Arial"/>
                <w:sz w:val="20"/>
                <w:szCs w:val="20"/>
                <w:color w:val="auto"/>
              </w:rPr>
              <w:t>Deferred revenue and other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2,478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Net cash provided by (used in)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(1,578)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(3,833)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Investing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Proceeds from sale of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38,498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9,590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w w:val="89"/>
              </w:rPr>
              <w:t>Purchases of and additions to operating and investment properties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(1,334)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(5,538)</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Contributions to unconsolidated joint ventures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(91)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bottom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Net cash provided by (used in) investing activities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37,106</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3,961</w:t>
            </w: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Financing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rPr>
              <w:t>Repayment of long-term borrowings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(36,759)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(15,298)</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Repayment of finance lease principal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(40)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rPr>
              <w:t>Proceeds from borrowings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16,027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Capitalized borrowing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(616)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rPr>
              <w:t>Proceeds (payments) from stock option exercises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(7)</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Noncontrolling interest contributions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rPr>
              <w:t>Noncontrolling interest distributions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Noncontrolling interest acquisition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bottom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Net cash provided by (used in) financing activities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(37,886)</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337</w:t>
            </w: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b w:val="1"/>
                <w:bCs w:val="1"/>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Effect of exchange rate on cash and restricted cash</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spacing w:after="0" w:line="213" w:lineRule="exact"/>
              <w:rPr>
                <w:sz w:val="20"/>
                <w:szCs w:val="20"/>
                <w:color w:val="auto"/>
              </w:rPr>
            </w:pPr>
            <w:r>
              <w:rPr>
                <w:rFonts w:ascii="Arial" w:cs="Arial" w:eastAsia="Arial" w:hAnsi="Arial"/>
                <w:sz w:val="20"/>
                <w:szCs w:val="20"/>
                <w:b w:val="1"/>
                <w:bCs w:val="1"/>
                <w:color w:val="auto"/>
                <w:w w:val="99"/>
              </w:rPr>
              <w:t>Net increase (decrease) in cash and cash equivalents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gridSpan w:val="3"/>
          </w:tcPr>
          <w:p>
            <w:pPr>
              <w:spacing w:after="0" w:line="219" w:lineRule="exact"/>
              <w:rPr>
                <w:sz w:val="20"/>
                <w:szCs w:val="20"/>
                <w:color w:val="auto"/>
              </w:rPr>
            </w:pPr>
            <w:r>
              <w:rPr>
                <w:rFonts w:ascii="Arial" w:cs="Arial" w:eastAsia="Arial" w:hAnsi="Arial"/>
                <w:sz w:val="20"/>
                <w:szCs w:val="20"/>
                <w:b w:val="1"/>
                <w:bCs w:val="1"/>
                <w:color w:val="auto"/>
              </w:rPr>
              <w:t>restricted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(2,224)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line="219" w:lineRule="exact"/>
              <w:rPr>
                <w:sz w:val="20"/>
                <w:szCs w:val="20"/>
                <w:color w:val="auto"/>
              </w:rPr>
            </w:pPr>
            <w:r>
              <w:rPr>
                <w:rFonts w:ascii="Arial" w:cs="Arial" w:eastAsia="Arial" w:hAnsi="Arial"/>
                <w:sz w:val="20"/>
                <w:szCs w:val="20"/>
                <w:color w:val="auto"/>
              </w:rPr>
              <w:t>(359)</w:t>
            </w:r>
          </w:p>
        </w:tc>
        <w:tc>
          <w:tcPr>
            <w:tcW w:w="26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(19,538)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spacing w:after="0" w:line="213" w:lineRule="exact"/>
              <w:rPr>
                <w:sz w:val="20"/>
                <w:szCs w:val="20"/>
                <w:color w:val="auto"/>
              </w:rPr>
            </w:pPr>
            <w:r>
              <w:rPr>
                <w:rFonts w:ascii="Arial" w:cs="Arial" w:eastAsia="Arial" w:hAnsi="Arial"/>
                <w:sz w:val="20"/>
                <w:szCs w:val="20"/>
                <w:b w:val="1"/>
                <w:bCs w:val="1"/>
                <w:color w:val="auto"/>
                <w:w w:val="90"/>
              </w:rPr>
              <w:t>Cash and cash equivalents and restricted cash at the beginning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shd w:val="clear" w:color="auto" w:fill="CCEEFF"/>
          </w:tcPr>
          <w:p>
            <w:pPr>
              <w:spacing w:after="0" w:line="219" w:lineRule="exact"/>
              <w:rPr>
                <w:sz w:val="20"/>
                <w:szCs w:val="20"/>
                <w:color w:val="auto"/>
              </w:rPr>
            </w:pPr>
            <w:r>
              <w:rPr>
                <w:rFonts w:ascii="Arial" w:cs="Arial" w:eastAsia="Arial" w:hAnsi="Arial"/>
                <w:sz w:val="20"/>
                <w:szCs w:val="20"/>
                <w:b w:val="1"/>
                <w:bCs w:val="1"/>
                <w:color w:val="auto"/>
              </w:rPr>
              <w:t>of the year</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Arial" w:cs="Arial" w:eastAsia="Arial" w:hAnsi="Arial"/>
                <w:sz w:val="20"/>
                <w:szCs w:val="20"/>
                <w:color w:val="auto"/>
              </w:rPr>
              <w:t>15,082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19" w:lineRule="exact"/>
              <w:rPr>
                <w:sz w:val="20"/>
                <w:szCs w:val="20"/>
                <w:color w:val="auto"/>
              </w:rPr>
            </w:pPr>
            <w:r>
              <w:rPr>
                <w:rFonts w:ascii="Arial" w:cs="Arial" w:eastAsia="Arial" w:hAnsi="Arial"/>
                <w:sz w:val="20"/>
                <w:szCs w:val="20"/>
                <w:color w:val="auto"/>
              </w:rPr>
              <w:t>15,441</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19" w:lineRule="exact"/>
              <w:rPr>
                <w:sz w:val="20"/>
                <w:szCs w:val="20"/>
                <w:color w:val="auto"/>
              </w:rPr>
            </w:pPr>
            <w:r>
              <w:rPr>
                <w:rFonts w:ascii="Arial" w:cs="Arial" w:eastAsia="Arial" w:hAnsi="Arial"/>
                <w:sz w:val="20"/>
                <w:szCs w:val="20"/>
                <w:color w:val="auto"/>
              </w:rPr>
              <w:t>34,979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2"/>
          </w:tcPr>
          <w:p>
            <w:pPr>
              <w:spacing w:after="0" w:line="213" w:lineRule="exact"/>
              <w:rPr>
                <w:sz w:val="20"/>
                <w:szCs w:val="20"/>
                <w:color w:val="auto"/>
              </w:rPr>
            </w:pPr>
            <w:r>
              <w:rPr>
                <w:rFonts w:ascii="Arial" w:cs="Arial" w:eastAsia="Arial" w:hAnsi="Arial"/>
                <w:sz w:val="20"/>
                <w:szCs w:val="20"/>
                <w:b w:val="1"/>
                <w:bCs w:val="1"/>
                <w:color w:val="auto"/>
                <w:w w:val="90"/>
              </w:rPr>
              <w:t>Cash and cash equivalents and restricted cash at the end of the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line="219" w:lineRule="exact"/>
              <w:rPr>
                <w:sz w:val="20"/>
                <w:szCs w:val="20"/>
                <w:color w:val="auto"/>
              </w:rPr>
            </w:pPr>
            <w:r>
              <w:rPr>
                <w:rFonts w:ascii="Arial" w:cs="Arial" w:eastAsia="Arial" w:hAnsi="Arial"/>
                <w:sz w:val="20"/>
                <w:szCs w:val="20"/>
                <w:b w:val="1"/>
                <w:bCs w:val="1"/>
                <w:color w:val="auto"/>
              </w:rPr>
              <w:t>year</w:t>
            </w:r>
          </w:p>
        </w:tc>
        <w:tc>
          <w:tcPr>
            <w:tcW w:w="400" w:type="dxa"/>
            <w:vAlign w:val="bottom"/>
            <w:gridSpan w:val="2"/>
          </w:tcPr>
          <w:p>
            <w:pPr>
              <w:jc w:val="right"/>
              <w:ind w:right="40"/>
              <w:spacing w:after="0" w:line="219"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12,858</w:t>
            </w:r>
          </w:p>
        </w:tc>
        <w:tc>
          <w:tcPr>
            <w:tcW w:w="280" w:type="dxa"/>
            <w:vAlign w:val="bottom"/>
            <w:gridSpan w:val="2"/>
          </w:tcPr>
          <w:p>
            <w:pPr>
              <w:jc w:val="right"/>
              <w:spacing w:after="0" w:line="219"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19" w:lineRule="exact"/>
              <w:rPr>
                <w:sz w:val="20"/>
                <w:szCs w:val="20"/>
                <w:color w:val="auto"/>
              </w:rPr>
            </w:pPr>
            <w:r>
              <w:rPr>
                <w:rFonts w:ascii="Arial" w:cs="Arial" w:eastAsia="Arial" w:hAnsi="Arial"/>
                <w:sz w:val="20"/>
                <w:szCs w:val="20"/>
                <w:color w:val="auto"/>
              </w:rPr>
              <w:t>15,082</w:t>
            </w:r>
          </w:p>
        </w:tc>
        <w:tc>
          <w:tcPr>
            <w:tcW w:w="140" w:type="dxa"/>
            <w:vAlign w:val="bottom"/>
          </w:tcPr>
          <w:p>
            <w:pPr>
              <w:spacing w:after="0"/>
              <w:rPr>
                <w:sz w:val="19"/>
                <w:szCs w:val="19"/>
                <w:color w:val="auto"/>
              </w:rPr>
            </w:pPr>
          </w:p>
        </w:tc>
        <w:tc>
          <w:tcPr>
            <w:tcW w:w="260" w:type="dxa"/>
            <w:vAlign w:val="bottom"/>
          </w:tcPr>
          <w:p>
            <w:pPr>
              <w:jc w:val="right"/>
              <w:ind w:right="60"/>
              <w:spacing w:after="0" w:line="219"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15,441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80" w:type="dxa"/>
            <w:vAlign w:val="bottom"/>
          </w:tcPr>
          <w:p>
            <w:pPr>
              <w:spacing w:after="0" w:line="216" w:lineRule="exact"/>
              <w:rPr>
                <w:sz w:val="20"/>
                <w:szCs w:val="20"/>
                <w:color w:val="auto"/>
              </w:rPr>
            </w:pPr>
            <w:r>
              <w:rPr>
                <w:rFonts w:ascii="Arial" w:cs="Arial" w:eastAsia="Arial" w:hAnsi="Arial"/>
                <w:sz w:val="20"/>
                <w:szCs w:val="20"/>
                <w:b w:val="1"/>
                <w:bCs w:val="1"/>
                <w:color w:val="auto"/>
                <w:w w:val="96"/>
              </w:rPr>
              <w:t>Cash and cash equivalents and restricted cash consists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Cash and cash equivalents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10,531</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12,347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Borders>
              <w:bottom w:val="single" w:sz="8" w:color="CCEEFF"/>
            </w:tcBorders>
          </w:tcPr>
          <w:p>
            <w:pPr>
              <w:ind w:left="200"/>
              <w:spacing w:after="0" w:line="216" w:lineRule="exact"/>
              <w:rPr>
                <w:sz w:val="20"/>
                <w:szCs w:val="20"/>
                <w:color w:val="auto"/>
              </w:rPr>
            </w:pPr>
            <w:r>
              <w:rPr>
                <w:rFonts w:ascii="Arial" w:cs="Arial" w:eastAsia="Arial" w:hAnsi="Arial"/>
                <w:sz w:val="20"/>
                <w:szCs w:val="20"/>
                <w:color w:val="auto"/>
              </w:rPr>
              <w:t>Restricted cash</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2,327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2,735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2,535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12,858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15,082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Supplemental Disclosures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ind w:left="200"/>
              <w:spacing w:after="0" w:line="216" w:lineRule="exact"/>
              <w:rPr>
                <w:sz w:val="20"/>
                <w:szCs w:val="20"/>
                <w:color w:val="auto"/>
              </w:rPr>
            </w:pPr>
            <w:r>
              <w:rPr>
                <w:rFonts w:ascii="Arial" w:cs="Arial" w:eastAsia="Arial" w:hAnsi="Arial"/>
                <w:sz w:val="20"/>
                <w:szCs w:val="20"/>
                <w:color w:val="auto"/>
              </w:rPr>
              <w:t>Interest paid</w:t>
            </w:r>
          </w:p>
        </w:tc>
        <w:tc>
          <w:tcPr>
            <w:tcW w:w="160" w:type="dxa"/>
            <w:vAlign w:val="bottom"/>
          </w:tcPr>
          <w:p>
            <w:pPr>
              <w:spacing w:after="0"/>
              <w:rPr>
                <w:sz w:val="18"/>
                <w:szCs w:val="18"/>
                <w:color w:val="auto"/>
              </w:rPr>
            </w:pPr>
          </w:p>
        </w:tc>
        <w:tc>
          <w:tcPr>
            <w:tcW w:w="240" w:type="dxa"/>
            <w:vAlign w:val="bottom"/>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15,872</w:t>
            </w:r>
          </w:p>
        </w:tc>
        <w:tc>
          <w:tcPr>
            <w:tcW w:w="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19,487</w:t>
            </w:r>
          </w:p>
        </w:tc>
        <w:tc>
          <w:tcPr>
            <w:tcW w:w="140" w:type="dxa"/>
            <w:vAlign w:val="bottom"/>
          </w:tcPr>
          <w:p>
            <w:pPr>
              <w:spacing w:after="0"/>
              <w:rPr>
                <w:sz w:val="18"/>
                <w:szCs w:val="18"/>
                <w:color w:val="auto"/>
              </w:rPr>
            </w:pPr>
          </w:p>
        </w:tc>
        <w:tc>
          <w:tcPr>
            <w:tcW w:w="260" w:type="dxa"/>
            <w:vAlign w:val="bottom"/>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Income taxes paid (refunded),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tcPr>
          <w:p>
            <w:pPr>
              <w:spacing w:after="0" w:line="216" w:lineRule="exact"/>
              <w:rPr>
                <w:sz w:val="20"/>
                <w:szCs w:val="20"/>
                <w:color w:val="auto"/>
              </w:rPr>
            </w:pPr>
            <w:r>
              <w:rPr>
                <w:rFonts w:ascii="Arial" w:cs="Arial" w:eastAsia="Arial" w:hAnsi="Arial"/>
                <w:sz w:val="20"/>
                <w:szCs w:val="20"/>
                <w:b w:val="1"/>
                <w:bCs w:val="1"/>
                <w:color w:val="auto"/>
              </w:rPr>
              <w:t>Non-Cash Transactions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shd w:val="clear" w:color="auto" w:fill="CCEEFF"/>
          </w:tcPr>
          <w:p>
            <w:pPr>
              <w:ind w:left="200"/>
              <w:spacing w:after="0" w:line="216" w:lineRule="exact"/>
              <w:rPr>
                <w:sz w:val="20"/>
                <w:szCs w:val="20"/>
                <w:color w:val="auto"/>
              </w:rPr>
            </w:pPr>
            <w:r>
              <w:rPr>
                <w:rFonts w:ascii="Arial" w:cs="Arial" w:eastAsia="Arial" w:hAnsi="Arial"/>
                <w:sz w:val="20"/>
                <w:szCs w:val="20"/>
                <w:color w:val="auto"/>
              </w:rPr>
              <w:t>Lease make-good accrual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tcPr>
          <w:p>
            <w:pPr>
              <w:ind w:left="200"/>
              <w:spacing w:after="0" w:line="220" w:lineRule="exact"/>
              <w:rPr>
                <w:sz w:val="20"/>
                <w:szCs w:val="20"/>
                <w:color w:val="auto"/>
              </w:rPr>
            </w:pPr>
            <w:r>
              <w:rPr>
                <w:rFonts w:ascii="Arial" w:cs="Arial" w:eastAsia="Arial" w:hAnsi="Arial"/>
                <w:sz w:val="20"/>
                <w:szCs w:val="20"/>
                <w:color w:val="auto"/>
              </w:rPr>
              <w:t>Additions to long-term borrowings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auto"/>
              </w:rPr>
              <w:t>13,648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line="220"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9400"/>
          </w:cols>
          <w:pgMar w:left="1260" w:top="1327" w:right="1246" w:bottom="0" w:gutter="0" w:footer="0" w:header="0"/>
          <w:type w:val="continuous"/>
        </w:sectPr>
      </w:pPr>
    </w:p>
    <w:bookmarkStart w:id="91" w:name="page92"/>
    <w:bookmarkEnd w:id="91"/>
    <w:tbl>
      <w:tblPr>
        <w:tblLayout w:type="fixed"/>
        <w:tblInd w:w="6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Additions to operating and investing properties through accrued</w:t>
            </w: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5660" w:type="dxa"/>
            <w:vAlign w:val="bottom"/>
          </w:tcPr>
          <w:p>
            <w:pPr>
              <w:spacing w:after="0" w:line="220" w:lineRule="exact"/>
              <w:rPr>
                <w:sz w:val="20"/>
                <w:szCs w:val="20"/>
                <w:color w:val="auto"/>
              </w:rPr>
            </w:pPr>
            <w:r>
              <w:rPr>
                <w:rFonts w:ascii="Arial" w:cs="Arial" w:eastAsia="Arial" w:hAnsi="Arial"/>
                <w:sz w:val="20"/>
                <w:szCs w:val="20"/>
                <w:color w:val="auto"/>
              </w:rPr>
              <w:t>expenses</w:t>
            </w:r>
          </w:p>
        </w:tc>
        <w:tc>
          <w:tcPr>
            <w:tcW w:w="1340" w:type="dxa"/>
            <w:vAlign w:val="bottom"/>
          </w:tcPr>
          <w:p>
            <w:pPr>
              <w:jc w:val="right"/>
              <w:ind w:right="400"/>
              <w:spacing w:after="0" w:line="220" w:lineRule="exact"/>
              <w:rPr>
                <w:sz w:val="20"/>
                <w:szCs w:val="20"/>
                <w:color w:val="auto"/>
              </w:rPr>
            </w:pPr>
            <w:r>
              <w:rPr>
                <w:rFonts w:ascii="Arial" w:cs="Arial" w:eastAsia="Arial" w:hAnsi="Arial"/>
                <w:sz w:val="20"/>
                <w:szCs w:val="20"/>
                <w:color w:val="auto"/>
              </w:rPr>
              <w:t>417</w:t>
            </w:r>
          </w:p>
        </w:tc>
        <w:tc>
          <w:tcPr>
            <w:tcW w:w="1220" w:type="dxa"/>
            <w:vAlign w:val="bottom"/>
          </w:tcPr>
          <w:p>
            <w:pPr>
              <w:jc w:val="right"/>
              <w:ind w:right="320"/>
              <w:spacing w:after="0" w:line="220" w:lineRule="exact"/>
              <w:rPr>
                <w:sz w:val="20"/>
                <w:szCs w:val="20"/>
                <w:color w:val="auto"/>
              </w:rPr>
            </w:pPr>
            <w:r>
              <w:rPr>
                <w:rFonts w:ascii="Arial" w:cs="Arial" w:eastAsia="Arial" w:hAnsi="Arial"/>
                <w:sz w:val="20"/>
                <w:szCs w:val="20"/>
                <w:color w:val="auto"/>
              </w:rPr>
              <w:t>257</w:t>
            </w:r>
          </w:p>
        </w:tc>
        <w:tc>
          <w:tcPr>
            <w:tcW w:w="860" w:type="dxa"/>
            <w:vAlign w:val="bottom"/>
          </w:tcPr>
          <w:p>
            <w:pPr>
              <w:jc w:val="right"/>
              <w:spacing w:after="0" w:line="220" w:lineRule="exact"/>
              <w:rPr>
                <w:sz w:val="20"/>
                <w:szCs w:val="20"/>
                <w:color w:val="auto"/>
              </w:rPr>
            </w:pPr>
            <w:r>
              <w:rPr>
                <w:rFonts w:ascii="Arial" w:cs="Arial" w:eastAsia="Arial" w:hAnsi="Arial"/>
                <w:sz w:val="20"/>
                <w:szCs w:val="20"/>
                <w:color w:val="auto"/>
              </w:rPr>
              <w:t>3,768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-274320</wp:posOffset>
            </wp:positionV>
            <wp:extent cx="596773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5967730" cy="274320"/>
                    </a:xfrm>
                    <a:prstGeom prst="rect">
                      <a:avLst/>
                    </a:prstGeom>
                    <a:noFill/>
                  </pic:spPr>
                </pic:pic>
              </a:graphicData>
            </a:graphic>
          </wp:anchor>
        </w:drawing>
      </w:r>
    </w:p>
    <w:p>
      <w:pPr>
        <w:sectPr>
          <w:pgSz w:w="11900" w:h="16838" w:orient="portrait"/>
          <w:cols w:equalWidth="0" w:num="1">
            <w:col w:w="9140"/>
          </w:cols>
          <w:pgMar w:left="1440" w:top="111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9140"/>
          </w:cols>
          <w:pgMar w:left="1440" w:top="1117" w:right="1326" w:bottom="0" w:gutter="0" w:footer="0" w:header="0"/>
          <w:type w:val="continuous"/>
        </w:sectPr>
      </w:pPr>
    </w:p>
    <w:bookmarkStart w:id="92" w:name="page93"/>
    <w:bookmarkEnd w:id="92"/>
    <w:p>
      <w:pPr>
        <w:jc w:val="center"/>
        <w:ind w:right="6"/>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19</w:t>
      </w:r>
    </w:p>
    <w:p>
      <w:pPr>
        <w:sectPr>
          <w:pgSz w:w="11900" w:h="16838" w:orient="portrait"/>
          <w:cols w:equalWidth="0" w:num="1">
            <w:col w:w="9026"/>
          </w:cols>
          <w:pgMar w:left="1440" w:top="1251" w:right="1440" w:bottom="0" w:gutter="0" w:footer="0" w:header="0"/>
          <w:type w:val="continuous"/>
        </w:sectPr>
      </w:pPr>
    </w:p>
    <w:bookmarkStart w:id="93" w:name="page94"/>
    <w:bookmarkEnd w:id="93"/>
    <w:p>
      <w:pPr>
        <w:spacing w:after="0" w:line="108" w:lineRule="exact"/>
        <w:rPr>
          <w:sz w:val="20"/>
          <w:szCs w:val="20"/>
          <w:color w:val="auto"/>
        </w:rPr>
      </w:pPr>
    </w:p>
    <w:p>
      <w:pPr>
        <w:jc w:val="center"/>
        <w:ind w:right="106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r>
        <w:rPr>
          <w:rFonts w:ascii="Arial" w:cs="Arial" w:eastAsia="Arial" w:hAnsi="Arial"/>
          <w:sz w:val="16"/>
          <w:szCs w:val="16"/>
          <w:color w:val="auto"/>
        </w:rPr>
        <w:t>.</w:t>
      </w:r>
    </w:p>
    <w:p>
      <w:pPr>
        <w:spacing w:after="0" w:line="171" w:lineRule="exact"/>
        <w:rPr>
          <w:sz w:val="20"/>
          <w:szCs w:val="20"/>
          <w:color w:val="auto"/>
        </w:rPr>
      </w:pPr>
    </w:p>
    <w:p>
      <w:pPr>
        <w:jc w:val="center"/>
        <w:ind w:right="1000"/>
        <w:spacing w:after="0"/>
        <w:rPr>
          <w:sz w:val="20"/>
          <w:szCs w:val="20"/>
          <w:color w:val="auto"/>
        </w:rPr>
      </w:pPr>
      <w:r>
        <w:rPr>
          <w:rFonts w:ascii="Arial" w:cs="Arial" w:eastAsia="Arial" w:hAnsi="Arial"/>
          <w:sz w:val="28"/>
          <w:szCs w:val="28"/>
          <w:b w:val="1"/>
          <w:bCs w:val="1"/>
          <w:u w:val="single" w:color="auto"/>
          <w:color w:val="auto"/>
        </w:rPr>
        <w:t>READING INTERNATIONAL, INC. and SUBSIDIARIES</w:t>
      </w:r>
    </w:p>
    <w:p>
      <w:pPr>
        <w:jc w:val="center"/>
        <w:ind w:right="1000"/>
        <w:spacing w:after="0" w:line="225" w:lineRule="auto"/>
        <w:rPr>
          <w:sz w:val="20"/>
          <w:szCs w:val="20"/>
          <w:color w:val="auto"/>
        </w:rPr>
      </w:pPr>
      <w:r>
        <w:rPr>
          <w:rFonts w:ascii="Arial" w:cs="Arial" w:eastAsia="Arial" w:hAnsi="Arial"/>
          <w:sz w:val="20"/>
          <w:szCs w:val="20"/>
          <w:b w:val="1"/>
          <w:bCs w:val="1"/>
          <w:color w:val="auto"/>
        </w:rPr>
        <w:t>Notes to Consolidated Financial Statements</w:t>
      </w:r>
    </w:p>
    <w:p>
      <w:pPr>
        <w:jc w:val="center"/>
        <w:ind w:right="1000"/>
        <w:spacing w:after="0" w:line="225" w:lineRule="auto"/>
        <w:rPr>
          <w:sz w:val="20"/>
          <w:szCs w:val="20"/>
          <w:color w:val="auto"/>
        </w:rPr>
      </w:pPr>
      <w:r>
        <w:rPr>
          <w:rFonts w:ascii="Arial" w:cs="Arial" w:eastAsia="Arial" w:hAnsi="Arial"/>
          <w:sz w:val="20"/>
          <w:szCs w:val="20"/>
          <w:b w:val="1"/>
          <w:bCs w:val="1"/>
          <w:color w:val="auto"/>
        </w:rPr>
        <w:t>As of and for Three Years Ended December 31, 2025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 – DESCRIPTION OF BUSINESS</w:t>
      </w:r>
    </w:p>
    <w:p>
      <w:pPr>
        <w:spacing w:after="0" w:line="229" w:lineRule="auto"/>
        <w:rPr>
          <w:sz w:val="20"/>
          <w:szCs w:val="20"/>
          <w:color w:val="auto"/>
        </w:rPr>
      </w:pPr>
      <w:r>
        <w:rPr>
          <w:rFonts w:ascii="Arial" w:cs="Arial" w:eastAsia="Arial" w:hAnsi="Arial"/>
          <w:sz w:val="20"/>
          <w:szCs w:val="20"/>
          <w:b w:val="1"/>
          <w:bCs w:val="1"/>
          <w:i w:val="1"/>
          <w:iCs w:val="1"/>
          <w:color w:val="auto"/>
        </w:rPr>
        <w:t>The Company</w:t>
      </w:r>
    </w:p>
    <w:p>
      <w:pPr>
        <w:spacing w:after="0" w:line="213" w:lineRule="exact"/>
        <w:rPr>
          <w:sz w:val="20"/>
          <w:szCs w:val="20"/>
          <w:color w:val="auto"/>
        </w:rPr>
      </w:pPr>
    </w:p>
    <w:p>
      <w:pPr>
        <w:jc w:val="both"/>
        <w:ind w:right="1080"/>
        <w:spacing w:after="0" w:line="226" w:lineRule="auto"/>
        <w:rPr>
          <w:sz w:val="20"/>
          <w:szCs w:val="20"/>
          <w:color w:val="auto"/>
        </w:rPr>
      </w:pPr>
      <w:r>
        <w:rPr>
          <w:rFonts w:ascii="Arial" w:cs="Arial" w:eastAsia="Arial" w:hAnsi="Arial"/>
          <w:sz w:val="20"/>
          <w:szCs w:val="20"/>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100" w:lineRule="exact"/>
        <w:rPr>
          <w:sz w:val="20"/>
          <w:szCs w:val="20"/>
          <w:color w:val="auto"/>
        </w:rPr>
      </w:pPr>
    </w:p>
    <w:p>
      <w:pPr>
        <w:ind w:left="720" w:right="1060" w:hanging="366"/>
        <w:spacing w:after="0" w:line="237" w:lineRule="auto"/>
        <w:tabs>
          <w:tab w:leader="none" w:pos="720" w:val="left"/>
        </w:tabs>
        <w:numPr>
          <w:ilvl w:val="0"/>
          <w:numId w:val="37"/>
        </w:numPr>
        <w:rPr>
          <w:rFonts w:ascii="Wingdings" w:cs="Wingdings" w:eastAsia="Wingdings" w:hAnsi="Wingdings"/>
          <w:sz w:val="20"/>
          <w:szCs w:val="20"/>
          <w:color w:val="auto"/>
        </w:rPr>
      </w:pPr>
      <w:r>
        <w:rPr>
          <w:rFonts w:ascii="Arial" w:cs="Arial" w:eastAsia="Arial" w:hAnsi="Arial"/>
          <w:sz w:val="20"/>
          <w:szCs w:val="20"/>
          <w:color w:val="auto"/>
        </w:rPr>
        <w:t>the development, ownership, and operation, of cinemas in the United States, Australia, and New Zealand; and,</w:t>
      </w:r>
    </w:p>
    <w:p>
      <w:pPr>
        <w:spacing w:after="0" w:line="118" w:lineRule="exact"/>
        <w:rPr>
          <w:rFonts w:ascii="Wingdings" w:cs="Wingdings" w:eastAsia="Wingdings" w:hAnsi="Wingdings"/>
          <w:sz w:val="20"/>
          <w:szCs w:val="20"/>
          <w:color w:val="auto"/>
        </w:rPr>
      </w:pPr>
    </w:p>
    <w:p>
      <w:pPr>
        <w:ind w:left="720" w:right="1060" w:hanging="366"/>
        <w:spacing w:after="0" w:line="237" w:lineRule="auto"/>
        <w:tabs>
          <w:tab w:leader="none" w:pos="720" w:val="left"/>
        </w:tabs>
        <w:numPr>
          <w:ilvl w:val="0"/>
          <w:numId w:val="37"/>
        </w:numPr>
        <w:rPr>
          <w:rFonts w:ascii="Wingdings" w:cs="Wingdings" w:eastAsia="Wingdings" w:hAnsi="Wingdings"/>
          <w:sz w:val="20"/>
          <w:szCs w:val="20"/>
          <w:color w:val="auto"/>
        </w:rPr>
      </w:pPr>
      <w:r>
        <w:rPr>
          <w:rFonts w:ascii="Arial" w:cs="Arial" w:eastAsia="Arial" w:hAnsi="Arial"/>
          <w:sz w:val="20"/>
          <w:szCs w:val="20"/>
          <w:color w:val="auto"/>
        </w:rPr>
        <w:t>the development, ownership, operation and/or rental of retail, commercial and live venue real estate assets in Australia, New Zealand, and the United States.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2 – LIQUIDITY</w:t>
      </w:r>
    </w:p>
    <w:p>
      <w:pPr>
        <w:spacing w:after="0" w:line="212" w:lineRule="exact"/>
        <w:rPr>
          <w:sz w:val="20"/>
          <w:szCs w:val="20"/>
          <w:color w:val="auto"/>
        </w:rPr>
      </w:pPr>
    </w:p>
    <w:p>
      <w:pPr>
        <w:jc w:val="both"/>
        <w:ind w:right="1060"/>
        <w:spacing w:after="0" w:line="253" w:lineRule="auto"/>
        <w:rPr>
          <w:sz w:val="20"/>
          <w:szCs w:val="20"/>
          <w:color w:val="auto"/>
        </w:rPr>
      </w:pPr>
      <w:r>
        <w:rPr>
          <w:rFonts w:ascii="Arial" w:cs="Arial" w:eastAsia="Arial" w:hAnsi="Arial"/>
          <w:sz w:val="18"/>
          <w:szCs w:val="18"/>
          <w:color w:val="auto"/>
        </w:rPr>
        <w:t>We continue to evaluate the going concern assertion required by ASC 205-40 Going Concern 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develop plans to overcome that shortfall. We must then determine whether it is probable that our plans will be effectively implemented and will mitigate the consequential going concern substantial doubt.</w:t>
      </w:r>
    </w:p>
    <w:p>
      <w:pPr>
        <w:spacing w:after="0" w:line="203" w:lineRule="exact"/>
        <w:rPr>
          <w:sz w:val="20"/>
          <w:szCs w:val="20"/>
          <w:color w:val="auto"/>
        </w:rPr>
      </w:pPr>
    </w:p>
    <w:p>
      <w:pPr>
        <w:jc w:val="both"/>
        <w:ind w:right="1040"/>
        <w:spacing w:after="0" w:line="253" w:lineRule="auto"/>
        <w:rPr>
          <w:sz w:val="20"/>
          <w:szCs w:val="20"/>
          <w:color w:val="auto"/>
        </w:rPr>
      </w:pPr>
      <w:r>
        <w:rPr>
          <w:rFonts w:ascii="Arial" w:cs="Arial" w:eastAsia="Arial" w:hAnsi="Arial"/>
          <w:sz w:val="18"/>
          <w:szCs w:val="18"/>
          <w:color w:val="auto"/>
        </w:rPr>
        <w:t>We have $36.0 million of debt due in twelve months, cash of $10.5 million and negative working capital of $106.8 million. 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management’s overall evaluation of ASC 205-40 Going Concern.</w:t>
      </w:r>
    </w:p>
    <w:p>
      <w:pPr>
        <w:spacing w:after="0" w:line="201" w:lineRule="exact"/>
        <w:rPr>
          <w:sz w:val="20"/>
          <w:szCs w:val="20"/>
          <w:color w:val="auto"/>
        </w:rPr>
      </w:pPr>
    </w:p>
    <w:p>
      <w:pPr>
        <w:jc w:val="both"/>
        <w:ind w:right="1060"/>
        <w:spacing w:after="0" w:line="258" w:lineRule="auto"/>
        <w:rPr>
          <w:sz w:val="20"/>
          <w:szCs w:val="20"/>
          <w:color w:val="auto"/>
        </w:rPr>
      </w:pPr>
      <w:r>
        <w:rPr>
          <w:rFonts w:ascii="Arial" w:cs="Arial" w:eastAsia="Arial" w:hAnsi="Arial"/>
          <w:sz w:val="18"/>
          <w:szCs w:val="18"/>
          <w:color w:val="auto"/>
        </w:rPr>
        <w:t>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w:t>
      </w:r>
    </w:p>
    <w:p>
      <w:pPr>
        <w:spacing w:after="0" w:line="196" w:lineRule="exact"/>
        <w:rPr>
          <w:sz w:val="20"/>
          <w:szCs w:val="20"/>
          <w:color w:val="auto"/>
        </w:rPr>
      </w:pPr>
    </w:p>
    <w:p>
      <w:pPr>
        <w:jc w:val="both"/>
        <w:ind w:right="1060"/>
        <w:spacing w:after="0" w:line="251" w:lineRule="auto"/>
        <w:rPr>
          <w:sz w:val="20"/>
          <w:szCs w:val="20"/>
          <w:color w:val="auto"/>
        </w:rPr>
      </w:pPr>
      <w:r>
        <w:rPr>
          <w:rFonts w:ascii="Arial" w:cs="Arial" w:eastAsia="Arial" w:hAnsi="Arial"/>
          <w:sz w:val="18"/>
          <w:szCs w:val="18"/>
          <w:color w:val="auto"/>
        </w:rPr>
        <w:t xml:space="preserve">We are continuing the process of refinancing and/or extending certain loans, as further discussed in </w:t>
      </w:r>
      <w:r>
        <w:rPr>
          <w:rFonts w:ascii="Arial" w:cs="Arial" w:eastAsia="Arial" w:hAnsi="Arial"/>
          <w:sz w:val="18"/>
          <w:szCs w:val="18"/>
          <w:i w:val="1"/>
          <w:iCs w:val="1"/>
          <w:color w:val="auto"/>
        </w:rPr>
        <w:t>Note 13 -</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w:t>
      </w:r>
      <w:r>
        <w:rPr>
          <w:rFonts w:ascii="Arial" w:cs="Arial" w:eastAsia="Arial" w:hAnsi="Arial"/>
          <w:sz w:val="18"/>
          <w:szCs w:val="18"/>
          <w:color w:val="auto"/>
        </w:rPr>
        <w:t>. On January 31, 2025, we sold our Courtenay Central real estate assets for $21.5 million and repaid our</w:t>
      </w:r>
      <w:r>
        <w:rPr>
          <w:rFonts w:ascii="Arial" w:cs="Arial" w:eastAsia="Arial" w:hAnsi="Arial"/>
          <w:sz w:val="18"/>
          <w:szCs w:val="18"/>
          <w:i w:val="1"/>
          <w:iCs w:val="1"/>
          <w:color w:val="auto"/>
        </w:rPr>
        <w:t xml:space="preserve"> </w:t>
      </w:r>
      <w:r>
        <w:rPr>
          <w:rFonts w:ascii="Arial" w:cs="Arial" w:eastAsia="Arial" w:hAnsi="Arial"/>
          <w:sz w:val="18"/>
          <w:szCs w:val="18"/>
          <w:color w:val="auto"/>
        </w:rPr>
        <w:t>$10.5 million Westpac loan. On February 5, 2025, we repaid $6.1 million of our Bank of America facility, reducing the balance to $8.7 million. On July 3, 2025, we extended the maturity date of this loan to May 18, 2026. On February 26, 2025, we exercised our option to extend our Valley National debt to October 1, 2025. On May 2, 2025, we extended our Emerald Creek Capital loan to November 6, 2026. On May 21, 2025, we sold our Cannon Park property for $20.7 million, and repaid our $12.9 million NAB bridging facility, $970,000 on our NAB Core Facility and $1.5 million on our Bank of America facility. On July 18, 2025, we extended the maturity date of our Santander loan to June 1, 2026. On November 12, 2025, we extended our NAB facility by five years, and on November 13, 2025, we extended our Valley National debt of $19.8 million to October 1, 2026. On December 29, 2025, we extended the maturity date of our Bank of America loan to September 18, 2026.</w:t>
      </w:r>
    </w:p>
    <w:p>
      <w:pPr>
        <w:spacing w:after="0" w:line="211" w:lineRule="exact"/>
        <w:rPr>
          <w:sz w:val="20"/>
          <w:szCs w:val="20"/>
          <w:color w:val="auto"/>
        </w:rPr>
      </w:pPr>
    </w:p>
    <w:p>
      <w:pPr>
        <w:jc w:val="both"/>
        <w:ind w:right="1040"/>
        <w:spacing w:after="0" w:line="253" w:lineRule="auto"/>
        <w:rPr>
          <w:sz w:val="20"/>
          <w:szCs w:val="20"/>
          <w:color w:val="auto"/>
        </w:rPr>
      </w:pPr>
      <w:r>
        <w:rPr>
          <w:rFonts w:ascii="Arial" w:cs="Arial" w:eastAsia="Arial" w:hAnsi="Arial"/>
          <w:sz w:val="18"/>
          <w:szCs w:val="18"/>
          <w:color w:val="auto"/>
        </w:rPr>
        <w:t>On December 19, 2025, we purchased Sutton Hill Associates, a California general partnership. As a consequence of that transaction we took on $13.6 million in long term debt owed by Sutton Hill Associates to a third party, and short term payables in the amount of $7.1 million owed to Sutton Hill Capital, LLC, a wholly owned subsidiary of Sutton Hill Associates was eliminated on consolidation. The long term debt is carried on our balance sheet at fair value of $7.6 million, reflecting the fact that the debt has a term maturing on September 30, 2035, with no interim payments of principal, is unsecured and bears interest at 4.75% per annum payable quarterly in arrears.</w:t>
      </w:r>
    </w:p>
    <w:p>
      <w:pPr>
        <w:spacing w:after="0" w:line="203" w:lineRule="exact"/>
        <w:rPr>
          <w:sz w:val="20"/>
          <w:szCs w:val="20"/>
          <w:color w:val="auto"/>
        </w:rPr>
      </w:pPr>
    </w:p>
    <w:p>
      <w:pPr>
        <w:jc w:val="both"/>
        <w:ind w:right="1060"/>
        <w:spacing w:after="0" w:line="258" w:lineRule="auto"/>
        <w:rPr>
          <w:sz w:val="20"/>
          <w:szCs w:val="20"/>
          <w:color w:val="auto"/>
        </w:rPr>
      </w:pPr>
      <w:r>
        <w:rPr>
          <w:rFonts w:ascii="Arial" w:cs="Arial" w:eastAsia="Arial" w:hAnsi="Arial"/>
          <w:sz w:val="18"/>
          <w:szCs w:val="18"/>
          <w:color w:val="auto"/>
        </w:rPr>
        <w:t>Moreover, we intend to raise the liquidity necessary for the next twelve months from refinancings and real estate asset monetization. Management has been authorized to pursue such actions where necessary. We believe we have more than sufficient marketable real estate assets that can be monetized on a timely basis and at the values required</w:t>
      </w:r>
    </w:p>
    <w:p>
      <w:pPr>
        <w:sectPr>
          <w:pgSz w:w="11900" w:h="16838" w:orient="portrait"/>
          <w:cols w:equalWidth="0" w:num="1">
            <w:col w:w="10400"/>
          </w:cols>
          <w:pgMar w:left="1260" w:top="1440" w:right="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 / 19</w:t>
      </w:r>
    </w:p>
    <w:p>
      <w:pPr>
        <w:sectPr>
          <w:pgSz w:w="11900" w:h="16838" w:orient="portrait"/>
          <w:cols w:equalWidth="0" w:num="1">
            <w:col w:w="10400"/>
          </w:cols>
          <w:pgMar w:left="1260" w:top="1440" w:right="246" w:bottom="0" w:gutter="0" w:footer="0" w:header="0"/>
          <w:type w:val="continuous"/>
        </w:sectPr>
      </w:pPr>
    </w:p>
    <w:bookmarkStart w:id="94" w:name="page95"/>
    <w:bookmarkEnd w:id="94"/>
    <w:p>
      <w:pPr>
        <w:jc w:val="both"/>
        <w:spacing w:after="0" w:line="237" w:lineRule="auto"/>
        <w:rPr>
          <w:sz w:val="20"/>
          <w:szCs w:val="20"/>
          <w:color w:val="auto"/>
        </w:rPr>
      </w:pPr>
      <w:r>
        <w:rPr>
          <w:rFonts w:ascii="Arial" w:cs="Arial" w:eastAsia="Arial" w:hAnsi="Arial"/>
          <w:sz w:val="19"/>
          <w:szCs w:val="19"/>
          <w:color w:val="auto"/>
        </w:rPr>
        <w:t>to meet our funding needs over the next twelve months. After having sold nine property assets with combined net proceeds of $ 197.5 million since 2021, we have demonstrated our ability to complete real estate asset monetizations. We currently have one property (our Newbury Yard rail yard in Williamsport, Pennsylvania)</w:t>
      </w:r>
    </w:p>
    <w:p>
      <w:pPr>
        <w:jc w:val="center"/>
        <w:ind w:right="-39"/>
        <w:spacing w:after="0" w:line="230" w:lineRule="auto"/>
        <w:rPr>
          <w:sz w:val="20"/>
          <w:szCs w:val="20"/>
          <w:color w:val="auto"/>
        </w:rPr>
      </w:pPr>
      <w:r>
        <w:rPr>
          <w:rFonts w:ascii="Arial" w:cs="Arial" w:eastAsia="Arial" w:hAnsi="Arial"/>
          <w:sz w:val="20"/>
          <w:szCs w:val="20"/>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19</w:t>
      </w:r>
    </w:p>
    <w:p>
      <w:pPr>
        <w:sectPr>
          <w:pgSz w:w="11900" w:h="16838" w:orient="portrait"/>
          <w:cols w:equalWidth="0" w:num="1">
            <w:col w:w="9340"/>
          </w:cols>
          <w:pgMar w:left="1260" w:top="1131" w:right="1306" w:bottom="0" w:gutter="0" w:footer="0" w:header="0"/>
          <w:type w:val="continuous"/>
        </w:sectPr>
      </w:pPr>
    </w:p>
    <w:bookmarkStart w:id="95" w:name="page96"/>
    <w:bookmarkEnd w:id="95"/>
    <w:p>
      <w:pPr>
        <w:jc w:val="both"/>
        <w:ind w:right="40"/>
        <w:spacing w:after="0" w:line="226" w:lineRule="auto"/>
        <w:rPr>
          <w:sz w:val="20"/>
          <w:szCs w:val="20"/>
          <w:color w:val="auto"/>
        </w:rPr>
      </w:pPr>
      <w:r>
        <w:rPr>
          <w:rFonts w:ascii="Arial" w:cs="Arial" w:eastAsia="Arial" w:hAnsi="Arial"/>
          <w:sz w:val="20"/>
          <w:szCs w:val="20"/>
          <w:color w:val="auto"/>
        </w:rPr>
        <w:t>held for sale and in February 2026 retained Newmark &amp; Company Real Estate, Inc. to monetize our Cinemas 1,2,3 property. While no assurances can be given, we anticipate that these assets can be reasonably monetized before the end of our upcoming third quarter.</w:t>
      </w:r>
    </w:p>
    <w:p>
      <w:pPr>
        <w:spacing w:after="0" w:line="214"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In conclusion, as of the date of issuance of these financial statements, based on our evaluation of ASC 205-40 Going Concern 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Considerations</w:t>
      </w:r>
    </w:p>
    <w:p>
      <w:pPr>
        <w:jc w:val="both"/>
        <w:ind w:right="20"/>
        <w:spacing w:after="0" w:line="226" w:lineRule="auto"/>
        <w:rPr>
          <w:sz w:val="20"/>
          <w:szCs w:val="20"/>
          <w:color w:val="auto"/>
        </w:rPr>
      </w:pPr>
      <w:r>
        <w:rPr>
          <w:rFonts w:ascii="Arial" w:cs="Arial" w:eastAsia="Arial" w:hAnsi="Arial"/>
          <w:sz w:val="20"/>
          <w:szCs w:val="20"/>
          <w:color w:val="auto"/>
        </w:rPr>
        <w:t>Our Company considers that the events and factors described above continue to constitute impairment indicators under ASC 360 Property, Plant and Equipment. At December 31, 2025, our Company performed a quantitative recoverability test of the carrying values of all its asset groups. Our Company estimated the undiscounted future cash flows expected to result from the use of these asset groups and found that no impairment charge in 2025 was necessary. No impairment charges were recorded in 2023 or 2024. Actual performance against our forecasts is dependent on several variables and conditions and as a result, actual results may materially differ from management’s estimates.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Company also considers that the events and factors described above continue to constitute impairment indicators under ASC 350 Intangibles – Goodwill and Other. Our Company performed a quantitative goodwill impairment test and determined that our goodwill was not impaired as of December 31, 2025. The test was performed at a reporting unit level by comparing each reporting unit’s carrying value, including goodwill, to its fair value. The fair value of each reporting unit was assessed using a discounted cash flow model based on the budgetary revisions performed by management. Actual performance against our forecasts is dependent on several variables and conditions and as a result, actual results may materially differ from management’s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Basis of Consolidation</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Our consolidated financial statements have been prepared in accordance with accounting principles generally accepted in the United States of America (“U.S. GAAP”). These consolidated financial statements include the accounts of our wholly owned subsidiaries. We have also consolidated the following entities that are not wholly owned for which we have control:</w:t>
      </w:r>
    </w:p>
    <w:p>
      <w:pPr>
        <w:spacing w:after="0" w:line="98" w:lineRule="exact"/>
        <w:rPr>
          <w:sz w:val="20"/>
          <w:szCs w:val="20"/>
          <w:color w:val="auto"/>
        </w:rPr>
      </w:pPr>
    </w:p>
    <w:p>
      <w:pPr>
        <w:ind w:left="720" w:right="40" w:hanging="359"/>
        <w:spacing w:after="0" w:line="245" w:lineRule="auto"/>
        <w:tabs>
          <w:tab w:leader="none" w:pos="700" w:val="left"/>
        </w:tabs>
        <w:rPr>
          <w:sz w:val="20"/>
          <w:szCs w:val="20"/>
          <w:color w:val="auto"/>
        </w:rPr>
      </w:pPr>
      <w:r>
        <w:rPr>
          <w:rFonts w:ascii="Wingdings" w:cs="Wingdings" w:eastAsia="Wingdings" w:hAnsi="Wingdings"/>
          <w:sz w:val="16"/>
          <w:szCs w:val="16"/>
          <w:color w:val="auto"/>
        </w:rPr>
        <w:t></w:t>
      </w:r>
      <w:r>
        <w:rPr>
          <w:sz w:val="20"/>
          <w:szCs w:val="20"/>
          <w:color w:val="auto"/>
        </w:rPr>
        <w:tab/>
      </w:r>
      <w:r>
        <w:rPr>
          <w:rFonts w:ascii="Arial" w:cs="Arial" w:eastAsia="Arial" w:hAnsi="Arial"/>
          <w:sz w:val="20"/>
          <w:szCs w:val="20"/>
          <w:color w:val="auto"/>
        </w:rPr>
        <w:t>Australia Country Cinemas Pty, Limited, a company in which we own a 75% interest and whose only assets are our leasehold cinema at Dubbo, Australia and our owned cinema at Townsville, Australia; and,</w:t>
      </w:r>
    </w:p>
    <w:p>
      <w:pPr>
        <w:spacing w:after="0" w:line="112" w:lineRule="exact"/>
        <w:rPr>
          <w:sz w:val="20"/>
          <w:szCs w:val="20"/>
          <w:color w:val="auto"/>
        </w:rPr>
      </w:pPr>
    </w:p>
    <w:p>
      <w:pPr>
        <w:ind w:left="720" w:hanging="366"/>
        <w:spacing w:after="0"/>
        <w:tabs>
          <w:tab w:leader="none" w:pos="720" w:val="left"/>
        </w:tabs>
        <w:numPr>
          <w:ilvl w:val="0"/>
          <w:numId w:val="38"/>
        </w:numPr>
        <w:rPr>
          <w:rFonts w:ascii="Wingdings" w:cs="Wingdings" w:eastAsia="Wingdings" w:hAnsi="Wingdings"/>
          <w:sz w:val="14"/>
          <w:szCs w:val="14"/>
          <w:color w:val="auto"/>
        </w:rPr>
      </w:pPr>
      <w:r>
        <w:rPr>
          <w:rFonts w:ascii="Arial" w:cs="Arial" w:eastAsia="Arial" w:hAnsi="Arial"/>
          <w:sz w:val="18"/>
          <w:szCs w:val="18"/>
          <w:color w:val="auto"/>
        </w:rPr>
        <w:t>Shadow View Land and Farming, LLC in which we own a 50% controlling membership interest and whose</w:t>
      </w:r>
    </w:p>
    <w:p>
      <w:pPr>
        <w:spacing w:after="0" w:line="29" w:lineRule="exact"/>
        <w:rPr>
          <w:sz w:val="20"/>
          <w:szCs w:val="20"/>
          <w:color w:val="auto"/>
        </w:rPr>
      </w:pPr>
    </w:p>
    <w:p>
      <w:pPr>
        <w:ind w:left="720"/>
        <w:spacing w:after="0"/>
        <w:tabs>
          <w:tab w:leader="none" w:pos="2940" w:val="left"/>
          <w:tab w:leader="none" w:pos="5200" w:val="left"/>
          <w:tab w:leader="none" w:pos="7400" w:val="left"/>
        </w:tabs>
        <w:rPr>
          <w:sz w:val="20"/>
          <w:szCs w:val="20"/>
          <w:color w:val="auto"/>
        </w:rPr>
      </w:pPr>
      <w:r>
        <w:rPr>
          <w:rFonts w:ascii="Arial" w:cs="Arial" w:eastAsia="Arial" w:hAnsi="Arial"/>
          <w:sz w:val="20"/>
          <w:szCs w:val="20"/>
          <w:color w:val="auto"/>
        </w:rPr>
        <w:t>only</w:t>
      </w:r>
      <w:r>
        <w:rPr>
          <w:sz w:val="20"/>
          <w:szCs w:val="20"/>
          <w:color w:val="auto"/>
        </w:rPr>
        <w:tab/>
      </w:r>
      <w:r>
        <w:rPr>
          <w:rFonts w:ascii="Arial" w:cs="Arial" w:eastAsia="Arial" w:hAnsi="Arial"/>
          <w:sz w:val="20"/>
          <w:szCs w:val="20"/>
          <w:color w:val="auto"/>
        </w:rPr>
        <w:t>asset</w:t>
      </w:r>
      <w:r>
        <w:rPr>
          <w:sz w:val="20"/>
          <w:szCs w:val="20"/>
          <w:color w:val="auto"/>
        </w:rPr>
        <w:tab/>
      </w:r>
      <w:r>
        <w:rPr>
          <w:rFonts w:ascii="Arial" w:cs="Arial" w:eastAsia="Arial" w:hAnsi="Arial"/>
          <w:sz w:val="20"/>
          <w:szCs w:val="20"/>
          <w:color w:val="auto"/>
        </w:rPr>
        <w:t>was</w:t>
      </w:r>
      <w:r>
        <w:rPr>
          <w:sz w:val="20"/>
          <w:szCs w:val="20"/>
          <w:color w:val="auto"/>
        </w:rPr>
        <w:tab/>
      </w:r>
      <w:r>
        <w:rPr>
          <w:rFonts w:ascii="Arial" w:cs="Arial" w:eastAsia="Arial" w:hAnsi="Arial"/>
          <w:sz w:val="14"/>
          <w:szCs w:val="14"/>
          <w:color w:val="auto"/>
        </w:rPr>
        <w:t>a</w:t>
      </w:r>
    </w:p>
    <w:p>
      <w:pPr>
        <w:spacing w:after="0" w:line="16" w:lineRule="exact"/>
        <w:rPr>
          <w:sz w:val="20"/>
          <w:szCs w:val="20"/>
          <w:color w:val="auto"/>
        </w:rPr>
      </w:pPr>
    </w:p>
    <w:p>
      <w:pPr>
        <w:ind w:left="720" w:right="40"/>
        <w:spacing w:after="0" w:line="237" w:lineRule="auto"/>
        <w:rPr>
          <w:sz w:val="20"/>
          <w:szCs w:val="20"/>
          <w:color w:val="auto"/>
        </w:rPr>
      </w:pPr>
      <w:r>
        <w:rPr>
          <w:rFonts w:ascii="Arial" w:cs="Arial" w:eastAsia="Arial" w:hAnsi="Arial"/>
          <w:sz w:val="20"/>
          <w:szCs w:val="20"/>
          <w:color w:val="auto"/>
        </w:rPr>
        <w:t>202-acre land parcel in Coachella, California which was sold in March 2021. The company is in the process of winding up.</w:t>
      </w:r>
    </w:p>
    <w:p>
      <w:pPr>
        <w:spacing w:after="0" w:line="233"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80" w:lineRule="exact"/>
        <w:rPr>
          <w:sz w:val="20"/>
          <w:szCs w:val="20"/>
          <w:color w:val="auto"/>
        </w:rPr>
      </w:pPr>
    </w:p>
    <w:p>
      <w:pPr>
        <w:ind w:left="720" w:right="40" w:hanging="366"/>
        <w:spacing w:after="0" w:line="245" w:lineRule="auto"/>
        <w:tabs>
          <w:tab w:leader="none" w:pos="720" w:val="left"/>
        </w:tabs>
        <w:numPr>
          <w:ilvl w:val="0"/>
          <w:numId w:val="39"/>
        </w:numPr>
        <w:rPr>
          <w:rFonts w:ascii="Wingdings" w:cs="Wingdings" w:eastAsia="Wingdings" w:hAnsi="Wingdings"/>
          <w:sz w:val="16"/>
          <w:szCs w:val="16"/>
          <w:color w:val="auto"/>
        </w:rPr>
      </w:pPr>
      <w:r>
        <w:rPr>
          <w:rFonts w:ascii="Arial" w:cs="Arial" w:eastAsia="Arial" w:hAnsi="Arial"/>
          <w:sz w:val="20"/>
          <w:szCs w:val="20"/>
          <w:color w:val="auto"/>
        </w:rPr>
        <w:t>33.3% undivided interest in the unincorporated joint venture that owns the Mt. Gravatt cinema in a suburb of Brisbane, Australia;</w:t>
      </w:r>
    </w:p>
    <w:p>
      <w:pPr>
        <w:spacing w:after="0" w:line="111" w:lineRule="exact"/>
        <w:rPr>
          <w:rFonts w:ascii="Wingdings" w:cs="Wingdings" w:eastAsia="Wingdings" w:hAnsi="Wingdings"/>
          <w:sz w:val="16"/>
          <w:szCs w:val="16"/>
          <w:color w:val="auto"/>
        </w:rPr>
      </w:pPr>
    </w:p>
    <w:p>
      <w:pPr>
        <w:ind w:left="720" w:hanging="366"/>
        <w:spacing w:after="0"/>
        <w:tabs>
          <w:tab w:leader="none" w:pos="720" w:val="left"/>
        </w:tabs>
        <w:numPr>
          <w:ilvl w:val="0"/>
          <w:numId w:val="39"/>
        </w:numPr>
        <w:rPr>
          <w:rFonts w:ascii="Wingdings" w:cs="Wingdings" w:eastAsia="Wingdings" w:hAnsi="Wingdings"/>
          <w:sz w:val="15"/>
          <w:szCs w:val="15"/>
          <w:color w:val="auto"/>
        </w:rPr>
      </w:pPr>
      <w:r>
        <w:rPr>
          <w:rFonts w:ascii="Arial" w:cs="Arial" w:eastAsia="Arial" w:hAnsi="Arial"/>
          <w:sz w:val="19"/>
          <w:szCs w:val="19"/>
          <w:color w:val="auto"/>
        </w:rPr>
        <w:t>50% undivided interest in the unincorporated joint venture that owns Rialto Cinemas in New Zealand.</w:t>
      </w:r>
    </w:p>
    <w:p>
      <w:pPr>
        <w:spacing w:after="0" w:line="24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We consider that we have control over our partially owned subsidiaries and joint venture interests (collectively “investee”) when these conditions exist:</w:t>
      </w:r>
    </w:p>
    <w:p>
      <w:pPr>
        <w:spacing w:after="0" w:line="199" w:lineRule="exact"/>
        <w:rPr>
          <w:sz w:val="20"/>
          <w:szCs w:val="20"/>
          <w:color w:val="auto"/>
        </w:rPr>
      </w:pPr>
    </w:p>
    <w:p>
      <w:pPr>
        <w:ind w:left="720" w:hanging="366"/>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we own a majority of the voting rights or interests of the investee (typically above 50%), or</w:t>
      </w:r>
    </w:p>
    <w:p>
      <w:pPr>
        <w:jc w:val="both"/>
        <w:ind w:left="720" w:right="40" w:hanging="366"/>
        <w:spacing w:after="0" w:line="226" w:lineRule="auto"/>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214"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The Company considers all relevant facts and circumstances in assessing whether or not our voting rights in the investee are sufficient to give it power, including:</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19</w:t>
      </w:r>
    </w:p>
    <w:p>
      <w:pPr>
        <w:sectPr>
          <w:pgSz w:w="11900" w:h="16838" w:orient="portrait"/>
          <w:cols w:equalWidth="0" w:num="1">
            <w:col w:w="9380"/>
          </w:cols>
          <w:pgMar w:left="1260" w:top="1131" w:right="1266" w:bottom="0" w:gutter="0" w:footer="0" w:header="0"/>
          <w:type w:val="continuous"/>
        </w:sectPr>
      </w:pPr>
    </w:p>
    <w:bookmarkStart w:id="96" w:name="page97"/>
    <w:bookmarkEnd w:id="96"/>
    <w:p>
      <w:pPr>
        <w:ind w:left="540" w:hanging="366"/>
        <w:spacing w:after="0" w:line="225" w:lineRule="auto"/>
        <w:tabs>
          <w:tab w:leader="none" w:pos="5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size of our voting rights and interests relative to the size and dispersion of holdings of other vote holders;</w:t>
      </w:r>
    </w:p>
    <w:p>
      <w:pPr>
        <w:ind w:left="540" w:hanging="366"/>
        <w:spacing w:after="0" w:line="225" w:lineRule="auto"/>
        <w:tabs>
          <w:tab w:leader="none" w:pos="5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potential voting rights and interests held by us;</w:t>
      </w:r>
    </w:p>
    <w:p>
      <w:pPr>
        <w:ind w:left="540" w:hanging="366"/>
        <w:spacing w:after="0" w:line="225" w:lineRule="auto"/>
        <w:tabs>
          <w:tab w:leader="none" w:pos="5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rights and interests arising from other contractual arrangements; and,</w:t>
      </w:r>
    </w:p>
    <w:p>
      <w:pPr>
        <w:ind w:left="540" w:hanging="366"/>
        <w:spacing w:after="0" w:line="229" w:lineRule="auto"/>
        <w:tabs>
          <w:tab w:leader="none" w:pos="5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additional other relevant facts.</w:t>
      </w:r>
    </w:p>
    <w:p>
      <w:pPr>
        <w:spacing w:after="0" w:line="202" w:lineRule="exact"/>
        <w:rPr>
          <w:rFonts w:ascii="Arial" w:cs="Arial" w:eastAsia="Arial" w:hAnsi="Arial"/>
          <w:sz w:val="20"/>
          <w:szCs w:val="20"/>
          <w:color w:val="auto"/>
        </w:rPr>
      </w:pPr>
    </w:p>
    <w:p>
      <w:pPr>
        <w:ind w:left="4420" w:hanging="124"/>
        <w:spacing w:after="0"/>
        <w:tabs>
          <w:tab w:leader="none" w:pos="4420" w:val="left"/>
        </w:tabs>
        <w:numPr>
          <w:ilvl w:val="1"/>
          <w:numId w:val="41"/>
        </w:numPr>
        <w:rPr>
          <w:rFonts w:ascii="Arial" w:cs="Arial" w:eastAsia="Arial" w:hAnsi="Arial"/>
          <w:sz w:val="20"/>
          <w:szCs w:val="20"/>
          <w:color w:val="auto"/>
        </w:rPr>
      </w:pPr>
      <w:r>
        <w:rPr>
          <w:rFonts w:ascii="Arial" w:cs="Arial" w:eastAsia="Arial" w:hAnsi="Arial"/>
          <w:sz w:val="20"/>
          <w:szCs w:val="20"/>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227965</wp:posOffset>
            </wp:positionV>
            <wp:extent cx="596773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20"/>
          </w:cols>
          <w:pgMar w:left="1440" w:top="113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5 / 19</w:t>
      </w:r>
    </w:p>
    <w:p>
      <w:pPr>
        <w:sectPr>
          <w:pgSz w:w="11900" w:h="16838" w:orient="portrait"/>
          <w:cols w:equalWidth="0" w:num="1">
            <w:col w:w="9120"/>
          </w:cols>
          <w:pgMar w:left="1440" w:top="1131" w:right="1346"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color w:val="auto"/>
        </w:rPr>
        <w:t>All intercompany balances and transactions have been eliminated on the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Use of Estimates</w:t>
      </w:r>
    </w:p>
    <w:p>
      <w:pPr>
        <w:spacing w:after="0" w:line="21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w:t>
      </w:r>
    </w:p>
    <w:p>
      <w:pPr>
        <w:spacing w:after="0" w:line="196" w:lineRule="exact"/>
        <w:rPr>
          <w:sz w:val="20"/>
          <w:szCs w:val="20"/>
          <w:color w:val="auto"/>
        </w:rPr>
      </w:pPr>
    </w:p>
    <w:p>
      <w:pPr>
        <w:ind w:left="720" w:right="60" w:hanging="366"/>
        <w:spacing w:after="0" w:line="22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projections we make regarding the recoverability and impairment of our assets (including goodwill and intangibles);</w:t>
      </w:r>
    </w:p>
    <w:p>
      <w:pPr>
        <w:ind w:left="720" w:hanging="366"/>
        <w:spacing w:after="0" w:line="22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recoverability of our deferred tax asset;</w:t>
      </w:r>
    </w:p>
    <w:p>
      <w:pPr>
        <w:ind w:left="720" w:right="40" w:hanging="366"/>
        <w:spacing w:after="0" w:line="22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estimation of our Incremental Borrowing Rate (“IBR”) as relates to the valuation of our right-of-use assets and lease liabilities;</w:t>
      </w:r>
    </w:p>
    <w:p>
      <w:pPr>
        <w:ind w:left="720" w:hanging="366"/>
        <w:spacing w:after="0" w:line="22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valuations of our derivative instruments, and;</w:t>
      </w:r>
    </w:p>
    <w:p>
      <w:pPr>
        <w:ind w:left="720" w:right="80" w:hanging="366"/>
        <w:spacing w:after="0" w:line="227"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estimation of gift card and gift certificate breakage where we have concluded that the likelihood of redemption is remote.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Revenue Recognition</w:t>
      </w:r>
    </w:p>
    <w:p>
      <w:pPr>
        <w:spacing w:after="0" w:line="202" w:lineRule="exact"/>
        <w:rPr>
          <w:sz w:val="20"/>
          <w:szCs w:val="20"/>
          <w:color w:val="auto"/>
        </w:rPr>
      </w:pPr>
    </w:p>
    <w:p>
      <w:pPr>
        <w:ind w:left="720" w:hanging="366"/>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Cinema Exhibition Segment (all net of related taxes):</w:t>
      </w:r>
    </w:p>
    <w:p>
      <w:pPr>
        <w:spacing w:after="0" w:line="96" w:lineRule="exact"/>
        <w:rPr>
          <w:sz w:val="20"/>
          <w:szCs w:val="20"/>
          <w:color w:val="auto"/>
        </w:rPr>
      </w:pPr>
    </w:p>
    <w:p>
      <w:pPr>
        <w:ind w:left="720" w:hanging="366"/>
        <w:spacing w:after="0"/>
        <w:tabs>
          <w:tab w:leader="none" w:pos="720" w:val="left"/>
        </w:tabs>
        <w:numPr>
          <w:ilvl w:val="0"/>
          <w:numId w:val="44"/>
        </w:numPr>
        <w:rPr>
          <w:rFonts w:ascii="Wingdings" w:cs="Wingdings" w:eastAsia="Wingdings" w:hAnsi="Wingdings"/>
          <w:sz w:val="14"/>
          <w:szCs w:val="14"/>
          <w:color w:val="auto"/>
        </w:rPr>
      </w:pPr>
      <w:r>
        <w:rPr>
          <w:rFonts w:ascii="Arial" w:cs="Arial" w:eastAsia="Arial" w:hAnsi="Arial"/>
          <w:sz w:val="18"/>
          <w:szCs w:val="18"/>
          <w:i w:val="1"/>
          <w:iCs w:val="1"/>
          <w:u w:val="single" w:color="auto"/>
          <w:color w:val="auto"/>
        </w:rPr>
        <w:t>Sales of Cinema tickets (excluding bulk and advanced ticket sales) and food and beverage (“F&amp;B”) sales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p>
    <w:p>
      <w:pPr>
        <w:spacing w:after="0" w:line="38" w:lineRule="exact"/>
        <w:rPr>
          <w:rFonts w:ascii="Wingdings" w:cs="Wingdings" w:eastAsia="Wingdings" w:hAnsi="Wingdings"/>
          <w:sz w:val="14"/>
          <w:szCs w:val="14"/>
          <w:color w:val="auto"/>
        </w:rPr>
      </w:pPr>
    </w:p>
    <w:p>
      <w:pPr>
        <w:ind w:left="720" w:right="6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recognized when sold and collected, either in cash or credit card at our theatre locations and through our online selling channels;</w:t>
      </w:r>
    </w:p>
    <w:p>
      <w:pPr>
        <w:spacing w:after="0" w:line="117" w:lineRule="exact"/>
        <w:rPr>
          <w:rFonts w:ascii="Wingdings" w:cs="Wingdings" w:eastAsia="Wingdings" w:hAnsi="Wingdings"/>
          <w:sz w:val="14"/>
          <w:szCs w:val="14"/>
          <w:color w:val="auto"/>
        </w:rPr>
      </w:pPr>
    </w:p>
    <w:p>
      <w:pPr>
        <w:ind w:left="720" w:right="40" w:hanging="366"/>
        <w:spacing w:after="0" w:line="245" w:lineRule="auto"/>
        <w:tabs>
          <w:tab w:leader="none" w:pos="720" w:val="left"/>
        </w:tabs>
        <w:numPr>
          <w:ilvl w:val="0"/>
          <w:numId w:val="44"/>
        </w:numPr>
        <w:rPr>
          <w:rFonts w:ascii="Wingdings" w:cs="Wingdings" w:eastAsia="Wingdings" w:hAnsi="Wingdings"/>
          <w:sz w:val="16"/>
          <w:szCs w:val="16"/>
          <w:color w:val="auto"/>
        </w:rPr>
      </w:pPr>
      <w:r>
        <w:rPr>
          <w:rFonts w:ascii="Arial" w:cs="Arial" w:eastAsia="Arial" w:hAnsi="Arial"/>
          <w:sz w:val="20"/>
          <w:szCs w:val="20"/>
          <w:i w:val="1"/>
          <w:iCs w:val="1"/>
          <w:u w:val="single" w:color="auto"/>
          <w:color w:val="auto"/>
        </w:rPr>
        <w:t>Sales of Bulk and Advanced Cinema Ticket Sales</w:t>
      </w:r>
      <w:r>
        <w:rPr>
          <w:rFonts w:ascii="Arial" w:cs="Arial" w:eastAsia="Arial" w:hAnsi="Arial"/>
          <w:sz w:val="20"/>
          <w:szCs w:val="20"/>
          <w:i w:val="1"/>
          <w:iCs w:val="1"/>
          <w:color w:val="auto"/>
        </w:rPr>
        <w:t xml:space="preserve"> </w:t>
      </w:r>
      <w:r>
        <w:rPr>
          <w:rFonts w:ascii="Arial" w:cs="Arial" w:eastAsia="Arial" w:hAnsi="Arial"/>
          <w:sz w:val="20"/>
          <w:szCs w:val="20"/>
          <w:color w:val="auto"/>
        </w:rPr>
        <w:t>– deferred and recognized as revenue when the promised</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or movie that the ticket has been purchased for is shown;</w:t>
      </w:r>
    </w:p>
    <w:p>
      <w:pPr>
        <w:spacing w:after="0" w:line="111" w:lineRule="exact"/>
        <w:rPr>
          <w:rFonts w:ascii="Wingdings" w:cs="Wingdings" w:eastAsia="Wingdings" w:hAnsi="Wingdings"/>
          <w:sz w:val="16"/>
          <w:szCs w:val="16"/>
          <w:color w:val="auto"/>
        </w:rPr>
      </w:pPr>
    </w:p>
    <w:p>
      <w:pPr>
        <w:ind w:left="720" w:right="40" w:hanging="366"/>
        <w:spacing w:after="0" w:line="245" w:lineRule="auto"/>
        <w:tabs>
          <w:tab w:leader="none" w:pos="720" w:val="left"/>
        </w:tabs>
        <w:numPr>
          <w:ilvl w:val="0"/>
          <w:numId w:val="44"/>
        </w:numPr>
        <w:rPr>
          <w:rFonts w:ascii="Wingdings" w:cs="Wingdings" w:eastAsia="Wingdings" w:hAnsi="Wingdings"/>
          <w:sz w:val="16"/>
          <w:szCs w:val="16"/>
          <w:color w:val="auto"/>
        </w:rPr>
      </w:pPr>
      <w:r>
        <w:rPr>
          <w:rFonts w:ascii="Arial" w:cs="Arial" w:eastAsia="Arial" w:hAnsi="Arial"/>
          <w:sz w:val="20"/>
          <w:szCs w:val="20"/>
          <w:i w:val="1"/>
          <w:iCs w:val="1"/>
          <w:u w:val="single" w:color="auto"/>
          <w:color w:val="auto"/>
        </w:rPr>
        <w:t>Gift Cards and Gift Certificate Sales</w:t>
      </w:r>
      <w:r>
        <w:rPr>
          <w:rFonts w:ascii="Arial" w:cs="Arial" w:eastAsia="Arial" w:hAnsi="Arial"/>
          <w:sz w:val="20"/>
          <w:szCs w:val="20"/>
          <w:i w:val="1"/>
          <w:iCs w:val="1"/>
          <w:color w:val="auto"/>
        </w:rPr>
        <w:t xml:space="preserve"> </w:t>
      </w:r>
      <w:r>
        <w:rPr>
          <w:rFonts w:ascii="Arial" w:cs="Arial" w:eastAsia="Arial" w:hAnsi="Arial"/>
          <w:sz w:val="20"/>
          <w:szCs w:val="20"/>
          <w:color w:val="auto"/>
        </w:rPr>
        <w:t>– deferred and recognized as revenue when redeemed, except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breakage portion, as described below;</w:t>
      </w:r>
    </w:p>
    <w:p>
      <w:pPr>
        <w:spacing w:after="0" w:line="111" w:lineRule="exact"/>
        <w:rPr>
          <w:rFonts w:ascii="Wingdings" w:cs="Wingdings" w:eastAsia="Wingdings" w:hAnsi="Wingdings"/>
          <w:sz w:val="16"/>
          <w:szCs w:val="16"/>
          <w:color w:val="auto"/>
        </w:rPr>
      </w:pPr>
    </w:p>
    <w:p>
      <w:pPr>
        <w:ind w:left="720" w:hanging="366"/>
        <w:spacing w:after="0"/>
        <w:tabs>
          <w:tab w:leader="none" w:pos="720" w:val="left"/>
        </w:tabs>
        <w:numPr>
          <w:ilvl w:val="0"/>
          <w:numId w:val="44"/>
        </w:numPr>
        <w:rPr>
          <w:rFonts w:ascii="Wingdings" w:cs="Wingdings" w:eastAsia="Wingdings" w:hAnsi="Wingdings"/>
          <w:sz w:val="15"/>
          <w:szCs w:val="15"/>
          <w:color w:val="auto"/>
        </w:rPr>
      </w:pPr>
      <w:r>
        <w:rPr>
          <w:rFonts w:ascii="Arial" w:cs="Arial" w:eastAsia="Arial" w:hAnsi="Arial"/>
          <w:sz w:val="19"/>
          <w:szCs w:val="19"/>
          <w:i w:val="1"/>
          <w:iCs w:val="1"/>
          <w:u w:val="single" w:color="auto"/>
          <w:color w:val="auto"/>
        </w:rPr>
        <w:t>Breakage Income</w:t>
      </w:r>
      <w:r>
        <w:rPr>
          <w:rFonts w:ascii="Arial" w:cs="Arial" w:eastAsia="Arial" w:hAnsi="Arial"/>
          <w:sz w:val="19"/>
          <w:szCs w:val="19"/>
          <w:i w:val="1"/>
          <w:iCs w:val="1"/>
          <w:color w:val="auto"/>
        </w:rPr>
        <w:t xml:space="preserve"> </w:t>
      </w:r>
      <w:r>
        <w:rPr>
          <w:rFonts w:ascii="Arial" w:cs="Arial" w:eastAsia="Arial" w:hAnsi="Arial"/>
          <w:sz w:val="19"/>
          <w:szCs w:val="19"/>
          <w:color w:val="auto"/>
        </w:rPr>
        <w:t>– recognized for unredeemed cards and certificates using the proportional method,</w:t>
      </w:r>
    </w:p>
    <w:p>
      <w:pPr>
        <w:spacing w:after="0" w:line="26" w:lineRule="exact"/>
        <w:rPr>
          <w:rFonts w:ascii="Wingdings" w:cs="Wingdings" w:eastAsia="Wingdings" w:hAnsi="Wingdings"/>
          <w:sz w:val="15"/>
          <w:szCs w:val="15"/>
          <w:color w:val="auto"/>
        </w:rPr>
      </w:pPr>
    </w:p>
    <w:p>
      <w:pPr>
        <w:jc w:val="both"/>
        <w:ind w:left="720"/>
        <w:spacing w:after="0" w:line="242" w:lineRule="auto"/>
        <w:rPr>
          <w:rFonts w:ascii="Wingdings" w:cs="Wingdings" w:eastAsia="Wingdings" w:hAnsi="Wingdings"/>
          <w:sz w:val="15"/>
          <w:szCs w:val="15"/>
          <w:color w:val="auto"/>
        </w:rPr>
      </w:pPr>
      <w:r>
        <w:rPr>
          <w:rFonts w:ascii="Arial" w:cs="Arial" w:eastAsia="Arial" w:hAnsi="Arial"/>
          <w:sz w:val="20"/>
          <w:szCs w:val="20"/>
          <w:color w:val="auto"/>
        </w:rPr>
        <w:t>whereby breakage revenue is 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w:t>
      </w:r>
    </w:p>
    <w:p>
      <w:pPr>
        <w:spacing w:after="0" w:line="115" w:lineRule="exact"/>
        <w:rPr>
          <w:rFonts w:ascii="Wingdings" w:cs="Wingdings" w:eastAsia="Wingdings" w:hAnsi="Wingdings"/>
          <w:sz w:val="15"/>
          <w:szCs w:val="15"/>
          <w:color w:val="auto"/>
        </w:rPr>
      </w:pPr>
    </w:p>
    <w:p>
      <w:pPr>
        <w:ind w:left="720" w:hanging="366"/>
        <w:spacing w:after="0"/>
        <w:tabs>
          <w:tab w:leader="none" w:pos="720" w:val="left"/>
        </w:tabs>
        <w:numPr>
          <w:ilvl w:val="0"/>
          <w:numId w:val="44"/>
        </w:numPr>
        <w:rPr>
          <w:rFonts w:ascii="Wingdings" w:cs="Wingdings" w:eastAsia="Wingdings" w:hAnsi="Wingdings"/>
          <w:sz w:val="14"/>
          <w:szCs w:val="14"/>
          <w:color w:val="auto"/>
        </w:rPr>
      </w:pPr>
      <w:r>
        <w:rPr>
          <w:rFonts w:ascii="Arial" w:cs="Arial" w:eastAsia="Arial" w:hAnsi="Arial"/>
          <w:sz w:val="18"/>
          <w:szCs w:val="18"/>
          <w:i w:val="1"/>
          <w:iCs w:val="1"/>
          <w:u w:val="single" w:color="auto"/>
          <w:color w:val="auto"/>
        </w:rPr>
        <w:t>Loyalty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a component of revenue from members of our loyalty programs relating to the earning of</w:t>
      </w:r>
    </w:p>
    <w:p>
      <w:pPr>
        <w:spacing w:after="0" w:line="38" w:lineRule="exact"/>
        <w:rPr>
          <w:rFonts w:ascii="Wingdings" w:cs="Wingdings" w:eastAsia="Wingdings" w:hAnsi="Wingdings"/>
          <w:sz w:val="14"/>
          <w:szCs w:val="14"/>
          <w:color w:val="auto"/>
        </w:rPr>
      </w:pPr>
    </w:p>
    <w:p>
      <w:pPr>
        <w:jc w:val="both"/>
        <w:ind w:left="720" w:right="40"/>
        <w:spacing w:after="0" w:line="242" w:lineRule="auto"/>
        <w:rPr>
          <w:rFonts w:ascii="Wingdings" w:cs="Wingdings" w:eastAsia="Wingdings" w:hAnsi="Wingdings"/>
          <w:sz w:val="14"/>
          <w:szCs w:val="14"/>
          <w:color w:val="auto"/>
        </w:rPr>
      </w:pPr>
      <w:r>
        <w:rPr>
          <w:rFonts w:ascii="Arial" w:cs="Arial" w:eastAsia="Arial" w:hAnsi="Arial"/>
          <w:sz w:val="20"/>
          <w:szCs w:val="20"/>
          <w:color w:val="auto"/>
        </w:rPr>
        <w:t>loyalty rewards is deferred until such a time as members redeem rewards, or until we believe the likelihood of redemption by the member is remote. Deferral is based on the estimated fair value of a loyalty point, the number of member points accumulated, and the likelihood of redemption as determined by historical redemption data, and;</w:t>
      </w:r>
    </w:p>
    <w:p>
      <w:pPr>
        <w:spacing w:after="0" w:line="115" w:lineRule="exact"/>
        <w:rPr>
          <w:rFonts w:ascii="Wingdings" w:cs="Wingdings" w:eastAsia="Wingdings" w:hAnsi="Wingdings"/>
          <w:sz w:val="14"/>
          <w:szCs w:val="14"/>
          <w:color w:val="auto"/>
        </w:rPr>
      </w:pPr>
    </w:p>
    <w:p>
      <w:pPr>
        <w:ind w:left="720" w:right="40" w:hanging="366"/>
        <w:spacing w:after="0" w:line="245" w:lineRule="auto"/>
        <w:tabs>
          <w:tab w:leader="none" w:pos="720" w:val="left"/>
        </w:tabs>
        <w:numPr>
          <w:ilvl w:val="0"/>
          <w:numId w:val="44"/>
        </w:numPr>
        <w:rPr>
          <w:rFonts w:ascii="Wingdings" w:cs="Wingdings" w:eastAsia="Wingdings" w:hAnsi="Wingdings"/>
          <w:sz w:val="16"/>
          <w:szCs w:val="16"/>
          <w:color w:val="auto"/>
        </w:rPr>
      </w:pPr>
      <w:r>
        <w:rPr>
          <w:rFonts w:ascii="Arial" w:cs="Arial" w:eastAsia="Arial" w:hAnsi="Arial"/>
          <w:sz w:val="20"/>
          <w:szCs w:val="20"/>
          <w:i w:val="1"/>
          <w:iCs w:val="1"/>
          <w:u w:val="single" w:color="auto"/>
          <w:color w:val="auto"/>
        </w:rPr>
        <w:t>Advertising Revenues</w:t>
      </w:r>
      <w:r>
        <w:rPr>
          <w:rFonts w:ascii="Arial" w:cs="Arial" w:eastAsia="Arial" w:hAnsi="Arial"/>
          <w:sz w:val="20"/>
          <w:szCs w:val="20"/>
          <w:i w:val="1"/>
          <w:iCs w:val="1"/>
          <w:color w:val="auto"/>
        </w:rPr>
        <w:t xml:space="preserve"> </w:t>
      </w:r>
      <w:r>
        <w:rPr>
          <w:rFonts w:ascii="Arial" w:cs="Arial" w:eastAsia="Arial" w:hAnsi="Arial"/>
          <w:sz w:val="20"/>
          <w:szCs w:val="20"/>
          <w:color w:val="auto"/>
        </w:rPr>
        <w:t>– recognized based on contractual arrangements or relevant admissions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as appropriate, when the related performance obligation is satisfied.</w:t>
      </w:r>
    </w:p>
    <w:p>
      <w:pPr>
        <w:spacing w:after="0" w:line="218" w:lineRule="exact"/>
        <w:rPr>
          <w:sz w:val="20"/>
          <w:szCs w:val="20"/>
          <w:color w:val="auto"/>
        </w:rPr>
      </w:pPr>
    </w:p>
    <w:p>
      <w:pPr>
        <w:ind w:left="720" w:hanging="366"/>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Real Estate Segment:</w:t>
      </w:r>
    </w:p>
    <w:p>
      <w:pPr>
        <w:spacing w:after="0" w:line="96" w:lineRule="exact"/>
        <w:rPr>
          <w:sz w:val="20"/>
          <w:szCs w:val="20"/>
          <w:color w:val="auto"/>
        </w:rPr>
      </w:pPr>
    </w:p>
    <w:p>
      <w:pPr>
        <w:ind w:left="720" w:hanging="366"/>
        <w:spacing w:after="0"/>
        <w:tabs>
          <w:tab w:leader="none" w:pos="720" w:val="left"/>
        </w:tabs>
        <w:numPr>
          <w:ilvl w:val="0"/>
          <w:numId w:val="46"/>
        </w:numPr>
        <w:rPr>
          <w:rFonts w:ascii="Wingdings" w:cs="Wingdings" w:eastAsia="Wingdings" w:hAnsi="Wingdings"/>
          <w:sz w:val="14"/>
          <w:szCs w:val="14"/>
          <w:color w:val="auto"/>
        </w:rPr>
      </w:pPr>
      <w:r>
        <w:rPr>
          <w:rFonts w:ascii="Arial" w:cs="Arial" w:eastAsia="Arial" w:hAnsi="Arial"/>
          <w:sz w:val="18"/>
          <w:szCs w:val="18"/>
          <w:i w:val="1"/>
          <w:iCs w:val="1"/>
          <w:u w:val="single" w:color="auto"/>
          <w:color w:val="auto"/>
        </w:rPr>
        <w:t>Property Rentals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contractually retain substantially all of the risks and benefits of ownership of our real</w:t>
      </w:r>
    </w:p>
    <w:p>
      <w:pPr>
        <w:spacing w:after="0" w:line="38" w:lineRule="exact"/>
        <w:rPr>
          <w:rFonts w:ascii="Wingdings" w:cs="Wingdings" w:eastAsia="Wingdings" w:hAnsi="Wingdings"/>
          <w:sz w:val="14"/>
          <w:szCs w:val="14"/>
          <w:color w:val="auto"/>
        </w:rPr>
      </w:pPr>
    </w:p>
    <w:p>
      <w:pPr>
        <w:ind w:left="720" w:right="40"/>
        <w:spacing w:after="0" w:line="237" w:lineRule="auto"/>
        <w:rPr>
          <w:rFonts w:ascii="Wingdings" w:cs="Wingdings" w:eastAsia="Wingdings" w:hAnsi="Wingdings"/>
          <w:sz w:val="14"/>
          <w:szCs w:val="14"/>
          <w:color w:val="auto"/>
        </w:rPr>
      </w:pPr>
      <w:r>
        <w:rPr>
          <w:rFonts w:ascii="Arial" w:cs="Arial" w:eastAsia="Arial" w:hAnsi="Arial"/>
          <w:sz w:val="20"/>
          <w:szCs w:val="20"/>
          <w:color w:val="auto"/>
        </w:rPr>
        <w:t>estate properties and therefore, we account for our tenant leases as operating leases. Accordingly, rental revenue is recognized on a straight-line basis over the lease term; and,</w:t>
      </w:r>
    </w:p>
    <w:p>
      <w:pPr>
        <w:spacing w:after="0" w:line="117" w:lineRule="exact"/>
        <w:rPr>
          <w:rFonts w:ascii="Wingdings" w:cs="Wingdings" w:eastAsia="Wingdings" w:hAnsi="Wingdings"/>
          <w:sz w:val="14"/>
          <w:szCs w:val="14"/>
          <w:color w:val="auto"/>
        </w:rPr>
      </w:pPr>
    </w:p>
    <w:p>
      <w:pPr>
        <w:ind w:left="720" w:hanging="366"/>
        <w:spacing w:after="0"/>
        <w:tabs>
          <w:tab w:leader="none" w:pos="720" w:val="left"/>
        </w:tabs>
        <w:numPr>
          <w:ilvl w:val="0"/>
          <w:numId w:val="46"/>
        </w:numPr>
        <w:rPr>
          <w:rFonts w:ascii="Wingdings" w:cs="Wingdings" w:eastAsia="Wingdings" w:hAnsi="Wingdings"/>
          <w:sz w:val="14"/>
          <w:szCs w:val="14"/>
          <w:color w:val="auto"/>
        </w:rPr>
      </w:pPr>
      <w:r>
        <w:rPr>
          <w:rFonts w:ascii="Arial" w:cs="Arial" w:eastAsia="Arial" w:hAnsi="Arial"/>
          <w:sz w:val="18"/>
          <w:szCs w:val="18"/>
          <w:i w:val="1"/>
          <w:iCs w:val="1"/>
          <w:u w:val="single" w:color="auto"/>
          <w:color w:val="auto"/>
        </w:rPr>
        <w:t>Live Theatre License Fees</w:t>
      </w:r>
      <w:r>
        <w:rPr>
          <w:rFonts w:ascii="Arial" w:cs="Arial" w:eastAsia="Arial" w:hAnsi="Arial"/>
          <w:sz w:val="18"/>
          <w:szCs w:val="18"/>
          <w:i w:val="1"/>
          <w:iCs w:val="1"/>
          <w:color w:val="auto"/>
        </w:rPr>
        <w:t xml:space="preserve"> </w:t>
      </w:r>
      <w:r>
        <w:rPr>
          <w:rFonts w:ascii="Arial" w:cs="Arial" w:eastAsia="Arial" w:hAnsi="Arial"/>
          <w:sz w:val="18"/>
          <w:szCs w:val="18"/>
          <w:color w:val="auto"/>
        </w:rPr>
        <w:t>– we have real property interest in, and license theatre space to third parties for,</w:t>
      </w:r>
    </w:p>
    <w:p>
      <w:pPr>
        <w:spacing w:after="0" w:line="38" w:lineRule="exact"/>
        <w:rPr>
          <w:rFonts w:ascii="Wingdings" w:cs="Wingdings" w:eastAsia="Wingdings" w:hAnsi="Wingdings"/>
          <w:sz w:val="14"/>
          <w:szCs w:val="14"/>
          <w:color w:val="auto"/>
        </w:rPr>
      </w:pPr>
    </w:p>
    <w:p>
      <w:pPr>
        <w:ind w:left="720" w:right="40"/>
        <w:spacing w:after="0" w:line="260" w:lineRule="auto"/>
        <w:rPr>
          <w:rFonts w:ascii="Wingdings" w:cs="Wingdings" w:eastAsia="Wingdings" w:hAnsi="Wingdings"/>
          <w:sz w:val="14"/>
          <w:szCs w:val="14"/>
          <w:color w:val="auto"/>
        </w:rPr>
      </w:pPr>
      <w:r>
        <w:rPr>
          <w:rFonts w:ascii="Arial" w:cs="Arial" w:eastAsia="Arial" w:hAnsi="Arial"/>
          <w:sz w:val="19"/>
          <w:szCs w:val="19"/>
          <w:color w:val="auto"/>
        </w:rPr>
        <w:t>the presentation of theatrical productions. Revenue is recognized in accordance with the license agreement and is typically recorded on a weekly basis after the performance of a show has occurred.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Cash and Cash Equivalents</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consider all highly liquid investments with original maturities of three months or less at the time of purchase as cash equivalents for which cost approximates fair value. We maintain cash in certain financial institution bank accounts in the United States, Australia, and New Zealand. In the United States, the Federal Deposit Insurance Corporation insures accounts in the amount of $250,000 per depositor, per insured bank, for each account ownership category. At certain of our financial institutions, we have more than $250,000 in deposit and those amounts may not be insured in the event of a bank failure.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Receivables</w:t>
      </w:r>
    </w:p>
    <w:p>
      <w:pPr>
        <w:sectPr>
          <w:pgSz w:w="11900" w:h="16838" w:orient="portrait"/>
          <w:cols w:equalWidth="0" w:num="1">
            <w:col w:w="9380"/>
          </w:cols>
          <w:pgMar w:left="1260" w:top="13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19</w:t>
      </w:r>
    </w:p>
    <w:p>
      <w:pPr>
        <w:sectPr>
          <w:pgSz w:w="11900" w:h="16838" w:orient="portrait"/>
          <w:cols w:equalWidth="0" w:num="1">
            <w:col w:w="9380"/>
          </w:cols>
          <w:pgMar w:left="1260" w:top="1337" w:right="1266" w:bottom="0" w:gutter="0" w:footer="0" w:header="0"/>
          <w:type w:val="continuous"/>
        </w:sectPr>
      </w:pPr>
    </w:p>
    <w:bookmarkStart w:id="98" w:name="page99"/>
    <w:bookmarkEnd w:id="98"/>
    <w:p>
      <w:pPr>
        <w:jc w:val="both"/>
        <w:spacing w:after="0" w:line="237" w:lineRule="auto"/>
        <w:rPr>
          <w:sz w:val="20"/>
          <w:szCs w:val="20"/>
          <w:color w:val="auto"/>
        </w:rPr>
      </w:pPr>
      <w:r>
        <w:rPr>
          <w:rFonts w:ascii="Arial" w:cs="Arial" w:eastAsia="Arial" w:hAnsi="Arial"/>
          <w:sz w:val="19"/>
          <w:szCs w:val="19"/>
          <w:color w:val="auto"/>
        </w:rPr>
        <w:t>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net Goods and Service Tax (“GST”) receivable from our Australian and New Zealand taxing authorities, rents receivable from our third-party tenants, and the management fee receivable from the managed cinemas. We have no history of significant bad debt losses but we have established an allowance for accounts that we deem uncollectible.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19</w:t>
      </w:r>
    </w:p>
    <w:p>
      <w:pPr>
        <w:sectPr>
          <w:pgSz w:w="11900" w:h="16838" w:orient="portrait"/>
          <w:cols w:equalWidth="0" w:num="1">
            <w:col w:w="9380"/>
          </w:cols>
          <w:pgMar w:left="1260" w:top="1131" w:right="1266"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i w:val="1"/>
          <w:iCs w:val="1"/>
          <w:u w:val="single" w:color="auto"/>
          <w:color w:val="auto"/>
        </w:rPr>
        <w:t>Inventory</w:t>
      </w:r>
    </w:p>
    <w:p>
      <w:pPr>
        <w:spacing w:after="0" w:line="21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Inventory is composed of food and beverage items in our theater operations and books and associated stationery items at our State Cinema bookstore, and is stated at the lower of cost (first-in, first-out method) or net realizable value.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Restricted Cash</w:t>
      </w:r>
    </w:p>
    <w:p>
      <w:pPr>
        <w:spacing w:after="0" w:line="212" w:lineRule="exact"/>
        <w:rPr>
          <w:sz w:val="20"/>
          <w:szCs w:val="20"/>
          <w:color w:val="auto"/>
        </w:rPr>
      </w:pPr>
    </w:p>
    <w:p>
      <w:pPr>
        <w:jc w:val="both"/>
        <w:ind w:right="100"/>
        <w:spacing w:after="0" w:line="226" w:lineRule="auto"/>
        <w:rPr>
          <w:sz w:val="20"/>
          <w:szCs w:val="20"/>
          <w:color w:val="auto"/>
        </w:rPr>
      </w:pPr>
      <w:r>
        <w:rPr>
          <w:rFonts w:ascii="Arial" w:cs="Arial" w:eastAsia="Arial" w:hAnsi="Arial"/>
          <w:sz w:val="20"/>
          <w:szCs w:val="20"/>
          <w:color w:val="auto"/>
        </w:rPr>
        <w:t>Restricted cash includes those cash accounts for which the use of funds is restricted by any contract or bank covenant. At December 31, 2025 and 2024, our restricted cash balance was $2.3 million and $2.7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Derivative Financial Instruments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purchase interest rate derivative instruments to hedge the interest rate risk that results from the variability of certain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2025 we had derivative positions designated as accounting hedges of ($56,000). As of December 31, 2024, we had derivative positions designated as accounting hedges of ($137,000).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Operating Properties, net</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Our Operating Properties consist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Depreciation and amortization are provided using the straight-line method over the estimated useful lives of the assets. The estimated useful lives are generally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Building and improvements</w:t>
            </w:r>
          </w:p>
        </w:tc>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 – 60 years</w:t>
            </w:r>
          </w:p>
        </w:tc>
      </w:tr>
      <w:tr>
        <w:trPr>
          <w:trHeight w:val="173"/>
        </w:trPr>
        <w:tc>
          <w:tcPr>
            <w:tcW w:w="3240" w:type="dxa"/>
            <w:vAlign w:val="bottom"/>
          </w:tcPr>
          <w:p>
            <w:pPr>
              <w:spacing w:after="0" w:line="173" w:lineRule="exact"/>
              <w:rPr>
                <w:sz w:val="20"/>
                <w:szCs w:val="20"/>
                <w:color w:val="auto"/>
              </w:rPr>
            </w:pPr>
            <w:r>
              <w:rPr>
                <w:rFonts w:ascii="Arial" w:cs="Arial" w:eastAsia="Arial" w:hAnsi="Arial"/>
                <w:sz w:val="16"/>
                <w:szCs w:val="16"/>
                <w:color w:val="auto"/>
              </w:rPr>
              <w:t>Leasehold improvements</w:t>
            </w:r>
          </w:p>
        </w:tc>
        <w:tc>
          <w:tcPr>
            <w:tcW w:w="6160" w:type="dxa"/>
            <w:vAlign w:val="bottom"/>
          </w:tcPr>
          <w:p>
            <w:pPr>
              <w:ind w:left="20"/>
              <w:spacing w:after="0" w:line="173" w:lineRule="exact"/>
              <w:rPr>
                <w:sz w:val="20"/>
                <w:szCs w:val="20"/>
                <w:color w:val="auto"/>
              </w:rPr>
            </w:pPr>
            <w:r>
              <w:rPr>
                <w:rFonts w:ascii="Arial" w:cs="Arial" w:eastAsia="Arial" w:hAnsi="Arial"/>
                <w:sz w:val="16"/>
                <w:szCs w:val="16"/>
                <w:color w:val="auto"/>
              </w:rPr>
              <w:t>Shorter of the lease term or useful life of the improvement</w:t>
            </w:r>
          </w:p>
        </w:tc>
      </w:tr>
      <w:tr>
        <w:trPr>
          <w:trHeight w:val="173"/>
        </w:trPr>
        <w:tc>
          <w:tcPr>
            <w:tcW w:w="32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Theater equipment</w:t>
            </w:r>
          </w:p>
        </w:tc>
        <w:tc>
          <w:tcPr>
            <w:tcW w:w="616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7 years</w:t>
            </w:r>
          </w:p>
        </w:tc>
      </w:tr>
      <w:tr>
        <w:trPr>
          <w:trHeight w:val="177"/>
        </w:trPr>
        <w:tc>
          <w:tcPr>
            <w:tcW w:w="3240" w:type="dxa"/>
            <w:vAlign w:val="bottom"/>
          </w:tcPr>
          <w:p>
            <w:pPr>
              <w:spacing w:after="0" w:line="177" w:lineRule="exact"/>
              <w:rPr>
                <w:sz w:val="20"/>
                <w:szCs w:val="20"/>
                <w:color w:val="auto"/>
              </w:rPr>
            </w:pPr>
            <w:r>
              <w:rPr>
                <w:rFonts w:ascii="Arial" w:cs="Arial" w:eastAsia="Arial" w:hAnsi="Arial"/>
                <w:sz w:val="16"/>
                <w:szCs w:val="16"/>
                <w:color w:val="auto"/>
              </w:rPr>
              <w:t>Furniture and fixtures</w:t>
            </w:r>
          </w:p>
        </w:tc>
        <w:tc>
          <w:tcPr>
            <w:tcW w:w="6160" w:type="dxa"/>
            <w:vAlign w:val="bottom"/>
          </w:tcPr>
          <w:p>
            <w:pPr>
              <w:ind w:left="20"/>
              <w:spacing w:after="0" w:line="177" w:lineRule="exact"/>
              <w:rPr>
                <w:sz w:val="20"/>
                <w:szCs w:val="20"/>
                <w:color w:val="auto"/>
              </w:rPr>
            </w:pPr>
            <w:r>
              <w:rPr>
                <w:rFonts w:ascii="Arial" w:cs="Arial" w:eastAsia="Arial" w:hAnsi="Arial"/>
                <w:sz w:val="16"/>
                <w:szCs w:val="16"/>
                <w:color w:val="auto"/>
              </w:rPr>
              <w:t>3 – 10 years</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Investment and Development Properties, net</w:t>
      </w:r>
    </w:p>
    <w:p>
      <w:pPr>
        <w:spacing w:after="0" w:line="212"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Investment and Development Properties consist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category are building and improvement costs directly associated with the development of potential cinemas, or other improvements to real property. In the case of investments in land and the redevelopment of existing improvements, where we have a confirmed capital project we capitalize cost associated with title work, land use matters, and design, engineering and architectural work.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Impairment of Long-Lived Assets</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We review long-lived assets, including goodwill and intangibles, for impairment as part of our annual budgeting process, as of December 31 of each financial year, and whenever events or changes in circumstances indicate that the carrying amount of the asset may not be fully recoverable.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19</w:t>
      </w:r>
    </w:p>
    <w:p>
      <w:pPr>
        <w:sectPr>
          <w:pgSz w:w="11900" w:h="16838" w:orient="portrait"/>
          <w:cols w:equalWidth="0" w:num="1">
            <w:col w:w="9400"/>
          </w:cols>
          <w:pgMar w:left="1260" w:top="1121" w:right="1246" w:bottom="0" w:gutter="0" w:footer="0" w:header="0"/>
          <w:type w:val="continuous"/>
        </w:sectPr>
      </w:pPr>
    </w:p>
    <w:bookmarkStart w:id="100" w:name="page101"/>
    <w:bookmarkEnd w:id="100"/>
    <w:p>
      <w:pPr>
        <w:ind w:right="40"/>
        <w:spacing w:after="0" w:line="227" w:lineRule="auto"/>
        <w:rPr>
          <w:sz w:val="20"/>
          <w:szCs w:val="20"/>
          <w:color w:val="auto"/>
        </w:rPr>
      </w:pPr>
      <w:r>
        <w:rPr>
          <w:rFonts w:ascii="Arial" w:cs="Arial" w:eastAsia="Arial" w:hAnsi="Arial"/>
          <w:sz w:val="20"/>
          <w:szCs w:val="20"/>
          <w:color w:val="auto"/>
        </w:rPr>
        <w:t>We review internal management reports on a monthly basis as well as monitor current competition in film markets for indications of potential impairment.</w:t>
      </w:r>
    </w:p>
    <w:p>
      <w:pPr>
        <w:spacing w:after="0" w:line="213" w:lineRule="exact"/>
        <w:rPr>
          <w:sz w:val="20"/>
          <w:szCs w:val="20"/>
          <w:color w:val="auto"/>
        </w:rPr>
      </w:pPr>
    </w:p>
    <w:p>
      <w:pPr>
        <w:ind w:left="720" w:right="40" w:hanging="366"/>
        <w:spacing w:after="0" w:line="237" w:lineRule="auto"/>
        <w:tabs>
          <w:tab w:leader="none" w:pos="720" w:val="left"/>
        </w:tabs>
        <w:numPr>
          <w:ilvl w:val="0"/>
          <w:numId w:val="4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Impairment of Long-lived Assets (other than Goodwill and Intangible Assets with indefinite lives) – </w:t>
      </w:r>
      <w:r>
        <w:rPr>
          <w:rFonts w:ascii="Arial" w:cs="Arial" w:eastAsia="Arial" w:hAnsi="Arial"/>
          <w:sz w:val="19"/>
          <w:szCs w:val="19"/>
          <w:color w:val="auto"/>
        </w:rPr>
        <w:t>we</w:t>
      </w:r>
      <w:r>
        <w:rPr>
          <w:rFonts w:ascii="Arial" w:cs="Arial" w:eastAsia="Arial" w:hAnsi="Arial"/>
          <w:sz w:val="19"/>
          <w:szCs w:val="19"/>
          <w:i w:val="1"/>
          <w:iCs w:val="1"/>
          <w:color w:val="auto"/>
        </w:rPr>
        <w:t xml:space="preserve"> </w:t>
      </w:r>
      <w:r>
        <w:rPr>
          <w:rFonts w:ascii="Arial" w:cs="Arial" w:eastAsia="Arial" w:hAnsi="Arial"/>
          <w:sz w:val="19"/>
          <w:szCs w:val="19"/>
          <w:color w:val="auto"/>
        </w:rPr>
        <w:t>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w:t>
      </w:r>
    </w:p>
    <w:p>
      <w:pPr>
        <w:spacing w:after="0" w:line="218" w:lineRule="exact"/>
        <w:rPr>
          <w:rFonts w:ascii="Arial" w:cs="Arial" w:eastAsia="Arial" w:hAnsi="Arial"/>
          <w:sz w:val="19"/>
          <w:szCs w:val="19"/>
          <w:i w:val="1"/>
          <w:iCs w:val="1"/>
          <w:color w:val="auto"/>
        </w:rPr>
      </w:pPr>
    </w:p>
    <w:p>
      <w:pPr>
        <w:ind w:left="720" w:right="60"/>
        <w:spacing w:after="0" w:line="227" w:lineRule="auto"/>
        <w:rPr>
          <w:rFonts w:ascii="Arial" w:cs="Arial" w:eastAsia="Arial" w:hAnsi="Arial"/>
          <w:sz w:val="19"/>
          <w:szCs w:val="19"/>
          <w:i w:val="1"/>
          <w:iCs w:val="1"/>
          <w:color w:val="auto"/>
        </w:rPr>
      </w:pPr>
      <w:r>
        <w:rPr>
          <w:rFonts w:ascii="Arial" w:cs="Arial" w:eastAsia="Arial" w:hAnsi="Arial"/>
          <w:sz w:val="20"/>
          <w:szCs w:val="20"/>
          <w:color w:val="auto"/>
        </w:rPr>
        <w:t>No impairment losses were recorded for long-lived and finite-lived intangible assets for the three years ended December 31, 2025, based on historical information and projected cash flow.</w:t>
      </w:r>
    </w:p>
    <w:p>
      <w:pPr>
        <w:spacing w:after="0" w:line="212" w:lineRule="exact"/>
        <w:rPr>
          <w:rFonts w:ascii="Arial" w:cs="Arial" w:eastAsia="Arial" w:hAnsi="Arial"/>
          <w:sz w:val="19"/>
          <w:szCs w:val="19"/>
          <w:i w:val="1"/>
          <w:iCs w:val="1"/>
          <w:color w:val="auto"/>
        </w:rPr>
      </w:pPr>
    </w:p>
    <w:p>
      <w:pPr>
        <w:jc w:val="both"/>
        <w:ind w:left="720" w:right="40" w:hanging="366"/>
        <w:spacing w:after="0" w:line="253" w:lineRule="auto"/>
        <w:tabs>
          <w:tab w:leader="none" w:pos="7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Impairment of Goodwill and Intangible Assets with indefinite lives – </w:t>
      </w:r>
      <w:r>
        <w:rPr>
          <w:rFonts w:ascii="Arial" w:cs="Arial" w:eastAsia="Arial" w:hAnsi="Arial"/>
          <w:sz w:val="18"/>
          <w:szCs w:val="18"/>
          <w:color w:val="auto"/>
        </w:rPr>
        <w:t>goodwill and intangible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 useful lives are not amortized, but instead, tested for impairment at 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201" w:lineRule="exact"/>
        <w:rPr>
          <w:sz w:val="20"/>
          <w:szCs w:val="20"/>
          <w:color w:val="auto"/>
        </w:rPr>
      </w:pPr>
    </w:p>
    <w:p>
      <w:pPr>
        <w:ind w:left="720" w:right="40"/>
        <w:spacing w:after="0" w:line="227" w:lineRule="auto"/>
        <w:rPr>
          <w:sz w:val="20"/>
          <w:szCs w:val="20"/>
          <w:color w:val="auto"/>
        </w:rPr>
      </w:pPr>
      <w:r>
        <w:rPr>
          <w:rFonts w:ascii="Arial" w:cs="Arial" w:eastAsia="Arial" w:hAnsi="Arial"/>
          <w:sz w:val="20"/>
          <w:szCs w:val="20"/>
          <w:color w:val="auto"/>
        </w:rPr>
        <w:t>No impairment losses were recorded for goodwill and indefinite-lived intangible assets for the three years ended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 detailed discussion of our impairment assessments, refer to </w:t>
      </w:r>
      <w:r>
        <w:rPr>
          <w:rFonts w:ascii="Arial" w:cs="Arial" w:eastAsia="Arial" w:hAnsi="Arial"/>
          <w:sz w:val="20"/>
          <w:szCs w:val="20"/>
          <w:i w:val="1"/>
          <w:iCs w:val="1"/>
          <w:color w:val="auto"/>
        </w:rPr>
        <w:t>Note 2 – Liquidity</w:t>
      </w:r>
      <w:r>
        <w:rPr>
          <w:rFonts w:ascii="Arial" w:cs="Arial" w:eastAsia="Arial" w:hAnsi="Arial"/>
          <w:sz w:val="20"/>
          <w:szCs w:val="20"/>
          <w:color w:val="auto"/>
        </w:rPr>
        <w:t>, above.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Variable Interest Entity</w:t>
      </w:r>
    </w:p>
    <w:p>
      <w:pPr>
        <w:spacing w:after="0" w:line="190"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On December 19, 2025, we acquired all of the general partnership interests in Sutton Hill Associates. Sutton Hill Associates is a VIE due to insufficient equity at risk and its reliance on financial support from the Company and the holder of debt owed to a third party, Nationwide Theaters Corp, of which we are the guarantor. As we now hold all of the partnership interests, and all voting rights, we consolidate Sutton Hill Associates and all of its subsidiaries in our financial statements as of December 19, 2025.</w:t>
      </w:r>
    </w:p>
    <w:p>
      <w:pPr>
        <w:spacing w:after="0" w:line="213"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Reading International Trust I is a VIE. It is not consolidated in our financial statements because we are not the primary beneficiary. We carry our investment in the Reading International Trust I, recorded under “</w:t>
      </w:r>
      <w:r>
        <w:rPr>
          <w:rFonts w:ascii="Arial" w:cs="Arial" w:eastAsia="Arial" w:hAnsi="Arial"/>
          <w:sz w:val="20"/>
          <w:szCs w:val="20"/>
          <w:i w:val="1"/>
          <w:iCs w:val="1"/>
          <w:color w:val="auto"/>
        </w:rPr>
        <w:t>Other Assets”</w:t>
      </w:r>
      <w:r>
        <w:rPr>
          <w:rFonts w:ascii="Arial" w:cs="Arial" w:eastAsia="Arial" w:hAnsi="Arial"/>
          <w:sz w:val="20"/>
          <w:szCs w:val="20"/>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Property Held for Sale</w:t>
      </w:r>
    </w:p>
    <w:p>
      <w:pPr>
        <w:spacing w:after="0" w:line="21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 disposal group may represent a single asset, or multiple assets where a group of assets will be disposed of together as a group in a single transaction. Refer to </w:t>
      </w:r>
      <w:r>
        <w:rPr>
          <w:rFonts w:ascii="Arial" w:cs="Arial" w:eastAsia="Arial" w:hAnsi="Arial"/>
          <w:sz w:val="18"/>
          <w:szCs w:val="18"/>
          <w:i w:val="1"/>
          <w:iCs w:val="1"/>
          <w:color w:val="auto"/>
        </w:rPr>
        <w:t>Note 6 – Real Estate Transactions</w:t>
      </w:r>
      <w:r>
        <w:rPr>
          <w:rFonts w:ascii="Arial" w:cs="Arial" w:eastAsia="Arial" w:hAnsi="Arial"/>
          <w:sz w:val="18"/>
          <w:szCs w:val="18"/>
          <w:color w:val="auto"/>
        </w:rPr>
        <w:t xml:space="preserve"> for details.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Deferred Leasing/Financing Costs</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using the effective interest method. Net deferred financing costs are presented as a reduction in the associated debt account (see </w:t>
      </w:r>
      <w:r>
        <w:rPr>
          <w:rFonts w:ascii="Arial" w:cs="Arial" w:eastAsia="Arial" w:hAnsi="Arial"/>
          <w:sz w:val="20"/>
          <w:szCs w:val="20"/>
          <w:i w:val="1"/>
          <w:iCs w:val="1"/>
          <w:color w:val="auto"/>
        </w:rPr>
        <w:t>Note 13 – Borrowings</w:t>
      </w:r>
      <w:r>
        <w:rPr>
          <w:rFonts w:ascii="Arial" w:cs="Arial" w:eastAsia="Arial" w:hAnsi="Arial"/>
          <w:sz w:val="20"/>
          <w:szCs w:val="20"/>
          <w:color w:val="auto"/>
        </w:rPr>
        <w:t>).</w:t>
      </w:r>
    </w:p>
    <w:p>
      <w:pPr>
        <w:sectPr>
          <w:pgSz w:w="11900" w:h="16838" w:orient="portrait"/>
          <w:cols w:equalWidth="0" w:num="1">
            <w:col w:w="9380"/>
          </w:cols>
          <w:pgMar w:left="1260" w:top="1347" w:right="126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19</w:t>
      </w:r>
    </w:p>
    <w:p>
      <w:pPr>
        <w:sectPr>
          <w:pgSz w:w="11900" w:h="16838" w:orient="portrait"/>
          <w:cols w:equalWidth="0" w:num="1">
            <w:col w:w="9380"/>
          </w:cols>
          <w:pgMar w:left="1260" w:top="1347" w:right="1266" w:bottom="0" w:gutter="0" w:footer="0" w:header="0"/>
          <w:type w:val="continuous"/>
        </w:sectPr>
      </w:pPr>
    </w:p>
    <w:bookmarkStart w:id="101" w:name="page102"/>
    <w:bookmarkEnd w:id="101"/>
    <w:p>
      <w:pPr>
        <w:jc w:val="center"/>
        <w:ind w:right="6"/>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19</w:t>
      </w:r>
    </w:p>
    <w:p>
      <w:pPr>
        <w:sectPr>
          <w:pgSz w:w="11900" w:h="16838" w:orient="portrait"/>
          <w:cols w:equalWidth="0" w:num="1">
            <w:col w:w="9026"/>
          </w:cols>
          <w:pgMar w:left="1440" w:top="1347" w:right="144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i w:val="1"/>
          <w:iCs w:val="1"/>
          <w:u w:val="single" w:color="auto"/>
          <w:color w:val="auto"/>
        </w:rPr>
        <w:t>Film Rental Costs</w:t>
      </w:r>
    </w:p>
    <w:p>
      <w:pPr>
        <w:spacing w:after="0" w:line="212"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Film rental costs are accrued based on the applicable box office receipts and estimates of the final settlement to the film licensors.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Advertising Expense</w:t>
      </w:r>
    </w:p>
    <w:p>
      <w:pPr>
        <w:spacing w:after="0" w:line="212" w:lineRule="exact"/>
        <w:rPr>
          <w:sz w:val="20"/>
          <w:szCs w:val="20"/>
          <w:color w:val="auto"/>
        </w:rPr>
      </w:pPr>
    </w:p>
    <w:p>
      <w:pPr>
        <w:jc w:val="both"/>
        <w:ind w:right="40"/>
        <w:spacing w:after="0" w:line="227" w:lineRule="auto"/>
        <w:rPr>
          <w:sz w:val="20"/>
          <w:szCs w:val="20"/>
          <w:color w:val="auto"/>
        </w:rPr>
      </w:pPr>
      <w:r>
        <w:rPr>
          <w:rFonts w:ascii="Arial" w:cs="Arial" w:eastAsia="Arial" w:hAnsi="Arial"/>
          <w:sz w:val="20"/>
          <w:szCs w:val="20"/>
          <w:color w:val="auto"/>
        </w:rPr>
        <w:t>We expense our advertising as incurred. The amount of our advertising expense was $1.4 million, $1.7 million, and $1.6 million in 2025, 2024, and 2023,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Operating Leases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 Lessee</w:t>
      </w:r>
    </w:p>
    <w:p>
      <w:pPr>
        <w:spacing w:after="0" w:line="21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determine if an arrangement is a lease at inception. 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Operating leases are included in operating lease right-of-use (“ROU”) assets and operating lease liabilities, current and non-current, in our consolidated balance sheets. Finance leases are included in operating properties, other current liabilities, and other long-term liabilities in our consolidated balance sheets.</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payments for our cinema operating leases consist of fixed base rent, and for certain leases, variable lease payments consisting of contracted percentages of revenue, changes in the relevant CPI, and/or other contracted financial metrics. Operating lease ROU assets and liabilities are recognized at commencement date based on the present value of lease payments over the lease term. As most of our leases do not provide an implicit rate, we use our country-specific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leases have remaining lease terms of 1 to</w:t>
      </w:r>
    </w:p>
    <w:p>
      <w:pPr>
        <w:spacing w:after="0" w:line="4"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20 years, with certain leases having options to extend to up to a further 45 years. We include in our ROU assets and lease liabilities those options to extend or not to terminate where it is reasonably certain that we will exercise those options. Lease expense for lease payments is recognized on a straight-line basis over the lease term.</w:t>
      </w:r>
    </w:p>
    <w:p>
      <w:pPr>
        <w:spacing w:after="0" w:line="196"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Subsequent amortization of the right of use asset and accretion of the lease liability for an operating lease is recognized as a single lease cost, on a straight-line basis, over the term of the lease. A finance lease right-of-use asset is depreciated on a straight-line basis over the lesser of the useful life of the leased asset or the lease term, and interest on each finance lease liability is determined as the amount that results in a constant periodic discount rate on the remaining balance of the liability.</w:t>
      </w:r>
    </w:p>
    <w:p>
      <w:pPr>
        <w:spacing w:after="0" w:line="213"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We have lease agreements with lease and non-lease components, which we do not separate. Non-components, for example property taxes and insurances, are accounted for on an accrual basis. For certain equipment leases, such as cinema equipment, we account for the lease and non-lease components as a single lease component.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 Lessor</w:t>
      </w:r>
    </w:p>
    <w:p>
      <w:pPr>
        <w:spacing w:after="0" w:line="212"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As part of our real estate operations, we own certain real estate property in the U.S., Australia and New Zealand which we lease to third parties. These leases vary in length between 1 and 20 years, with certain leases containing options to extend at the behest of the applicable tenants.</w:t>
      </w:r>
    </w:p>
    <w:p>
      <w:pPr>
        <w:spacing w:after="0" w:line="214"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Lease revenue is substantially fixed rent. Certain leases include variable lease payments consisting of contracted percentages of revenue, changes in the relevant CPI, and/or other contracted financial metrics. None of our leases grant any right to the tenant to purchase the underlying asset.</w:t>
      </w:r>
    </w:p>
    <w:p>
      <w:pPr>
        <w:spacing w:after="0" w:line="214"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recognize lease payments for operating leases as property revenue on a straight-line basis over the lease term. Lease incentive payments we make to lessees are amortized as a reduction in property revenue over the lease term. The lease term includes all non-cancellable periods contracted for within the lease and excludes any option periods which a tenant may hold.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Share-based Compensation</w:t>
      </w:r>
    </w:p>
    <w:p>
      <w:pPr>
        <w:sectPr>
          <w:pgSz w:w="11900" w:h="16838" w:orient="portrait"/>
          <w:cols w:equalWidth="0" w:num="1">
            <w:col w:w="9380"/>
          </w:cols>
          <w:pgMar w:left="1260" w:top="112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19</w:t>
      </w:r>
    </w:p>
    <w:p>
      <w:pPr>
        <w:sectPr>
          <w:pgSz w:w="11900" w:h="16838" w:orient="portrait"/>
          <w:cols w:equalWidth="0" w:num="1">
            <w:col w:w="9380"/>
          </w:cols>
          <w:pgMar w:left="1260" w:top="1121" w:right="1266" w:bottom="0" w:gutter="0" w:footer="0" w:header="0"/>
          <w:type w:val="continuous"/>
        </w:sectPr>
      </w:pPr>
    </w:p>
    <w:bookmarkStart w:id="103" w:name="page104"/>
    <w:bookmarkEnd w:id="103"/>
    <w:p>
      <w:pPr>
        <w:jc w:val="both"/>
        <w:spacing w:after="0" w:line="237" w:lineRule="auto"/>
        <w:rPr>
          <w:sz w:val="20"/>
          <w:szCs w:val="20"/>
          <w:color w:val="auto"/>
        </w:rPr>
      </w:pPr>
      <w:r>
        <w:rPr>
          <w:rFonts w:ascii="Arial" w:cs="Arial" w:eastAsia="Arial" w:hAnsi="Arial"/>
          <w:sz w:val="19"/>
          <w:szCs w:val="19"/>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Arial" w:cs="Arial" w:eastAsia="Arial" w:hAnsi="Arial"/>
          <w:sz w:val="19"/>
          <w:szCs w:val="19"/>
          <w:i w:val="1"/>
          <w:iCs w:val="1"/>
          <w:color w:val="auto"/>
        </w:rPr>
        <w:t>Note 17 – Share-based Compensation and Repurchase Plans</w:t>
      </w:r>
      <w:r>
        <w:rPr>
          <w:rFonts w:ascii="Arial" w:cs="Arial" w:eastAsia="Arial" w:hAnsi="Arial"/>
          <w:sz w:val="19"/>
          <w:szCs w:val="19"/>
          <w:color w:val="auto"/>
        </w:rPr>
        <w:t xml:space="preserve"> for further details.</w:t>
      </w:r>
    </w:p>
    <w:p>
      <w:pPr>
        <w:jc w:val="center"/>
        <w:ind w:right="-59"/>
        <w:spacing w:after="0" w:line="231" w:lineRule="auto"/>
        <w:rPr>
          <w:sz w:val="20"/>
          <w:szCs w:val="20"/>
          <w:color w:val="auto"/>
        </w:rPr>
      </w:pPr>
      <w:r>
        <w:rPr>
          <w:rFonts w:ascii="Arial" w:cs="Arial" w:eastAsia="Arial" w:hAnsi="Arial"/>
          <w:sz w:val="20"/>
          <w:szCs w:val="20"/>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3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 / 19</w:t>
      </w:r>
    </w:p>
    <w:p>
      <w:pPr>
        <w:sectPr>
          <w:pgSz w:w="11900" w:h="16838" w:orient="portrait"/>
          <w:cols w:equalWidth="0" w:num="1">
            <w:col w:w="9320"/>
          </w:cols>
          <w:pgMar w:left="1260" w:top="1131" w:right="1326" w:bottom="0" w:gutter="0" w:footer="0" w:header="0"/>
          <w:type w:val="continuous"/>
        </w:sectPr>
      </w:pPr>
    </w:p>
    <w:bookmarkStart w:id="104" w:name="page105"/>
    <w:bookmarkEnd w:id="104"/>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Treasury Shares</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 xml:space="preserve">Prior to March 2020,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Arial" w:cs="Arial" w:eastAsia="Arial" w:hAnsi="Arial"/>
          <w:sz w:val="20"/>
          <w:szCs w:val="20"/>
          <w:i w:val="1"/>
          <w:iCs w:val="1"/>
          <w:color w:val="auto"/>
        </w:rPr>
        <w:t>Note 17 – Share-based 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Repurchase Plans </w:t>
      </w:r>
      <w:r>
        <w:rPr>
          <w:rFonts w:ascii="Arial" w:cs="Arial" w:eastAsia="Arial" w:hAnsi="Arial"/>
          <w:sz w:val="20"/>
          <w:szCs w:val="20"/>
          <w:color w:val="auto"/>
        </w:rPr>
        <w:t>for further details of our stock repurchase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Insurance Recoveries and Other Contingency Matters</w:t>
      </w:r>
    </w:p>
    <w:p>
      <w:pPr>
        <w:spacing w:after="0" w:line="212" w:lineRule="exact"/>
        <w:rPr>
          <w:sz w:val="20"/>
          <w:szCs w:val="20"/>
          <w:color w:val="auto"/>
        </w:rPr>
      </w:pPr>
    </w:p>
    <w:p>
      <w:pPr>
        <w:ind w:left="720" w:right="80" w:hanging="366"/>
        <w:spacing w:after="0" w:line="227" w:lineRule="auto"/>
        <w:tabs>
          <w:tab w:leader="none" w:pos="72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Loss contingencies </w:t>
      </w:r>
      <w:r>
        <w:rPr>
          <w:rFonts w:ascii="Arial" w:cs="Arial" w:eastAsia="Arial" w:hAnsi="Arial"/>
          <w:sz w:val="20"/>
          <w:szCs w:val="20"/>
          <w:color w:val="auto"/>
        </w:rPr>
        <w:t>– we record any loss contingencies if there is a “probable” likelihood that the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had been incurred, and the amount of the loss can be reasonably estimated.</w:t>
      </w:r>
    </w:p>
    <w:p>
      <w:pPr>
        <w:spacing w:after="0" w:line="203" w:lineRule="exact"/>
        <w:rPr>
          <w:rFonts w:ascii="Arial" w:cs="Arial" w:eastAsia="Arial" w:hAnsi="Arial"/>
          <w:sz w:val="20"/>
          <w:szCs w:val="20"/>
          <w:i w:val="1"/>
          <w:iCs w:val="1"/>
          <w:color w:val="auto"/>
        </w:rPr>
      </w:pPr>
    </w:p>
    <w:p>
      <w:pPr>
        <w:ind w:left="720" w:hanging="366"/>
        <w:spacing w:after="0"/>
        <w:tabs>
          <w:tab w:leader="none" w:pos="72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Gain contingencies:</w:t>
      </w:r>
    </w:p>
    <w:p>
      <w:pPr>
        <w:spacing w:after="0" w:line="96" w:lineRule="exact"/>
        <w:rPr>
          <w:sz w:val="20"/>
          <w:szCs w:val="20"/>
          <w:color w:val="auto"/>
        </w:rPr>
      </w:pPr>
    </w:p>
    <w:p>
      <w:pPr>
        <w:ind w:left="720" w:hanging="366"/>
        <w:spacing w:after="0"/>
        <w:tabs>
          <w:tab w:leader="none" w:pos="720" w:val="left"/>
        </w:tabs>
        <w:numPr>
          <w:ilvl w:val="0"/>
          <w:numId w:val="49"/>
        </w:numPr>
        <w:rPr>
          <w:rFonts w:ascii="Wingdings" w:cs="Wingdings" w:eastAsia="Wingdings" w:hAnsi="Wingdings"/>
          <w:sz w:val="14"/>
          <w:szCs w:val="14"/>
          <w:color w:val="auto"/>
        </w:rPr>
      </w:pPr>
      <w:r>
        <w:rPr>
          <w:rFonts w:ascii="Arial" w:cs="Arial" w:eastAsia="Arial" w:hAnsi="Arial"/>
          <w:sz w:val="18"/>
          <w:szCs w:val="18"/>
          <w:u w:val="single" w:color="auto"/>
          <w:color w:val="auto"/>
        </w:rPr>
        <w:t>Insurance recoveries</w:t>
      </w:r>
      <w:r>
        <w:rPr>
          <w:rFonts w:ascii="Arial" w:cs="Arial" w:eastAsia="Arial" w:hAnsi="Arial"/>
          <w:sz w:val="18"/>
          <w:szCs w:val="18"/>
          <w:color w:val="auto"/>
        </w:rPr>
        <w:t xml:space="preserve"> – in the event we incur a loss attributable to an impairment of an asset or incurrence of</w:t>
      </w:r>
    </w:p>
    <w:p>
      <w:pPr>
        <w:spacing w:after="0" w:line="38" w:lineRule="exact"/>
        <w:rPr>
          <w:rFonts w:ascii="Wingdings" w:cs="Wingdings" w:eastAsia="Wingdings" w:hAnsi="Wingdings"/>
          <w:sz w:val="14"/>
          <w:szCs w:val="14"/>
          <w:color w:val="auto"/>
        </w:rPr>
      </w:pPr>
    </w:p>
    <w:p>
      <w:pPr>
        <w:jc w:val="both"/>
        <w:ind w:left="720" w:right="60"/>
        <w:spacing w:after="0" w:line="243" w:lineRule="auto"/>
        <w:rPr>
          <w:rFonts w:ascii="Wingdings" w:cs="Wingdings" w:eastAsia="Wingdings" w:hAnsi="Wingdings"/>
          <w:sz w:val="14"/>
          <w:szCs w:val="14"/>
          <w:color w:val="auto"/>
        </w:rPr>
      </w:pPr>
      <w:r>
        <w:rPr>
          <w:rFonts w:ascii="Arial" w:cs="Arial" w:eastAsia="Arial" w:hAnsi="Arial"/>
          <w:sz w:val="20"/>
          <w:szCs w:val="20"/>
          <w:color w:val="auto"/>
        </w:rPr>
        <w:t>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114" w:lineRule="exact"/>
        <w:rPr>
          <w:rFonts w:ascii="Wingdings" w:cs="Wingdings" w:eastAsia="Wingdings" w:hAnsi="Wingdings"/>
          <w:sz w:val="14"/>
          <w:szCs w:val="14"/>
          <w:color w:val="auto"/>
        </w:rPr>
      </w:pPr>
    </w:p>
    <w:p>
      <w:pPr>
        <w:ind w:left="720" w:right="60" w:hanging="366"/>
        <w:spacing w:after="0" w:line="245" w:lineRule="auto"/>
        <w:tabs>
          <w:tab w:leader="none" w:pos="720" w:val="left"/>
        </w:tabs>
        <w:numPr>
          <w:ilvl w:val="0"/>
          <w:numId w:val="49"/>
        </w:numPr>
        <w:rPr>
          <w:rFonts w:ascii="Wingdings" w:cs="Wingdings" w:eastAsia="Wingdings" w:hAnsi="Wingdings"/>
          <w:sz w:val="16"/>
          <w:szCs w:val="16"/>
          <w:color w:val="auto"/>
        </w:rPr>
      </w:pPr>
      <w:r>
        <w:rPr>
          <w:rFonts w:ascii="Arial" w:cs="Arial" w:eastAsia="Arial" w:hAnsi="Arial"/>
          <w:sz w:val="20"/>
          <w:szCs w:val="20"/>
          <w:u w:val="single" w:color="auto"/>
          <w:color w:val="auto"/>
        </w:rPr>
        <w:t>Others</w:t>
      </w:r>
      <w:r>
        <w:rPr>
          <w:rFonts w:ascii="Arial" w:cs="Arial" w:eastAsia="Arial" w:hAnsi="Arial"/>
          <w:sz w:val="20"/>
          <w:szCs w:val="20"/>
          <w:color w:val="auto"/>
        </w:rPr>
        <w:t xml:space="preserve"> – other gain contingencies typically result from legal settlements and we record those settlements in income when cash or other forms of payments are received.</w:t>
      </w:r>
    </w:p>
    <w:p>
      <w:pPr>
        <w:spacing w:after="0" w:line="227"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Legal costs relating to our litigation matters, whether we are the plaintiff or the defendant, are recorded when incurred. For the years ended December 31, 2025, 2024, and 2023, we recorded gains/(losses) relating to litigation settlements of $nil, $450,000 and ($265,000),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Currency Translation Policy</w:t>
      </w:r>
    </w:p>
    <w:p>
      <w:pPr>
        <w:spacing w:after="0" w:line="21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203"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As of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7"/>
              </w:rPr>
              <w:t>As of and</w:t>
            </w:r>
          </w:p>
        </w:tc>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7"/>
              </w:rPr>
              <w:t>As of and</w:t>
            </w:r>
          </w:p>
        </w:tc>
      </w:tr>
      <w:tr>
        <w:trPr>
          <w:trHeight w:val="17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for the year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for the year ended</w:t>
            </w:r>
          </w:p>
        </w:tc>
        <w:tc>
          <w:tcPr>
            <w:tcW w:w="140" w:type="dxa"/>
            <w:vAlign w:val="bottom"/>
          </w:tcPr>
          <w:p>
            <w:pPr>
              <w:spacing w:after="0"/>
              <w:rPr>
                <w:sz w:val="15"/>
                <w:szCs w:val="15"/>
                <w:color w:val="auto"/>
              </w:rPr>
            </w:pPr>
          </w:p>
        </w:tc>
        <w:tc>
          <w:tcPr>
            <w:tcW w:w="15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for the year ended</w:t>
            </w:r>
          </w:p>
        </w:tc>
      </w:tr>
      <w:tr>
        <w:trPr>
          <w:trHeight w:val="185"/>
        </w:trPr>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December 31,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December 31, 2024</w:t>
            </w:r>
          </w:p>
        </w:tc>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December 31, 2023</w:t>
            </w:r>
          </w:p>
        </w:tc>
      </w:tr>
      <w:tr>
        <w:trPr>
          <w:trHeight w:val="196"/>
        </w:trPr>
        <w:tc>
          <w:tcPr>
            <w:tcW w:w="84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b w:val="1"/>
                <w:bCs w:val="1"/>
                <w:color w:val="auto"/>
                <w:w w:val="87"/>
              </w:rPr>
              <w:t>Spot Rate</w:t>
            </w:r>
          </w:p>
        </w:tc>
        <w:tc>
          <w:tcPr>
            <w:tcW w:w="372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4560" w:type="dxa"/>
            <w:vAlign w:val="bottom"/>
            <w:gridSpan w:val="3"/>
            <w:shd w:val="clear" w:color="auto" w:fill="CCEEFF"/>
          </w:tcPr>
          <w:p>
            <w:pPr>
              <w:ind w:left="240"/>
              <w:spacing w:after="0" w:line="216" w:lineRule="exact"/>
              <w:rPr>
                <w:sz w:val="20"/>
                <w:szCs w:val="20"/>
                <w:color w:val="auto"/>
              </w:rPr>
            </w:pPr>
            <w:r>
              <w:rPr>
                <w:rFonts w:ascii="Arial" w:cs="Arial" w:eastAsia="Arial" w:hAnsi="Arial"/>
                <w:sz w:val="20"/>
                <w:szCs w:val="20"/>
                <w:color w:val="auto"/>
              </w:rPr>
              <w:t>Australian Dollar</w:t>
            </w:r>
          </w:p>
        </w:tc>
        <w:tc>
          <w:tcPr>
            <w:tcW w:w="152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8"/>
              </w:rPr>
              <w:t>0.6669</w:t>
            </w:r>
          </w:p>
        </w:tc>
        <w:tc>
          <w:tcPr>
            <w:tcW w:w="20" w:type="dxa"/>
            <w:vAlign w:val="bottom"/>
          </w:tcPr>
          <w:p>
            <w:pPr>
              <w:spacing w:after="0"/>
              <w:rPr>
                <w:sz w:val="18"/>
                <w:szCs w:val="18"/>
                <w:color w:val="auto"/>
              </w:rPr>
            </w:pPr>
          </w:p>
        </w:tc>
        <w:tc>
          <w:tcPr>
            <w:tcW w:w="164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91"/>
              </w:rPr>
              <w:t>0.6185</w:t>
            </w:r>
          </w:p>
        </w:tc>
        <w:tc>
          <w:tcPr>
            <w:tcW w:w="1660" w:type="dxa"/>
            <w:vAlign w:val="bottom"/>
            <w:gridSpan w:val="2"/>
            <w:shd w:val="clear" w:color="auto" w:fill="CCEEFF"/>
          </w:tcPr>
          <w:p>
            <w:pPr>
              <w:jc w:val="center"/>
              <w:ind w:left="40"/>
              <w:spacing w:after="0" w:line="216" w:lineRule="exact"/>
              <w:rPr>
                <w:sz w:val="20"/>
                <w:szCs w:val="20"/>
                <w:color w:val="auto"/>
              </w:rPr>
            </w:pPr>
            <w:r>
              <w:rPr>
                <w:rFonts w:ascii="Arial" w:cs="Arial" w:eastAsia="Arial" w:hAnsi="Arial"/>
                <w:sz w:val="20"/>
                <w:szCs w:val="20"/>
                <w:color w:val="auto"/>
                <w:w w:val="91"/>
              </w:rPr>
              <w:t>0.6828</w:t>
            </w:r>
          </w:p>
        </w:tc>
      </w:tr>
      <w:tr>
        <w:trPr>
          <w:trHeight w:val="216"/>
        </w:trPr>
        <w:tc>
          <w:tcPr>
            <w:tcW w:w="4560" w:type="dxa"/>
            <w:vAlign w:val="bottom"/>
            <w:gridSpan w:val="3"/>
          </w:tcPr>
          <w:p>
            <w:pPr>
              <w:ind w:left="240"/>
              <w:spacing w:after="0" w:line="216" w:lineRule="exact"/>
              <w:rPr>
                <w:sz w:val="20"/>
                <w:szCs w:val="20"/>
                <w:color w:val="auto"/>
              </w:rPr>
            </w:pPr>
            <w:r>
              <w:rPr>
                <w:rFonts w:ascii="Arial" w:cs="Arial" w:eastAsia="Arial" w:hAnsi="Arial"/>
                <w:sz w:val="20"/>
                <w:szCs w:val="20"/>
                <w:color w:val="auto"/>
              </w:rPr>
              <w:t>New Zealand Dollar</w:t>
            </w:r>
          </w:p>
        </w:tc>
        <w:tc>
          <w:tcPr>
            <w:tcW w:w="1520" w:type="dxa"/>
            <w:vAlign w:val="bottom"/>
          </w:tcPr>
          <w:p>
            <w:pPr>
              <w:jc w:val="center"/>
              <w:spacing w:after="0" w:line="216" w:lineRule="exact"/>
              <w:rPr>
                <w:sz w:val="20"/>
                <w:szCs w:val="20"/>
                <w:color w:val="auto"/>
              </w:rPr>
            </w:pPr>
            <w:r>
              <w:rPr>
                <w:rFonts w:ascii="Arial" w:cs="Arial" w:eastAsia="Arial" w:hAnsi="Arial"/>
                <w:sz w:val="20"/>
                <w:szCs w:val="20"/>
                <w:color w:val="auto"/>
                <w:w w:val="88"/>
              </w:rPr>
              <w:t>0.5755</w:t>
            </w:r>
          </w:p>
        </w:tc>
        <w:tc>
          <w:tcPr>
            <w:tcW w:w="20" w:type="dxa"/>
            <w:vAlign w:val="bottom"/>
          </w:tcPr>
          <w:p>
            <w:pPr>
              <w:spacing w:after="0"/>
              <w:rPr>
                <w:sz w:val="18"/>
                <w:szCs w:val="18"/>
                <w:color w:val="auto"/>
              </w:rPr>
            </w:pPr>
          </w:p>
        </w:tc>
        <w:tc>
          <w:tcPr>
            <w:tcW w:w="1640" w:type="dxa"/>
            <w:vAlign w:val="bottom"/>
            <w:gridSpan w:val="2"/>
          </w:tcPr>
          <w:p>
            <w:pPr>
              <w:jc w:val="center"/>
              <w:ind w:left="20"/>
              <w:spacing w:after="0" w:line="216" w:lineRule="exact"/>
              <w:rPr>
                <w:sz w:val="20"/>
                <w:szCs w:val="20"/>
                <w:color w:val="auto"/>
              </w:rPr>
            </w:pPr>
            <w:r>
              <w:rPr>
                <w:rFonts w:ascii="Arial" w:cs="Arial" w:eastAsia="Arial" w:hAnsi="Arial"/>
                <w:sz w:val="20"/>
                <w:szCs w:val="20"/>
                <w:color w:val="auto"/>
                <w:w w:val="91"/>
              </w:rPr>
              <w:t>0.5596</w:t>
            </w:r>
          </w:p>
        </w:tc>
        <w:tc>
          <w:tcPr>
            <w:tcW w:w="166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w w:val="91"/>
              </w:rPr>
              <w:t>0.6340</w:t>
            </w:r>
          </w:p>
        </w:tc>
      </w:tr>
      <w:tr>
        <w:trPr>
          <w:trHeight w:val="217"/>
        </w:trPr>
        <w:tc>
          <w:tcPr>
            <w:tcW w:w="4560" w:type="dxa"/>
            <w:vAlign w:val="bottom"/>
            <w:gridSpan w:val="3"/>
            <w:shd w:val="clear" w:color="auto" w:fill="CCEEFF"/>
          </w:tcPr>
          <w:p>
            <w:pPr>
              <w:spacing w:after="0" w:line="197" w:lineRule="exact"/>
              <w:rPr>
                <w:sz w:val="20"/>
                <w:szCs w:val="20"/>
                <w:color w:val="auto"/>
              </w:rPr>
            </w:pPr>
            <w:r>
              <w:rPr>
                <w:rFonts w:ascii="Arial" w:cs="Arial" w:eastAsia="Arial" w:hAnsi="Arial"/>
                <w:sz w:val="20"/>
                <w:szCs w:val="20"/>
                <w:b w:val="1"/>
                <w:bCs w:val="1"/>
                <w:color w:val="auto"/>
              </w:rPr>
              <w:t>Average Rate</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1140" w:type="dxa"/>
            <w:vAlign w:val="bottom"/>
            <w:tcBorders>
              <w:top w:val="single" w:sz="8" w:color="auto"/>
            </w:tcBorders>
            <w:gridSpan w:val="2"/>
          </w:tcPr>
          <w:p>
            <w:pPr>
              <w:ind w:left="240"/>
              <w:spacing w:after="0" w:line="195" w:lineRule="exact"/>
              <w:rPr>
                <w:sz w:val="20"/>
                <w:szCs w:val="20"/>
                <w:color w:val="auto"/>
              </w:rPr>
            </w:pPr>
            <w:r>
              <w:rPr>
                <w:rFonts w:ascii="Arial" w:cs="Arial" w:eastAsia="Arial" w:hAnsi="Arial"/>
                <w:sz w:val="20"/>
                <w:szCs w:val="20"/>
                <w:color w:val="auto"/>
                <w:w w:val="98"/>
              </w:rPr>
              <w:t>Australian</w:t>
            </w:r>
          </w:p>
        </w:tc>
        <w:tc>
          <w:tcPr>
            <w:tcW w:w="3420" w:type="dxa"/>
            <w:vAlign w:val="bottom"/>
            <w:tcBorders>
              <w:top w:val="single" w:sz="8" w:color="CCEEFF"/>
            </w:tcBorders>
          </w:tcPr>
          <w:p>
            <w:pPr>
              <w:spacing w:after="0" w:line="195" w:lineRule="exact"/>
              <w:rPr>
                <w:sz w:val="20"/>
                <w:szCs w:val="20"/>
                <w:color w:val="auto"/>
              </w:rPr>
            </w:pPr>
            <w:r>
              <w:rPr>
                <w:rFonts w:ascii="Arial" w:cs="Arial" w:eastAsia="Arial" w:hAnsi="Arial"/>
                <w:sz w:val="20"/>
                <w:szCs w:val="20"/>
                <w:color w:val="auto"/>
              </w:rPr>
              <w:t>Dollar</w:t>
            </w:r>
          </w:p>
        </w:tc>
        <w:tc>
          <w:tcPr>
            <w:tcW w:w="1520" w:type="dxa"/>
            <w:vAlign w:val="bottom"/>
            <w:tcBorders>
              <w:top w:val="single" w:sz="8" w:color="CCEEFF"/>
            </w:tcBorders>
          </w:tcPr>
          <w:p>
            <w:pPr>
              <w:jc w:val="center"/>
              <w:spacing w:after="0" w:line="195" w:lineRule="exact"/>
              <w:rPr>
                <w:sz w:val="20"/>
                <w:szCs w:val="20"/>
                <w:color w:val="auto"/>
              </w:rPr>
            </w:pPr>
            <w:r>
              <w:rPr>
                <w:rFonts w:ascii="Arial" w:cs="Arial" w:eastAsia="Arial" w:hAnsi="Arial"/>
                <w:sz w:val="20"/>
                <w:szCs w:val="20"/>
                <w:color w:val="auto"/>
                <w:w w:val="88"/>
              </w:rPr>
              <w:t>0.6449</w:t>
            </w:r>
          </w:p>
        </w:tc>
        <w:tc>
          <w:tcPr>
            <w:tcW w:w="20" w:type="dxa"/>
            <w:vAlign w:val="bottom"/>
          </w:tcPr>
          <w:p>
            <w:pPr>
              <w:spacing w:after="0"/>
              <w:rPr>
                <w:sz w:val="16"/>
                <w:szCs w:val="16"/>
                <w:color w:val="auto"/>
              </w:rPr>
            </w:pPr>
          </w:p>
        </w:tc>
        <w:tc>
          <w:tcPr>
            <w:tcW w:w="1640" w:type="dxa"/>
            <w:vAlign w:val="bottom"/>
            <w:tcBorders>
              <w:top w:val="single" w:sz="8" w:color="CCEEFF"/>
            </w:tcBorders>
            <w:gridSpan w:val="2"/>
          </w:tcPr>
          <w:p>
            <w:pPr>
              <w:jc w:val="center"/>
              <w:ind w:left="20"/>
              <w:spacing w:after="0" w:line="195" w:lineRule="exact"/>
              <w:rPr>
                <w:sz w:val="20"/>
                <w:szCs w:val="20"/>
                <w:color w:val="auto"/>
              </w:rPr>
            </w:pPr>
            <w:r>
              <w:rPr>
                <w:rFonts w:ascii="Arial" w:cs="Arial" w:eastAsia="Arial" w:hAnsi="Arial"/>
                <w:sz w:val="20"/>
                <w:szCs w:val="20"/>
                <w:color w:val="auto"/>
                <w:w w:val="91"/>
              </w:rPr>
              <w:t>0.6596</w:t>
            </w:r>
          </w:p>
        </w:tc>
        <w:tc>
          <w:tcPr>
            <w:tcW w:w="1660" w:type="dxa"/>
            <w:vAlign w:val="bottom"/>
            <w:tcBorders>
              <w:top w:val="single" w:sz="8" w:color="CCEEFF"/>
            </w:tcBorders>
            <w:gridSpan w:val="2"/>
          </w:tcPr>
          <w:p>
            <w:pPr>
              <w:jc w:val="center"/>
              <w:ind w:left="40"/>
              <w:spacing w:after="0" w:line="195" w:lineRule="exact"/>
              <w:rPr>
                <w:sz w:val="20"/>
                <w:szCs w:val="20"/>
                <w:color w:val="auto"/>
              </w:rPr>
            </w:pPr>
            <w:r>
              <w:rPr>
                <w:rFonts w:ascii="Arial" w:cs="Arial" w:eastAsia="Arial" w:hAnsi="Arial"/>
                <w:sz w:val="20"/>
                <w:szCs w:val="20"/>
                <w:color w:val="auto"/>
                <w:w w:val="91"/>
              </w:rPr>
              <w:t>0.6647</w:t>
            </w:r>
          </w:p>
        </w:tc>
      </w:tr>
      <w:tr>
        <w:trPr>
          <w:trHeight w:val="216"/>
        </w:trPr>
        <w:tc>
          <w:tcPr>
            <w:tcW w:w="4560" w:type="dxa"/>
            <w:vAlign w:val="bottom"/>
            <w:gridSpan w:val="3"/>
            <w:shd w:val="clear" w:color="auto" w:fill="CCEEFF"/>
          </w:tcPr>
          <w:p>
            <w:pPr>
              <w:ind w:left="240"/>
              <w:spacing w:after="0" w:line="216" w:lineRule="exact"/>
              <w:rPr>
                <w:sz w:val="20"/>
                <w:szCs w:val="20"/>
                <w:color w:val="auto"/>
              </w:rPr>
            </w:pPr>
            <w:r>
              <w:rPr>
                <w:rFonts w:ascii="Arial" w:cs="Arial" w:eastAsia="Arial" w:hAnsi="Arial"/>
                <w:sz w:val="20"/>
                <w:szCs w:val="20"/>
                <w:color w:val="auto"/>
              </w:rPr>
              <w:t>New Zealand Dollar</w:t>
            </w:r>
          </w:p>
        </w:tc>
        <w:tc>
          <w:tcPr>
            <w:tcW w:w="152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88"/>
              </w:rPr>
              <w:t>0.5819</w:t>
            </w:r>
          </w:p>
        </w:tc>
        <w:tc>
          <w:tcPr>
            <w:tcW w:w="20" w:type="dxa"/>
            <w:vAlign w:val="bottom"/>
          </w:tcPr>
          <w:p>
            <w:pPr>
              <w:spacing w:after="0"/>
              <w:rPr>
                <w:sz w:val="18"/>
                <w:szCs w:val="18"/>
                <w:color w:val="auto"/>
              </w:rPr>
            </w:pPr>
          </w:p>
        </w:tc>
        <w:tc>
          <w:tcPr>
            <w:tcW w:w="1640" w:type="dxa"/>
            <w:vAlign w:val="bottom"/>
            <w:gridSpan w:val="2"/>
            <w:shd w:val="clear" w:color="auto" w:fill="CCEEFF"/>
          </w:tcPr>
          <w:p>
            <w:pPr>
              <w:jc w:val="center"/>
              <w:ind w:left="20"/>
              <w:spacing w:after="0" w:line="216" w:lineRule="exact"/>
              <w:rPr>
                <w:sz w:val="20"/>
                <w:szCs w:val="20"/>
                <w:color w:val="auto"/>
              </w:rPr>
            </w:pPr>
            <w:r>
              <w:rPr>
                <w:rFonts w:ascii="Arial" w:cs="Arial" w:eastAsia="Arial" w:hAnsi="Arial"/>
                <w:sz w:val="20"/>
                <w:szCs w:val="20"/>
                <w:color w:val="auto"/>
                <w:w w:val="91"/>
              </w:rPr>
              <w:t>0.6051</w:t>
            </w:r>
          </w:p>
        </w:tc>
        <w:tc>
          <w:tcPr>
            <w:tcW w:w="1660" w:type="dxa"/>
            <w:vAlign w:val="bottom"/>
            <w:gridSpan w:val="2"/>
            <w:shd w:val="clear" w:color="auto" w:fill="CCEEFF"/>
          </w:tcPr>
          <w:p>
            <w:pPr>
              <w:jc w:val="center"/>
              <w:ind w:left="40"/>
              <w:spacing w:after="0" w:line="216" w:lineRule="exact"/>
              <w:rPr>
                <w:sz w:val="20"/>
                <w:szCs w:val="20"/>
                <w:color w:val="auto"/>
              </w:rPr>
            </w:pPr>
            <w:r>
              <w:rPr>
                <w:rFonts w:ascii="Arial" w:cs="Arial" w:eastAsia="Arial" w:hAnsi="Arial"/>
                <w:sz w:val="20"/>
                <w:szCs w:val="20"/>
                <w:color w:val="auto"/>
                <w:w w:val="91"/>
              </w:rPr>
              <w:t>0.6145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Income Taxes</w:t>
      </w:r>
    </w:p>
    <w:p>
      <w:pPr>
        <w:spacing w:after="0" w:line="212" w:lineRule="exact"/>
        <w:rPr>
          <w:sz w:val="20"/>
          <w:szCs w:val="20"/>
          <w:color w:val="auto"/>
        </w:rPr>
      </w:pPr>
    </w:p>
    <w:p>
      <w:pPr>
        <w:jc w:val="both"/>
        <w:ind w:right="60"/>
        <w:spacing w:after="0" w:line="237" w:lineRule="auto"/>
        <w:rPr>
          <w:sz w:val="20"/>
          <w:szCs w:val="20"/>
          <w:color w:val="auto"/>
        </w:rPr>
      </w:pPr>
      <w:r>
        <w:rPr>
          <w:rFonts w:ascii="Arial" w:cs="Arial" w:eastAsia="Arial" w:hAnsi="Arial"/>
          <w:sz w:val="19"/>
          <w:szCs w:val="19"/>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19</w:t>
      </w:r>
    </w:p>
    <w:p>
      <w:pPr>
        <w:sectPr>
          <w:pgSz w:w="11900" w:h="16838" w:orient="portrait"/>
          <w:cols w:equalWidth="0" w:num="1">
            <w:col w:w="9400"/>
          </w:cols>
          <w:pgMar w:left="1260" w:top="1440" w:right="1246" w:bottom="0" w:gutter="0" w:footer="0" w:header="0"/>
          <w:type w:val="continuous"/>
        </w:sectPr>
      </w:pPr>
    </w:p>
    <w:bookmarkStart w:id="105" w:name="page106"/>
    <w:bookmarkEnd w:id="105"/>
    <w:p>
      <w:pPr>
        <w:jc w:val="both"/>
        <w:spacing w:after="0" w:line="225" w:lineRule="auto"/>
        <w:rPr>
          <w:sz w:val="20"/>
          <w:szCs w:val="20"/>
          <w:color w:val="auto"/>
        </w:rPr>
      </w:pPr>
      <w:r>
        <w:rPr>
          <w:rFonts w:ascii="Arial" w:cs="Arial" w:eastAsia="Arial" w:hAnsi="Arial"/>
          <w:sz w:val="20"/>
          <w:szCs w:val="20"/>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w:t>
      </w:r>
    </w:p>
    <w:p>
      <w:pPr>
        <w:jc w:val="center"/>
        <w:ind w:right="-19"/>
        <w:spacing w:after="0" w:line="231" w:lineRule="auto"/>
        <w:rPr>
          <w:sz w:val="20"/>
          <w:szCs w:val="20"/>
          <w:color w:val="auto"/>
        </w:rPr>
      </w:pPr>
      <w:r>
        <w:rPr>
          <w:rFonts w:ascii="Arial" w:cs="Arial" w:eastAsia="Arial" w:hAnsi="Arial"/>
          <w:sz w:val="20"/>
          <w:szCs w:val="20"/>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19</w:t>
      </w:r>
    </w:p>
    <w:p>
      <w:pPr>
        <w:sectPr>
          <w:pgSz w:w="11900" w:h="16838" w:orient="portrait"/>
          <w:cols w:equalWidth="0" w:num="1">
            <w:col w:w="9380"/>
          </w:cols>
          <w:pgMar w:left="1260" w:top="1131" w:right="1266" w:bottom="0" w:gutter="0" w:footer="0" w:header="0"/>
          <w:type w:val="continuous"/>
        </w:sectPr>
      </w:pPr>
    </w:p>
    <w:bookmarkStart w:id="106" w:name="page107"/>
    <w:bookmarkEnd w:id="106"/>
    <w:p>
      <w:pPr>
        <w:ind w:right="60"/>
        <w:spacing w:after="0" w:line="227" w:lineRule="auto"/>
        <w:rPr>
          <w:sz w:val="20"/>
          <w:szCs w:val="20"/>
          <w:color w:val="auto"/>
        </w:rPr>
      </w:pPr>
      <w:r>
        <w:rPr>
          <w:rFonts w:ascii="Arial" w:cs="Arial" w:eastAsia="Arial" w:hAnsi="Arial"/>
          <w:sz w:val="20"/>
          <w:szCs w:val="20"/>
          <w:color w:val="auto"/>
        </w:rPr>
        <w:t>evidence, including scheduled reversals of deferred tax liabilities, projected future taxable income, tax planning strategies and recent financial operations.</w:t>
      </w:r>
    </w:p>
    <w:p>
      <w:pPr>
        <w:spacing w:after="0" w:line="213"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Earnings (Loss) Per Share</w:t>
      </w:r>
    </w:p>
    <w:p>
      <w:pPr>
        <w:spacing w:after="0" w:line="212" w:lineRule="exact"/>
        <w:rPr>
          <w:sz w:val="20"/>
          <w:szCs w:val="20"/>
          <w:color w:val="auto"/>
        </w:rPr>
      </w:pPr>
    </w:p>
    <w:p>
      <w:pPr>
        <w:jc w:val="both"/>
        <w:ind w:right="40"/>
        <w:spacing w:after="0" w:line="225" w:lineRule="auto"/>
        <w:rPr>
          <w:sz w:val="20"/>
          <w:szCs w:val="20"/>
          <w:color w:val="auto"/>
        </w:rPr>
      </w:pPr>
      <w:r>
        <w:rPr>
          <w:rFonts w:ascii="Arial" w:cs="Arial" w:eastAsia="Arial" w:hAnsi="Arial"/>
          <w:sz w:val="20"/>
          <w:szCs w:val="20"/>
          <w:color w:val="auto"/>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spacing w:after="0" w:line="219" w:lineRule="exact"/>
        <w:rPr>
          <w:sz w:val="20"/>
          <w:szCs w:val="20"/>
          <w:color w:val="auto"/>
        </w:rPr>
      </w:pPr>
    </w:p>
    <w:p>
      <w:pPr>
        <w:ind w:right="4400"/>
        <w:spacing w:after="0" w:line="445" w:lineRule="auto"/>
        <w:rPr>
          <w:sz w:val="20"/>
          <w:szCs w:val="20"/>
          <w:color w:val="auto"/>
        </w:rPr>
      </w:pPr>
      <w:r>
        <w:rPr>
          <w:rFonts w:ascii="Arial" w:cs="Arial" w:eastAsia="Arial" w:hAnsi="Arial"/>
          <w:sz w:val="20"/>
          <w:szCs w:val="20"/>
          <w:b w:val="1"/>
          <w:bCs w:val="1"/>
          <w:color w:val="auto"/>
        </w:rPr>
        <w:t xml:space="preserve">New Accounting Standards and Accounting Changes Recently Adopted and Issued Accounting Pronouncements </w:t>
      </w:r>
      <w:r>
        <w:rPr>
          <w:rFonts w:ascii="Arial" w:cs="Arial" w:eastAsia="Arial" w:hAnsi="Arial"/>
          <w:sz w:val="20"/>
          <w:szCs w:val="20"/>
          <w:b w:val="1"/>
          <w:bCs w:val="1"/>
          <w:i w:val="1"/>
          <w:iCs w:val="1"/>
          <w:u w:val="single" w:color="auto"/>
          <w:color w:val="auto"/>
        </w:rPr>
        <w:t>Adopted: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ASU 2023-07 Segment Reporting: Improvements to Reportable Segment Disclosures</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On December 16, 2024, we adopted ASU 2023-07: Segment Reporting: Improvements to Reportable Segment Disclosures</w:t>
      </w:r>
      <w:r>
        <w:rPr>
          <w:rFonts w:ascii="Arial" w:cs="Arial" w:eastAsia="Arial" w:hAnsi="Arial"/>
          <w:sz w:val="20"/>
          <w:szCs w:val="20"/>
          <w:i w:val="1"/>
          <w:iCs w:val="1"/>
          <w:color w:val="auto"/>
        </w:rPr>
        <w:t>.</w:t>
      </w:r>
      <w:r>
        <w:rPr>
          <w:rFonts w:ascii="Arial" w:cs="Arial" w:eastAsia="Arial" w:hAnsi="Arial"/>
          <w:sz w:val="20"/>
          <w:szCs w:val="20"/>
          <w:color w:val="auto"/>
        </w:rPr>
        <w:t xml:space="preserve"> This ASU expands the disclosures required by public entities for reportable segments. Adoption of the ASU has had no material effect on our consolidated financial statements from a recognition and measurement perspective, and has not altered our reportable segments, but has enhanced our disclosure of certain expenses and profitability measurement.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ASU 2023-09 Income Taxes: Improvements to Income Tax Disclosures</w:t>
      </w:r>
    </w:p>
    <w:p>
      <w:pPr>
        <w:spacing w:after="0" w:line="21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212529"/>
        </w:rPr>
        <w:t>Effective year ended December 31, 2025, we adopted ASC 2023-09 Income Taxes: Improvements to Income Tax Disclosures (“ASU 2023-09”). The amendments in ASU 2023-09 require entities to disclose on an annual basis (i) specific categories in the rate reconciliation and (ii) provide additional information for reconciling items that meet a quantitative threshold. The amendments also require that entities disclose various information about income taxes paid and (i) income (or loss) from continuing operations before income tax expense (or benefit) disaggregated between domestic and (ii) foreign and income tax expense (or benefit) from continuing operations disaggregated by federal (national), state, and foreign. Adoption of the ASU has had no material effect on our consolidated financial statements from a recognition and measurement perspective, but has enhanced our disclosure of certain income tax matters.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Recently Announced: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ASU 2024-03 Income Statement – Reporting Comprehensive Income – Expense Disaggregation Disclosures</w:t>
      </w:r>
    </w:p>
    <w:p>
      <w:pPr>
        <w:spacing w:after="0" w:line="225"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212529"/>
        </w:rPr>
        <w:t>In November 2024, the FASB issued ASC 2024-03, Income Statement (Subtopic 220-40)—Reporting Comprehensive Income-Expense Disaggregation Disclosures (“ASU 2024-03”). The amendments in ASU 2024-03 require that public business entities disclose additional information about specific expense categories in the notes to financial statements for interim and annual reporting periods. ASU 2024-03 is effective for the Company for the year ended December 31, 2027. The Company is currently evaluating the impact of this new standard on our consolidated financial statements upon adoption.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4 – SEGMENT REPORTING</w:t>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19</w:t>
      </w:r>
    </w:p>
    <w:p>
      <w:pPr>
        <w:sectPr>
          <w:pgSz w:w="11900" w:h="16838" w:orient="portrait"/>
          <w:cols w:equalWidth="0" w:num="1">
            <w:col w:w="9380"/>
          </w:cols>
          <w:pgMar w:left="1260" w:top="1131" w:right="1266" w:bottom="0" w:gutter="0" w:footer="0" w:header="0"/>
          <w:type w:val="continuous"/>
        </w:sectPr>
      </w:pPr>
    </w:p>
    <w:bookmarkStart w:id="107" w:name="page108"/>
    <w:bookmarkEnd w:id="107"/>
    <w:p>
      <w:pPr>
        <w:jc w:val="both"/>
        <w:spacing w:after="0" w:line="226" w:lineRule="auto"/>
        <w:rPr>
          <w:sz w:val="20"/>
          <w:szCs w:val="20"/>
          <w:color w:val="auto"/>
        </w:rPr>
      </w:pPr>
      <w:r>
        <w:rPr>
          <w:rFonts w:ascii="Arial" w:cs="Arial" w:eastAsia="Arial" w:hAnsi="Arial"/>
          <w:sz w:val="20"/>
          <w:szCs w:val="20"/>
          <w:color w:val="auto"/>
        </w:rPr>
        <w:t>We report information about operating segments in accordance with ASC 280-10 Segment Reporting, which requires financial information to be reported based on the way management organizes segments with a company for making operating decisions and evaluating performance. We have organized our business into two reportable segments, being cinema exhibition and real estate.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 / 19</w:t>
      </w:r>
    </w:p>
    <w:p>
      <w:pPr>
        <w:sectPr>
          <w:pgSz w:w="11900" w:h="16838" w:orient="portrait"/>
          <w:cols w:equalWidth="0" w:num="1">
            <w:col w:w="9360"/>
          </w:cols>
          <w:pgMar w:left="1260" w:top="1131" w:right="1286" w:bottom="0" w:gutter="0" w:footer="0" w:header="0"/>
          <w:type w:val="continuous"/>
        </w:sectPr>
      </w:pPr>
    </w:p>
    <w:bookmarkStart w:id="108" w:name="page109"/>
    <w:bookmarkEnd w:id="108"/>
    <w:p>
      <w:pPr>
        <w:jc w:val="both"/>
        <w:ind w:right="20"/>
        <w:spacing w:after="0" w:line="253" w:lineRule="auto"/>
        <w:rPr>
          <w:sz w:val="20"/>
          <w:szCs w:val="20"/>
          <w:color w:val="auto"/>
        </w:rPr>
      </w:pPr>
      <w:r>
        <w:rPr>
          <w:rFonts w:ascii="Arial" w:cs="Arial" w:eastAsia="Arial" w:hAnsi="Arial"/>
          <w:sz w:val="18"/>
          <w:szCs w:val="18"/>
          <w:color w:val="auto"/>
        </w:rPr>
        <w:t>Our cinema exhibition segment aggregates all our cinemas, both leased and owned, across the United States, Australia and New Zealand. Each of our cinemas earns revenue through the sale of movie tickets, food and beverage, screen advertising, theatre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w:t>
      </w:r>
    </w:p>
    <w:p>
      <w:pPr>
        <w:spacing w:after="0" w:line="20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Our real estate segment aggregates all our retail, commercial and live theatre real estate assets across Australia, New Zealand, and the United States. Our retail and commercial real estate assets earn revenue through the leasing or licensing of space to third party tenants.</w:t>
      </w:r>
    </w:p>
    <w:p>
      <w:pPr>
        <w:spacing w:after="0" w:line="214"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Our live theatre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w:t>
      </w:r>
    </w:p>
    <w:p>
      <w:pPr>
        <w:spacing w:after="0" w:line="213"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Each of these segments has discrete and separate financial information and for which operating results are evaluated regularly by our President, Chief Executive Officer and Vice Chair of the Board of Directors, the chief operating decision-maker (“CODM”) of the Company. The CODM is responsible for the allocation of resources to, and the assessment of the performance of, our operating segments. The CODM determines, among other things:</w:t>
      </w:r>
    </w:p>
    <w:p>
      <w:pPr>
        <w:ind w:left="720" w:hanging="366"/>
        <w:spacing w:after="0" w:line="227"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execution, renewal or termination of cinema leases</w:t>
      </w:r>
    </w:p>
    <w:p>
      <w:pPr>
        <w:ind w:left="720" w:hanging="366"/>
        <w:spacing w:after="0" w:line="225"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execution, renewal or termination of third-party tenant leases</w:t>
      </w:r>
    </w:p>
    <w:p>
      <w:pPr>
        <w:ind w:left="720" w:hanging="366"/>
        <w:spacing w:after="0" w:line="225"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significant capital expenditures</w:t>
      </w:r>
    </w:p>
    <w:p>
      <w:pPr>
        <w:ind w:left="720" w:hanging="366"/>
        <w:spacing w:after="0" w:line="225"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internal resource allocation</w:t>
      </w:r>
    </w:p>
    <w:p>
      <w:pPr>
        <w:ind w:left="720" w:hanging="366"/>
        <w:spacing w:after="0" w:line="229"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operational budgets.</w:t>
      </w:r>
    </w:p>
    <w:p>
      <w:pPr>
        <w:spacing w:after="0" w:line="213"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Segment operating income is a key measure of profit or loss used by the CODM to assess segment performance and allocate resources. Segment operating income includes certain amounts charged by our real estate segment to our cinema exhibition segment where a cinema is a tenant of the real estate segment. These charges are eliminated for consolidated financial statement purposes in the consolidated income statement but are presented gross to the CODM.</w:t>
      </w:r>
    </w:p>
    <w:p>
      <w:pPr>
        <w:spacing w:after="0" w:line="213" w:lineRule="exact"/>
        <w:rPr>
          <w:sz w:val="20"/>
          <w:szCs w:val="20"/>
          <w:color w:val="auto"/>
        </w:rPr>
      </w:pPr>
    </w:p>
    <w:p>
      <w:pPr>
        <w:jc w:val="both"/>
        <w:ind w:right="60"/>
        <w:spacing w:after="0" w:line="239" w:lineRule="auto"/>
        <w:rPr>
          <w:sz w:val="20"/>
          <w:szCs w:val="20"/>
          <w:color w:val="auto"/>
        </w:rPr>
      </w:pPr>
      <w:r>
        <w:rPr>
          <w:rFonts w:ascii="Arial" w:cs="Arial" w:eastAsia="Arial" w:hAnsi="Arial"/>
          <w:sz w:val="19"/>
          <w:szCs w:val="19"/>
          <w:color w:val="auto"/>
        </w:rPr>
        <w:t>The tables below summarize the results of operations for each of our business segments, presenting a reconciliation of segment revenue to operating segment income, and the impact of inter-segment transactions.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2025</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9"/>
              </w:rPr>
              <w:t>2024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87"/>
              </w:rPr>
              <w:t>Real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4"/>
              </w:rPr>
              <w:t>Real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940" w:type="dxa"/>
            <w:vAlign w:val="bottom"/>
          </w:tcPr>
          <w:p>
            <w:pPr>
              <w:spacing w:after="0" w:line="153" w:lineRule="exact"/>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Cinema</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0"/>
              </w:rPr>
              <w:t>Estate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6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8"/>
              </w:rPr>
              <w:t>Cinema</w:t>
            </w:r>
          </w:p>
        </w:tc>
        <w:tc>
          <w:tcPr>
            <w:tcW w:w="120" w:type="dxa"/>
            <w:vAlign w:val="bottom"/>
          </w:tcPr>
          <w:p>
            <w:pPr>
              <w:spacing w:after="0"/>
              <w:rPr>
                <w:sz w:val="14"/>
                <w:szCs w:val="14"/>
                <w:color w:val="auto"/>
              </w:rPr>
            </w:pPr>
          </w:p>
        </w:tc>
        <w:tc>
          <w:tcPr>
            <w:tcW w:w="580" w:type="dxa"/>
            <w:vAlign w:val="bottom"/>
          </w:tcPr>
          <w:p>
            <w:pPr>
              <w:jc w:val="center"/>
              <w:ind w:right="50"/>
              <w:spacing w:after="0" w:line="153" w:lineRule="exact"/>
              <w:rPr>
                <w:sz w:val="20"/>
                <w:szCs w:val="20"/>
                <w:color w:val="auto"/>
              </w:rPr>
            </w:pPr>
            <w:r>
              <w:rPr>
                <w:rFonts w:ascii="Arial" w:cs="Arial" w:eastAsia="Arial" w:hAnsi="Arial"/>
                <w:sz w:val="14"/>
                <w:szCs w:val="14"/>
                <w:b w:val="1"/>
                <w:bCs w:val="1"/>
                <w:color w:val="auto"/>
                <w:w w:val="90"/>
              </w:rPr>
              <w:t>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0"/>
              <w:spacing w:after="0" w:line="153"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90"/>
              <w:spacing w:after="0" w:line="153" w:lineRule="exact"/>
              <w:rPr>
                <w:sz w:val="20"/>
                <w:szCs w:val="20"/>
                <w:color w:val="auto"/>
              </w:rPr>
            </w:pPr>
            <w:r>
              <w:rPr>
                <w:rFonts w:ascii="Arial" w:cs="Arial" w:eastAsia="Arial" w:hAnsi="Arial"/>
                <w:sz w:val="14"/>
                <w:szCs w:val="14"/>
                <w:b w:val="1"/>
                <w:bCs w:val="1"/>
                <w:color w:val="auto"/>
                <w:w w:val="98"/>
              </w:rPr>
              <w:t>Cinema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0"/>
              <w:spacing w:after="0" w:line="153"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9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Revenue - third party</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188,603</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14,385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202,988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195,130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15,397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210,527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207,641</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15,103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222,744</w:t>
            </w:r>
          </w:p>
        </w:tc>
        <w:tc>
          <w:tcPr>
            <w:tcW w:w="0" w:type="dxa"/>
            <w:vAlign w:val="bottom"/>
          </w:tcPr>
          <w:p>
            <w:pPr>
              <w:spacing w:after="0"/>
              <w:rPr>
                <w:sz w:val="1"/>
                <w:szCs w:val="1"/>
                <w:color w:val="auto"/>
              </w:rPr>
            </w:pPr>
          </w:p>
        </w:tc>
      </w:tr>
      <w:tr>
        <w:trPr>
          <w:trHeight w:val="174"/>
        </w:trPr>
        <w:tc>
          <w:tcPr>
            <w:tcW w:w="1940" w:type="dxa"/>
            <w:vAlign w:val="bottom"/>
          </w:tcPr>
          <w:p>
            <w:pPr>
              <w:ind w:left="100"/>
              <w:spacing w:after="0" w:line="174" w:lineRule="exact"/>
              <w:rPr>
                <w:sz w:val="20"/>
                <w:szCs w:val="20"/>
                <w:color w:val="auto"/>
              </w:rPr>
            </w:pPr>
            <w:r>
              <w:rPr>
                <w:rFonts w:ascii="Arial" w:cs="Arial" w:eastAsia="Arial" w:hAnsi="Arial"/>
                <w:sz w:val="13"/>
                <w:szCs w:val="13"/>
                <w:color w:val="auto"/>
              </w:rPr>
              <w:t xml:space="preserve">Inter-segment revenue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4,036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4,767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4,767</w:t>
            </w:r>
          </w:p>
        </w:tc>
        <w:tc>
          <w:tcPr>
            <w:tcW w:w="0" w:type="dxa"/>
            <w:vAlign w:val="bottom"/>
          </w:tcPr>
          <w:p>
            <w:pPr>
              <w:spacing w:after="0"/>
              <w:rPr>
                <w:sz w:val="1"/>
                <w:szCs w:val="1"/>
                <w:color w:val="auto"/>
              </w:rPr>
            </w:pPr>
          </w:p>
        </w:tc>
      </w:tr>
      <w:tr>
        <w:trPr>
          <w:trHeight w:val="151"/>
        </w:trPr>
        <w:tc>
          <w:tcPr>
            <w:tcW w:w="194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Total segment revenue</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188,603</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18,421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207,024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195,130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20,006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215,136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207,641</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19,870</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227,511</w:t>
            </w:r>
          </w:p>
        </w:tc>
        <w:tc>
          <w:tcPr>
            <w:tcW w:w="0" w:type="dxa"/>
            <w:vAlign w:val="bottom"/>
          </w:tcPr>
          <w:p>
            <w:pPr>
              <w:spacing w:after="0"/>
              <w:rPr>
                <w:sz w:val="1"/>
                <w:szCs w:val="1"/>
                <w:color w:val="auto"/>
              </w:rPr>
            </w:pPr>
          </w:p>
        </w:tc>
      </w:tr>
      <w:tr>
        <w:trPr>
          <w:trHeight w:val="151"/>
        </w:trPr>
        <w:tc>
          <w:tcPr>
            <w:tcW w:w="1940" w:type="dxa"/>
            <w:vAlign w:val="bottom"/>
          </w:tcPr>
          <w:p>
            <w:pPr>
              <w:spacing w:after="0" w:line="151" w:lineRule="exact"/>
              <w:rPr>
                <w:sz w:val="20"/>
                <w:szCs w:val="20"/>
                <w:color w:val="auto"/>
              </w:rPr>
            </w:pPr>
            <w:r>
              <w:rPr>
                <w:rFonts w:ascii="Arial" w:cs="Arial" w:eastAsia="Arial" w:hAnsi="Arial"/>
                <w:sz w:val="14"/>
                <w:szCs w:val="14"/>
                <w:b w:val="1"/>
                <w:bCs w:val="1"/>
                <w:color w:val="auto"/>
              </w:rPr>
              <w:t>Operating expense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95"/>
              </w:rPr>
              <w:t>Operating Expense - Third Party</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1" w:lineRule="exact"/>
              <w:rPr>
                <w:sz w:val="20"/>
                <w:szCs w:val="20"/>
                <w:color w:val="auto"/>
              </w:rPr>
            </w:pPr>
            <w:r>
              <w:rPr>
                <w:rFonts w:ascii="Arial" w:cs="Arial" w:eastAsia="Arial" w:hAnsi="Arial"/>
                <w:sz w:val="14"/>
                <w:szCs w:val="14"/>
                <w:color w:val="auto"/>
              </w:rPr>
              <w:t>(168,328)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(7,463)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1" w:lineRule="exact"/>
              <w:rPr>
                <w:sz w:val="20"/>
                <w:szCs w:val="20"/>
                <w:color w:val="auto"/>
              </w:rPr>
            </w:pPr>
            <w:r>
              <w:rPr>
                <w:rFonts w:ascii="Arial" w:cs="Arial" w:eastAsia="Arial" w:hAnsi="Arial"/>
                <w:sz w:val="14"/>
                <w:szCs w:val="14"/>
                <w:color w:val="auto"/>
              </w:rPr>
              <w:t>(175,791)</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1" w:lineRule="exact"/>
              <w:rPr>
                <w:sz w:val="20"/>
                <w:szCs w:val="20"/>
                <w:color w:val="auto"/>
              </w:rPr>
            </w:pPr>
            <w:r>
              <w:rPr>
                <w:rFonts w:ascii="Arial" w:cs="Arial" w:eastAsia="Arial" w:hAnsi="Arial"/>
                <w:sz w:val="14"/>
                <w:szCs w:val="14"/>
                <w:color w:val="auto"/>
              </w:rPr>
              <w:t>(179,377)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(9,243)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(188,620)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(187,418)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(8,763)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(196,181)</w:t>
            </w:r>
          </w:p>
        </w:tc>
        <w:tc>
          <w:tcPr>
            <w:tcW w:w="0" w:type="dxa"/>
            <w:vAlign w:val="bottom"/>
          </w:tcPr>
          <w:p>
            <w:pPr>
              <w:spacing w:after="0"/>
              <w:rPr>
                <w:sz w:val="1"/>
                <w:szCs w:val="1"/>
                <w:color w:val="auto"/>
              </w:rPr>
            </w:pPr>
          </w:p>
        </w:tc>
      </w:tr>
      <w:tr>
        <w:trPr>
          <w:trHeight w:val="151"/>
        </w:trPr>
        <w:tc>
          <w:tcPr>
            <w:tcW w:w="1940" w:type="dxa"/>
            <w:vAlign w:val="bottom"/>
          </w:tcPr>
          <w:p>
            <w:pPr>
              <w:ind w:left="100"/>
              <w:spacing w:after="0" w:line="151" w:lineRule="exact"/>
              <w:rPr>
                <w:sz w:val="20"/>
                <w:szCs w:val="20"/>
                <w:color w:val="auto"/>
              </w:rPr>
            </w:pPr>
            <w:r>
              <w:rPr>
                <w:rFonts w:ascii="Arial" w:cs="Arial" w:eastAsia="Arial" w:hAnsi="Arial"/>
                <w:sz w:val="14"/>
                <w:szCs w:val="14"/>
                <w:color w:val="auto"/>
              </w:rPr>
              <w:t>Inter-Segment 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100"/>
              <w:spacing w:after="0" w:line="174" w:lineRule="exact"/>
              <w:rPr>
                <w:sz w:val="20"/>
                <w:szCs w:val="20"/>
                <w:color w:val="auto"/>
              </w:rPr>
            </w:pPr>
            <w:r>
              <w:rPr>
                <w:rFonts w:ascii="Arial" w:cs="Arial" w:eastAsia="Arial" w:hAnsi="Arial"/>
                <w:sz w:val="13"/>
                <w:szCs w:val="13"/>
                <w:color w:val="auto"/>
              </w:rPr>
              <w:t xml:space="preserve">Expenses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(4,036)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(4,609)</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(4,767)</w:t>
            </w:r>
          </w:p>
        </w:tc>
        <w:tc>
          <w:tcPr>
            <w:tcW w:w="0" w:type="dxa"/>
            <w:vAlign w:val="bottom"/>
          </w:tcPr>
          <w:p>
            <w:pPr>
              <w:spacing w:after="0"/>
              <w:rPr>
                <w:sz w:val="1"/>
                <w:szCs w:val="1"/>
                <w:color w:val="auto"/>
              </w:rPr>
            </w:pPr>
          </w:p>
        </w:tc>
      </w:tr>
      <w:tr>
        <w:trPr>
          <w:trHeight w:val="139"/>
        </w:trPr>
        <w:tc>
          <w:tcPr>
            <w:tcW w:w="1940" w:type="dxa"/>
            <w:vAlign w:val="bottom"/>
            <w:tcBorders>
              <w:top w:val="single" w:sz="8" w:color="CCEEFF"/>
            </w:tcBorders>
            <w:shd w:val="clear" w:color="auto" w:fill="CCEEFF"/>
          </w:tcPr>
          <w:p>
            <w:pPr>
              <w:ind w:left="100"/>
              <w:spacing w:after="0" w:line="139" w:lineRule="exact"/>
              <w:rPr>
                <w:sz w:val="20"/>
                <w:szCs w:val="20"/>
                <w:color w:val="auto"/>
              </w:rPr>
            </w:pPr>
            <w:r>
              <w:rPr>
                <w:rFonts w:ascii="Arial" w:cs="Arial" w:eastAsia="Arial" w:hAnsi="Arial"/>
                <w:sz w:val="14"/>
                <w:szCs w:val="14"/>
                <w:color w:val="auto"/>
                <w:w w:val="97"/>
              </w:rPr>
              <w:t>Total of services and products</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CEEFF"/>
          </w:tcPr>
          <w:p>
            <w:pPr>
              <w:ind w:left="100"/>
              <w:spacing w:after="0" w:line="151" w:lineRule="exact"/>
              <w:rPr>
                <w:sz w:val="20"/>
                <w:szCs w:val="20"/>
                <w:color w:val="auto"/>
              </w:rPr>
            </w:pPr>
            <w:r>
              <w:rPr>
                <w:rFonts w:ascii="Arial" w:cs="Arial" w:eastAsia="Arial" w:hAnsi="Arial"/>
                <w:sz w:val="14"/>
                <w:szCs w:val="14"/>
                <w:color w:val="auto"/>
              </w:rPr>
              <w:t>(excluding depreciation and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amortization)</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(172,364)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(7,463)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(179,827)</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(183,986)</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(9,243)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(193,229)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(192,185)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(8,763)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(200,948)</w:t>
            </w:r>
          </w:p>
        </w:tc>
        <w:tc>
          <w:tcPr>
            <w:tcW w:w="0" w:type="dxa"/>
            <w:vAlign w:val="bottom"/>
          </w:tcPr>
          <w:p>
            <w:pPr>
              <w:spacing w:after="0"/>
              <w:rPr>
                <w:sz w:val="1"/>
                <w:szCs w:val="1"/>
                <w:color w:val="auto"/>
              </w:rPr>
            </w:pPr>
          </w:p>
        </w:tc>
      </w:tr>
      <w:tr>
        <w:trPr>
          <w:trHeight w:val="151"/>
        </w:trPr>
        <w:tc>
          <w:tcPr>
            <w:tcW w:w="1940" w:type="dxa"/>
            <w:vAlign w:val="bottom"/>
          </w:tcPr>
          <w:p>
            <w:pPr>
              <w:ind w:left="100"/>
              <w:spacing w:after="0" w:line="151" w:lineRule="exact"/>
              <w:rPr>
                <w:sz w:val="20"/>
                <w:szCs w:val="20"/>
                <w:color w:val="auto"/>
              </w:rPr>
            </w:pPr>
            <w:r>
              <w:rPr>
                <w:rFonts w:ascii="Arial" w:cs="Arial" w:eastAsia="Arial" w:hAnsi="Arial"/>
                <w:sz w:val="14"/>
                <w:szCs w:val="14"/>
                <w:color w:val="auto"/>
                <w:w w:val="97"/>
              </w:rPr>
              <w:t>Depreciation and amortization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(8,457)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(4,314)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(12,771)</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(10,232)</w:t>
            </w: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(5,160)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(15,392)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(11,335)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(6,376)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(4,139)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(4,866)</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(4,937)</w:t>
            </w:r>
          </w:p>
        </w:tc>
        <w:tc>
          <w:tcPr>
            <w:tcW w:w="0" w:type="dxa"/>
            <w:vAlign w:val="bottom"/>
          </w:tcPr>
          <w:p>
            <w:pPr>
              <w:spacing w:after="0"/>
              <w:rPr>
                <w:sz w:val="1"/>
                <w:szCs w:val="1"/>
                <w:color w:val="auto"/>
              </w:rPr>
            </w:pPr>
          </w:p>
        </w:tc>
      </w:tr>
      <w:tr>
        <w:trPr>
          <w:trHeight w:val="163"/>
        </w:trPr>
        <w:tc>
          <w:tcPr>
            <w:tcW w:w="194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40" w:type="dxa"/>
            <w:vAlign w:val="bottom"/>
            <w:tcBorders>
              <w:top w:val="single" w:sz="8" w:color="CCEEFF"/>
              <w:bottom w:val="single" w:sz="8" w:color="CCEEFF"/>
            </w:tcBorders>
          </w:tcPr>
          <w:p>
            <w:pPr>
              <w:spacing w:after="0" w:line="131" w:lineRule="exact"/>
              <w:rPr>
                <w:sz w:val="20"/>
                <w:szCs w:val="20"/>
                <w:color w:val="auto"/>
              </w:rPr>
            </w:pPr>
            <w:r>
              <w:rPr>
                <w:rFonts w:ascii="Arial" w:cs="Arial" w:eastAsia="Arial" w:hAnsi="Arial"/>
                <w:sz w:val="14"/>
                <w:szCs w:val="14"/>
                <w:color w:val="auto"/>
              </w:rPr>
              <w:t>Total operating expense</w:t>
            </w: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(184,960)</w:t>
            </w:r>
          </w:p>
        </w:tc>
        <w:tc>
          <w:tcPr>
            <w:tcW w:w="40" w:type="dxa"/>
            <w:vAlign w:val="bottom"/>
            <w:tcBorders>
              <w:top w:val="single" w:sz="8" w:color="CCEEFF"/>
              <w:bottom w:val="single" w:sz="8" w:color="CCEEFF"/>
            </w:tcBorders>
          </w:tcPr>
          <w:p>
            <w:pPr>
              <w:spacing w:after="0"/>
              <w:rPr>
                <w:sz w:val="11"/>
                <w:szCs w:val="11"/>
                <w:color w:val="auto"/>
              </w:rPr>
            </w:pPr>
          </w:p>
        </w:tc>
        <w:tc>
          <w:tcPr>
            <w:tcW w:w="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95"/>
              </w:rPr>
              <w:t>(12,504)</w:t>
            </w:r>
          </w:p>
        </w:tc>
        <w:tc>
          <w:tcPr>
            <w:tcW w:w="40" w:type="dxa"/>
            <w:vAlign w:val="bottom"/>
            <w:tcBorders>
              <w:top w:val="single" w:sz="8" w:color="CCEEFF"/>
              <w:bottom w:val="single" w:sz="8" w:color="CCEEFF"/>
            </w:tcBorders>
          </w:tcPr>
          <w:p>
            <w:pPr>
              <w:spacing w:after="0"/>
              <w:rPr>
                <w:sz w:val="11"/>
                <w:szCs w:val="11"/>
                <w:color w:val="auto"/>
              </w:rPr>
            </w:pPr>
          </w:p>
        </w:tc>
        <w:tc>
          <w:tcPr>
            <w:tcW w:w="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(197,464)</w:t>
            </w:r>
          </w:p>
        </w:tc>
        <w:tc>
          <w:tcPr>
            <w:tcW w:w="8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(197,927)</w:t>
            </w: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(15,327)</w:t>
            </w:r>
          </w:p>
        </w:tc>
        <w:tc>
          <w:tcPr>
            <w:tcW w:w="8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(213,254)</w:t>
            </w: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(207,517)</w:t>
            </w:r>
          </w:p>
        </w:tc>
        <w:tc>
          <w:tcPr>
            <w:tcW w:w="6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(16,079)</w:t>
            </w:r>
          </w:p>
        </w:tc>
        <w:tc>
          <w:tcPr>
            <w:tcW w:w="6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(223,596)</w:t>
            </w:r>
          </w:p>
        </w:tc>
        <w:tc>
          <w:tcPr>
            <w:tcW w:w="0" w:type="dxa"/>
            <w:vAlign w:val="bottom"/>
          </w:tcPr>
          <w:p>
            <w:pPr>
              <w:spacing w:after="0"/>
              <w:rPr>
                <w:sz w:val="1"/>
                <w:szCs w:val="1"/>
                <w:color w:val="auto"/>
              </w:rPr>
            </w:pPr>
          </w:p>
        </w:tc>
      </w:tr>
      <w:tr>
        <w:trPr>
          <w:trHeight w:val="161"/>
        </w:trPr>
        <w:tc>
          <w:tcPr>
            <w:tcW w:w="19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w w:val="86"/>
              </w:rPr>
              <w:t>Segment operating income (loss)</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3,643</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5,917</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9,560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(2,797)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4,679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1,882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3,791</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3,915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300" w:hanging="366"/>
        <w:spacing w:after="0" w:line="227"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Inter-segment Revenues and Operating Expense relates to the internal charge between the two segments where the cinema operates within real estate owned within the group.</w:t>
      </w:r>
    </w:p>
    <w:p>
      <w:pPr>
        <w:spacing w:after="0" w:line="203" w:lineRule="exact"/>
        <w:rPr>
          <w:rFonts w:ascii="Arial" w:cs="Arial" w:eastAsia="Arial" w:hAnsi="Arial"/>
          <w:sz w:val="16"/>
          <w:szCs w:val="16"/>
          <w:color w:val="auto"/>
        </w:rPr>
      </w:pPr>
    </w:p>
    <w:p>
      <w:pPr>
        <w:ind w:left="4600" w:hanging="124"/>
        <w:spacing w:after="0"/>
        <w:tabs>
          <w:tab w:leader="none" w:pos="46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19</w:t>
      </w:r>
    </w:p>
    <w:p>
      <w:pPr>
        <w:sectPr>
          <w:pgSz w:w="11900" w:h="16838" w:orient="portrait"/>
          <w:cols w:equalWidth="0" w:num="1">
            <w:col w:w="9400"/>
          </w:cols>
          <w:pgMar w:left="1260" w:top="1347" w:right="1246"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A reconciliation of cinema exhibition segment revenue to segment operating income for the financial years ended</w:t>
      </w:r>
    </w:p>
    <w:p>
      <w:pPr>
        <w:spacing w:after="0"/>
        <w:rPr>
          <w:sz w:val="20"/>
          <w:szCs w:val="20"/>
          <w:color w:val="auto"/>
        </w:rPr>
      </w:pPr>
      <w:r>
        <w:rPr>
          <w:rFonts w:ascii="Arial" w:cs="Arial" w:eastAsia="Arial" w:hAnsi="Arial"/>
          <w:sz w:val="20"/>
          <w:szCs w:val="20"/>
          <w:color w:val="auto"/>
        </w:rPr>
        <w:t>December 31, 2025, 2024 and 2023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spacing w:after="0" w:line="173" w:lineRule="exact"/>
              <w:rPr>
                <w:sz w:val="20"/>
                <w:szCs w:val="20"/>
                <w:color w:val="auto"/>
              </w:rPr>
            </w:pPr>
            <w:r>
              <w:rPr>
                <w:rFonts w:ascii="Arial" w:cs="Arial" w:eastAsia="Arial" w:hAnsi="Arial"/>
                <w:sz w:val="16"/>
                <w:szCs w:val="16"/>
                <w:color w:val="auto"/>
                <w:w w:val="93"/>
              </w:rPr>
              <w:t>(Dollars in thousands)</w:t>
            </w: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w w:val="88"/>
              </w:rPr>
              <w:t>December 31, 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w w:val="99"/>
              </w:rPr>
              <w:t>December 31, 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100"/>
              <w:spacing w:after="0" w:line="173" w:lineRule="exact"/>
              <w:rPr>
                <w:sz w:val="20"/>
                <w:szCs w:val="20"/>
                <w:color w:val="auto"/>
              </w:rPr>
            </w:pPr>
            <w:r>
              <w:rPr>
                <w:rFonts w:ascii="Arial" w:cs="Arial" w:eastAsia="Arial" w:hAnsi="Arial"/>
                <w:sz w:val="16"/>
                <w:szCs w:val="16"/>
                <w:b w:val="1"/>
                <w:bCs w:val="1"/>
                <w:color w:val="auto"/>
                <w:w w:val="91"/>
              </w:rPr>
              <w:t>December 31, 2023</w:t>
            </w:r>
          </w:p>
        </w:tc>
        <w:tc>
          <w:tcPr>
            <w:tcW w:w="0" w:type="dxa"/>
            <w:vAlign w:val="bottom"/>
          </w:tcPr>
          <w:p>
            <w:pPr>
              <w:spacing w:after="0"/>
              <w:rPr>
                <w:sz w:val="1"/>
                <w:szCs w:val="1"/>
                <w:color w:val="auto"/>
              </w:rPr>
            </w:pPr>
          </w:p>
        </w:tc>
      </w:tr>
      <w:tr>
        <w:trPr>
          <w:trHeight w:val="173"/>
        </w:trPr>
        <w:tc>
          <w:tcPr>
            <w:tcW w:w="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REVENUE</w:t>
            </w:r>
          </w:p>
        </w:tc>
        <w:tc>
          <w:tcPr>
            <w:tcW w:w="2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United States</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Admissions revenue</w:t>
            </w:r>
          </w:p>
        </w:tc>
        <w:tc>
          <w:tcPr>
            <w:tcW w:w="20" w:type="dxa"/>
            <w:vAlign w:val="bottom"/>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54,214</w:t>
            </w:r>
          </w:p>
        </w:tc>
        <w:tc>
          <w:tcPr>
            <w:tcW w:w="20" w:type="dxa"/>
            <w:vAlign w:val="bottom"/>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55,782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63,662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Concessions revenue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35,523</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34,314</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38,884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ind w:left="60"/>
              <w:spacing w:after="0" w:line="173" w:lineRule="exact"/>
              <w:rPr>
                <w:sz w:val="20"/>
                <w:szCs w:val="20"/>
                <w:color w:val="auto"/>
              </w:rPr>
            </w:pPr>
            <w:r>
              <w:rPr>
                <w:rFonts w:ascii="Arial" w:cs="Arial" w:eastAsia="Arial" w:hAnsi="Arial"/>
                <w:sz w:val="16"/>
                <w:szCs w:val="16"/>
                <w:color w:val="auto"/>
              </w:rPr>
              <w:t>Advertising and other revenue</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9,751</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9,842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11,252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99,488</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99,938</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113,798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ind w:left="260"/>
              <w:spacing w:after="0" w:line="173" w:lineRule="exact"/>
              <w:rPr>
                <w:sz w:val="20"/>
                <w:szCs w:val="20"/>
                <w:color w:val="auto"/>
              </w:rPr>
            </w:pPr>
            <w:r>
              <w:rPr>
                <w:rFonts w:ascii="Arial" w:cs="Arial" w:eastAsia="Arial" w:hAnsi="Arial"/>
                <w:sz w:val="16"/>
                <w:szCs w:val="16"/>
                <w:b w:val="1"/>
                <w:bCs w:val="1"/>
                <w:color w:val="auto"/>
              </w:rPr>
              <w:t>Australia</w:t>
            </w: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Admissions revenue</w:t>
            </w:r>
          </w:p>
        </w:tc>
        <w:tc>
          <w:tcPr>
            <w:tcW w:w="20" w:type="dxa"/>
            <w:vAlign w:val="bottom"/>
            <w:vMerge w:val="continue"/>
          </w:tcPr>
          <w:p>
            <w:pPr>
              <w:spacing w:after="0"/>
              <w:rPr>
                <w:sz w:val="15"/>
                <w:szCs w:val="15"/>
                <w:color w:val="auto"/>
              </w:rPr>
            </w:pPr>
          </w:p>
        </w:tc>
        <w:tc>
          <w:tcPr>
            <w:tcW w:w="540" w:type="dxa"/>
            <w:vAlign w:val="bottom"/>
            <w:gridSpan w:val="2"/>
            <w:shd w:val="clear" w:color="auto" w:fill="CCEEFF"/>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47,414</w:t>
            </w:r>
          </w:p>
        </w:tc>
        <w:tc>
          <w:tcPr>
            <w:tcW w:w="20" w:type="dxa"/>
            <w:vAlign w:val="bottom"/>
            <w:vMerge w:val="continue"/>
          </w:tcPr>
          <w:p>
            <w:pPr>
              <w:spacing w:after="0"/>
              <w:rPr>
                <w:sz w:val="15"/>
                <w:szCs w:val="15"/>
                <w:color w:val="auto"/>
              </w:rPr>
            </w:pPr>
          </w:p>
        </w:tc>
        <w:tc>
          <w:tcPr>
            <w:tcW w:w="2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48,186</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48,630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Concessions 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24,373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27,670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26,119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ind w:left="60"/>
              <w:spacing w:after="0" w:line="173" w:lineRule="exact"/>
              <w:rPr>
                <w:sz w:val="20"/>
                <w:szCs w:val="20"/>
                <w:color w:val="auto"/>
              </w:rPr>
            </w:pPr>
            <w:r>
              <w:rPr>
                <w:rFonts w:ascii="Arial" w:cs="Arial" w:eastAsia="Arial" w:hAnsi="Arial"/>
                <w:sz w:val="16"/>
                <w:szCs w:val="16"/>
                <w:color w:val="auto"/>
              </w:rPr>
              <w:t>Advertising and other revenue</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5,949</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6,176</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5,276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80" w:type="dxa"/>
            <w:vAlign w:val="bottom"/>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77,736</w:t>
            </w:r>
          </w:p>
        </w:tc>
        <w:tc>
          <w:tcPr>
            <w:tcW w:w="180" w:type="dxa"/>
            <w:vAlign w:val="bottom"/>
            <w:gridSpan w:val="2"/>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82,032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80,025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New Zealand</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Admissions revenue</w:t>
            </w:r>
          </w:p>
        </w:tc>
        <w:tc>
          <w:tcPr>
            <w:tcW w:w="20" w:type="dxa"/>
            <w:vAlign w:val="bottom"/>
            <w:vMerge w:val="continue"/>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7,256</w:t>
            </w:r>
          </w:p>
        </w:tc>
        <w:tc>
          <w:tcPr>
            <w:tcW w:w="20" w:type="dxa"/>
            <w:vAlign w:val="bottom"/>
            <w:vMerge w:val="continue"/>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7,663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Concessions revenue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3,541</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4,375</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ind w:left="60"/>
              <w:spacing w:after="0" w:line="173" w:lineRule="exact"/>
              <w:rPr>
                <w:sz w:val="20"/>
                <w:szCs w:val="20"/>
                <w:color w:val="auto"/>
              </w:rPr>
            </w:pPr>
            <w:r>
              <w:rPr>
                <w:rFonts w:ascii="Arial" w:cs="Arial" w:eastAsia="Arial" w:hAnsi="Arial"/>
                <w:sz w:val="16"/>
                <w:szCs w:val="16"/>
                <w:color w:val="auto"/>
              </w:rPr>
              <w:t>Advertising and other revenue</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582</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1,122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11,379</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13,160</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13,818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ind w:left="260"/>
              <w:spacing w:after="0" w:line="173" w:lineRule="exact"/>
              <w:rPr>
                <w:sz w:val="20"/>
                <w:szCs w:val="20"/>
                <w:color w:val="auto"/>
              </w:rPr>
            </w:pPr>
            <w:r>
              <w:rPr>
                <w:rFonts w:ascii="Arial" w:cs="Arial" w:eastAsia="Arial" w:hAnsi="Arial"/>
                <w:sz w:val="16"/>
                <w:szCs w:val="16"/>
                <w:b w:val="1"/>
                <w:bCs w:val="1"/>
                <w:color w:val="auto"/>
              </w:rPr>
              <w:t>Total revenue</w:t>
            </w:r>
          </w:p>
        </w:tc>
        <w:tc>
          <w:tcPr>
            <w:tcW w:w="27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188,603</w:t>
            </w:r>
          </w:p>
        </w:tc>
        <w:tc>
          <w:tcPr>
            <w:tcW w:w="2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195,130</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207,641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w:t>
            </w:r>
          </w:p>
        </w:tc>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United States</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Film rent and advertising cost</w:t>
            </w:r>
          </w:p>
        </w:tc>
        <w:tc>
          <w:tcPr>
            <w:tcW w:w="20" w:type="dxa"/>
            <w:vAlign w:val="bottom"/>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(28,971)</w:t>
            </w:r>
          </w:p>
        </w:tc>
        <w:tc>
          <w:tcPr>
            <w:tcW w:w="20" w:type="dxa"/>
            <w:vAlign w:val="bottom"/>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(30,315)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(34,182)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Food &amp; beverage cost</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(9,108)</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(9,071)</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Occupancy expense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(16,962)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(22,516)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(25,090)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Labor cost</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(16,482)</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(17,323)</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(17,397)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Utilities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(5,413)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(5,973)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(6,856)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Cleaning and maintenance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(6,670)</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(6,664)</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(8,155)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ind w:left="60"/>
              <w:spacing w:after="0" w:line="173" w:lineRule="exact"/>
              <w:rPr>
                <w:sz w:val="20"/>
                <w:szCs w:val="20"/>
                <w:color w:val="auto"/>
              </w:rPr>
            </w:pPr>
            <w:r>
              <w:rPr>
                <w:rFonts w:ascii="Arial" w:cs="Arial" w:eastAsia="Arial" w:hAnsi="Arial"/>
                <w:sz w:val="16"/>
                <w:szCs w:val="16"/>
                <w:color w:val="auto"/>
              </w:rPr>
              <w:t>Other operating expenses</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(8,665)</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(7,948)</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(9,459)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(92,271)</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(99,810)</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(111,209)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ind w:left="260"/>
              <w:spacing w:after="0" w:line="173" w:lineRule="exact"/>
              <w:rPr>
                <w:sz w:val="20"/>
                <w:szCs w:val="20"/>
                <w:color w:val="auto"/>
              </w:rPr>
            </w:pPr>
            <w:r>
              <w:rPr>
                <w:rFonts w:ascii="Arial" w:cs="Arial" w:eastAsia="Arial" w:hAnsi="Arial"/>
                <w:sz w:val="16"/>
                <w:szCs w:val="16"/>
                <w:b w:val="1"/>
                <w:bCs w:val="1"/>
                <w:color w:val="auto"/>
              </w:rPr>
              <w:t>Australia</w:t>
            </w: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Film rent and advertising cost</w:t>
            </w:r>
          </w:p>
        </w:tc>
        <w:tc>
          <w:tcPr>
            <w:tcW w:w="20" w:type="dxa"/>
            <w:vAlign w:val="bottom"/>
            <w:vMerge w:val="continue"/>
          </w:tcPr>
          <w:p>
            <w:pPr>
              <w:spacing w:after="0"/>
              <w:rPr>
                <w:sz w:val="15"/>
                <w:szCs w:val="15"/>
                <w:color w:val="auto"/>
              </w:rPr>
            </w:pPr>
          </w:p>
        </w:tc>
        <w:tc>
          <w:tcPr>
            <w:tcW w:w="540" w:type="dxa"/>
            <w:vAlign w:val="bottom"/>
            <w:gridSpan w:val="2"/>
            <w:shd w:val="clear" w:color="auto" w:fill="CCEEFF"/>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(21,081)</w:t>
            </w:r>
          </w:p>
        </w:tc>
        <w:tc>
          <w:tcPr>
            <w:tcW w:w="20" w:type="dxa"/>
            <w:vAlign w:val="bottom"/>
            <w:vMerge w:val="continue"/>
          </w:tcPr>
          <w:p>
            <w:pPr>
              <w:spacing w:after="0"/>
              <w:rPr>
                <w:sz w:val="15"/>
                <w:szCs w:val="15"/>
                <w:color w:val="auto"/>
              </w:rPr>
            </w:pPr>
          </w:p>
        </w:tc>
        <w:tc>
          <w:tcPr>
            <w:tcW w:w="2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(22,124)</w:t>
            </w:r>
          </w:p>
        </w:tc>
        <w:tc>
          <w:tcPr>
            <w:tcW w:w="20" w:type="dxa"/>
            <w:vAlign w:val="bottom"/>
            <w:vMerge w:val="continue"/>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(21,814)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Food &amp; beverage cost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(5,290)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(6,141)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Occupancy expense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(17,708)</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(18,086)</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(17,207)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Labor cost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(13,613)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(14,040)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(13,243)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Utilities</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(3,207)</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(2,861)</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Cleaning and maintenance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(4,614)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(5,069)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(4,696)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ind w:left="60"/>
              <w:spacing w:after="0" w:line="173" w:lineRule="exact"/>
              <w:rPr>
                <w:sz w:val="20"/>
                <w:szCs w:val="20"/>
                <w:color w:val="auto"/>
              </w:rPr>
            </w:pPr>
            <w:r>
              <w:rPr>
                <w:rFonts w:ascii="Arial" w:cs="Arial" w:eastAsia="Arial" w:hAnsi="Arial"/>
                <w:sz w:val="16"/>
                <w:szCs w:val="16"/>
                <w:color w:val="auto"/>
              </w:rPr>
              <w:t>Other operating expenses</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(3,342)</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(3,597)</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80" w:type="dxa"/>
            <w:vAlign w:val="bottom"/>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(68,855)</w:t>
            </w:r>
          </w:p>
        </w:tc>
        <w:tc>
          <w:tcPr>
            <w:tcW w:w="180" w:type="dxa"/>
            <w:vAlign w:val="bottom"/>
            <w:gridSpan w:val="2"/>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20"/>
              <w:spacing w:after="0" w:line="153" w:lineRule="exact"/>
              <w:rPr>
                <w:sz w:val="20"/>
                <w:szCs w:val="20"/>
                <w:color w:val="auto"/>
              </w:rPr>
            </w:pPr>
            <w:r>
              <w:rPr>
                <w:rFonts w:ascii="Arial" w:cs="Arial" w:eastAsia="Arial" w:hAnsi="Arial"/>
                <w:sz w:val="16"/>
                <w:szCs w:val="16"/>
                <w:b w:val="1"/>
                <w:bCs w:val="1"/>
                <w:color w:val="auto"/>
              </w:rPr>
              <w:t>(71,918)</w:t>
            </w:r>
          </w:p>
        </w:tc>
        <w:tc>
          <w:tcPr>
            <w:tcW w:w="16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(68,427)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New Zealand</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Film rent and advertising cost</w:t>
            </w:r>
          </w:p>
        </w:tc>
        <w:tc>
          <w:tcPr>
            <w:tcW w:w="20" w:type="dxa"/>
            <w:vAlign w:val="bottom"/>
            <w:vMerge w:val="continue"/>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(3,313)</w:t>
            </w:r>
          </w:p>
        </w:tc>
        <w:tc>
          <w:tcPr>
            <w:tcW w:w="20" w:type="dxa"/>
            <w:vAlign w:val="bottom"/>
            <w:vMerge w:val="continue"/>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(3,474)</w:t>
            </w: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Food &amp; beverage cost</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(733)</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(947)</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Occupancy expense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(2,883)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(3,106)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Labor cost</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(2,115)</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(2,385)</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Utilities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(501)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(394)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Cleaning and maintenance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(759)</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(886)</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ind w:left="60"/>
              <w:spacing w:after="0" w:line="173" w:lineRule="exact"/>
              <w:rPr>
                <w:sz w:val="20"/>
                <w:szCs w:val="20"/>
                <w:color w:val="auto"/>
              </w:rPr>
            </w:pPr>
            <w:r>
              <w:rPr>
                <w:rFonts w:ascii="Arial" w:cs="Arial" w:eastAsia="Arial" w:hAnsi="Arial"/>
                <w:sz w:val="16"/>
                <w:szCs w:val="16"/>
                <w:color w:val="auto"/>
              </w:rPr>
              <w:t>Other operating expenses</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(934)</w:t>
            </w:r>
          </w:p>
        </w:tc>
        <w:tc>
          <w:tcPr>
            <w:tcW w:w="20" w:type="dxa"/>
            <w:vAlign w:val="bottom"/>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(1,066)</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(11,238)</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(12,258)</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(12,549)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Total operating expense</w:t>
            </w:r>
          </w:p>
        </w:tc>
        <w:tc>
          <w:tcPr>
            <w:tcW w:w="2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(172,364)</w:t>
            </w:r>
          </w:p>
        </w:tc>
        <w:tc>
          <w:tcPr>
            <w:tcW w:w="20" w:type="dxa"/>
            <w:vAlign w:val="bottom"/>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(183,986)</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(192,185)</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DEPRECIATION, AMORTIZATION, GENERAL AND</w:t>
            </w:r>
          </w:p>
        </w:tc>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ADMINISTRATIVE EXPENSE</w:t>
            </w: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United States</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(4,403)</w:t>
            </w:r>
          </w:p>
        </w:tc>
        <w:tc>
          <w:tcPr>
            <w:tcW w:w="20" w:type="dxa"/>
            <w:vAlign w:val="bottom"/>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(5,011)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ind w:left="60"/>
              <w:spacing w:after="0" w:line="173" w:lineRule="exact"/>
              <w:rPr>
                <w:sz w:val="20"/>
                <w:szCs w:val="20"/>
                <w:color w:val="auto"/>
              </w:rPr>
            </w:pPr>
            <w:r>
              <w:rPr>
                <w:rFonts w:ascii="Arial" w:cs="Arial" w:eastAsia="Arial" w:hAnsi="Arial"/>
                <w:sz w:val="16"/>
                <w:szCs w:val="16"/>
                <w:color w:val="auto"/>
              </w:rPr>
              <w:t>General and administrative expense</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(2,594)</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(2,368)</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80" w:type="dxa"/>
            <w:vAlign w:val="bottom"/>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(6,997)</w:t>
            </w:r>
          </w:p>
        </w:tc>
        <w:tc>
          <w:tcPr>
            <w:tcW w:w="180" w:type="dxa"/>
            <w:vAlign w:val="bottom"/>
            <w:gridSpan w:val="2"/>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20"/>
              <w:spacing w:after="0" w:line="153" w:lineRule="exact"/>
              <w:rPr>
                <w:sz w:val="20"/>
                <w:szCs w:val="20"/>
                <w:color w:val="auto"/>
              </w:rPr>
            </w:pPr>
            <w:r>
              <w:rPr>
                <w:rFonts w:ascii="Arial" w:cs="Arial" w:eastAsia="Arial" w:hAnsi="Arial"/>
                <w:sz w:val="16"/>
                <w:szCs w:val="16"/>
                <w:b w:val="1"/>
                <w:bCs w:val="1"/>
                <w:color w:val="auto"/>
              </w:rPr>
              <w:t>(7,379)</w:t>
            </w:r>
          </w:p>
        </w:tc>
        <w:tc>
          <w:tcPr>
            <w:tcW w:w="16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(8,413)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Australia</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Depreciation and amortization</w:t>
            </w:r>
          </w:p>
        </w:tc>
        <w:tc>
          <w:tcPr>
            <w:tcW w:w="20" w:type="dxa"/>
            <w:vAlign w:val="bottom"/>
            <w:vMerge w:val="continue"/>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(3,623)</w:t>
            </w:r>
          </w:p>
        </w:tc>
        <w:tc>
          <w:tcPr>
            <w:tcW w:w="20" w:type="dxa"/>
            <w:vAlign w:val="bottom"/>
            <w:vMerge w:val="continue"/>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(4,763)</w:t>
            </w: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ind w:left="60"/>
              <w:spacing w:after="0" w:line="173" w:lineRule="exact"/>
              <w:rPr>
                <w:sz w:val="20"/>
                <w:szCs w:val="20"/>
                <w:color w:val="auto"/>
              </w:rPr>
            </w:pPr>
            <w:r>
              <w:rPr>
                <w:rFonts w:ascii="Arial" w:cs="Arial" w:eastAsia="Arial" w:hAnsi="Arial"/>
                <w:sz w:val="16"/>
                <w:szCs w:val="16"/>
                <w:color w:val="auto"/>
              </w:rPr>
              <w:t>General and administrative expense</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(1,355)</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(1,325)</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80" w:type="dxa"/>
            <w:vAlign w:val="bottom"/>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(4,978)</w:t>
            </w:r>
          </w:p>
        </w:tc>
        <w:tc>
          <w:tcPr>
            <w:tcW w:w="180" w:type="dxa"/>
            <w:vAlign w:val="bottom"/>
            <w:gridSpan w:val="2"/>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20"/>
              <w:spacing w:after="0" w:line="153" w:lineRule="exact"/>
              <w:rPr>
                <w:sz w:val="20"/>
                <w:szCs w:val="20"/>
                <w:color w:val="auto"/>
              </w:rPr>
            </w:pPr>
            <w:r>
              <w:rPr>
                <w:rFonts w:ascii="Arial" w:cs="Arial" w:eastAsia="Arial" w:hAnsi="Arial"/>
                <w:sz w:val="16"/>
                <w:szCs w:val="16"/>
                <w:b w:val="1"/>
                <w:bCs w:val="1"/>
                <w:color w:val="auto"/>
              </w:rPr>
              <w:t>(6,088)</w:t>
            </w:r>
          </w:p>
        </w:tc>
        <w:tc>
          <w:tcPr>
            <w:tcW w:w="16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(6,319)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New Zealand</w:t>
            </w:r>
          </w:p>
        </w:tc>
        <w:tc>
          <w:tcPr>
            <w:tcW w:w="2780" w:type="dxa"/>
            <w:vAlign w:val="bottom"/>
          </w:tcPr>
          <w:p>
            <w:pPr>
              <w:ind w:left="60"/>
              <w:spacing w:after="0" w:line="173" w:lineRule="exact"/>
              <w:rPr>
                <w:sz w:val="20"/>
                <w:szCs w:val="20"/>
                <w:color w:val="auto"/>
              </w:rPr>
            </w:pPr>
            <w:r>
              <w:rPr>
                <w:rFonts w:ascii="Arial" w:cs="Arial" w:eastAsia="Arial" w:hAnsi="Arial"/>
                <w:sz w:val="16"/>
                <w:szCs w:val="16"/>
                <w:color w:val="auto"/>
              </w:rPr>
              <w:t>Depreciation and amortization</w:t>
            </w:r>
          </w:p>
        </w:tc>
        <w:tc>
          <w:tcPr>
            <w:tcW w:w="20" w:type="dxa"/>
            <w:vAlign w:val="bottom"/>
            <w:vMerge w:val="continue"/>
          </w:tcPr>
          <w:p>
            <w:pPr>
              <w:spacing w:after="0"/>
              <w:rPr>
                <w:sz w:val="15"/>
                <w:szCs w:val="15"/>
                <w:color w:val="auto"/>
              </w:rPr>
            </w:pPr>
          </w:p>
        </w:tc>
        <w:tc>
          <w:tcPr>
            <w:tcW w:w="540" w:type="dxa"/>
            <w:vAlign w:val="bottom"/>
            <w:gridSpan w:val="2"/>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(432)</w:t>
            </w:r>
          </w:p>
        </w:tc>
        <w:tc>
          <w:tcPr>
            <w:tcW w:w="20" w:type="dxa"/>
            <w:vAlign w:val="bottom"/>
            <w:vMerge w:val="continue"/>
          </w:tcPr>
          <w:p>
            <w:pPr>
              <w:spacing w:after="0"/>
              <w:rPr>
                <w:sz w:val="15"/>
                <w:szCs w:val="15"/>
                <w:color w:val="auto"/>
              </w:rPr>
            </w:pPr>
          </w:p>
        </w:tc>
        <w:tc>
          <w:tcPr>
            <w:tcW w:w="2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(458)</w:t>
            </w: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ind w:left="60"/>
              <w:spacing w:after="0" w:line="173" w:lineRule="exact"/>
              <w:rPr>
                <w:sz w:val="20"/>
                <w:szCs w:val="20"/>
                <w:color w:val="auto"/>
              </w:rPr>
            </w:pPr>
            <w:r>
              <w:rPr>
                <w:rFonts w:ascii="Arial" w:cs="Arial" w:eastAsia="Arial" w:hAnsi="Arial"/>
                <w:sz w:val="16"/>
                <w:szCs w:val="16"/>
                <w:color w:val="auto"/>
              </w:rPr>
              <w:t>General and administrative expense</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(189)</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80" w:type="dxa"/>
            <w:vAlign w:val="bottom"/>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(621)</w:t>
            </w:r>
          </w:p>
        </w:tc>
        <w:tc>
          <w:tcPr>
            <w:tcW w:w="180" w:type="dxa"/>
            <w:vAlign w:val="bottom"/>
            <w:gridSpan w:val="2"/>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20"/>
              <w:spacing w:after="0" w:line="153" w:lineRule="exact"/>
              <w:rPr>
                <w:sz w:val="20"/>
                <w:szCs w:val="20"/>
                <w:color w:val="auto"/>
              </w:rPr>
            </w:pPr>
            <w:r>
              <w:rPr>
                <w:rFonts w:ascii="Arial" w:cs="Arial" w:eastAsia="Arial" w:hAnsi="Arial"/>
                <w:sz w:val="16"/>
                <w:szCs w:val="16"/>
                <w:b w:val="1"/>
                <w:bCs w:val="1"/>
                <w:color w:val="auto"/>
              </w:rPr>
              <w:t>(474)</w:t>
            </w:r>
          </w:p>
        </w:tc>
        <w:tc>
          <w:tcPr>
            <w:tcW w:w="16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(600)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gridSpan w:val="2"/>
          </w:tcPr>
          <w:p>
            <w:pPr>
              <w:ind w:left="260"/>
              <w:spacing w:after="0" w:line="171" w:lineRule="exact"/>
              <w:rPr>
                <w:sz w:val="20"/>
                <w:szCs w:val="20"/>
                <w:color w:val="auto"/>
              </w:rPr>
            </w:pPr>
            <w:r>
              <w:rPr>
                <w:rFonts w:ascii="Arial" w:cs="Arial" w:eastAsia="Arial" w:hAnsi="Arial"/>
                <w:sz w:val="16"/>
                <w:szCs w:val="16"/>
                <w:b w:val="1"/>
                <w:bCs w:val="1"/>
                <w:color w:val="auto"/>
              </w:rPr>
              <w:t>Total depreciation, amortization, general and</w:t>
            </w:r>
          </w:p>
        </w:tc>
        <w:tc>
          <w:tcPr>
            <w:tcW w:w="560" w:type="dxa"/>
            <w:vAlign w:val="bottom"/>
            <w:gridSpan w:val="3"/>
            <w:vMerge w:val="restart"/>
          </w:tcPr>
          <w:p>
            <w:pPr>
              <w:jc w:val="right"/>
              <w:ind w:right="225"/>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(12,596)</w:t>
            </w:r>
          </w:p>
        </w:tc>
        <w:tc>
          <w:tcPr>
            <w:tcW w:w="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(13,941)</w:t>
            </w:r>
          </w:p>
        </w:tc>
        <w:tc>
          <w:tcPr>
            <w:tcW w:w="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(15,332)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40" w:type="dxa"/>
            <w:vAlign w:val="bottom"/>
            <w:gridSpan w:val="2"/>
          </w:tcPr>
          <w:p>
            <w:pPr>
              <w:ind w:left="260"/>
              <w:spacing w:after="0" w:line="160" w:lineRule="exact"/>
              <w:rPr>
                <w:sz w:val="20"/>
                <w:szCs w:val="20"/>
                <w:color w:val="auto"/>
              </w:rPr>
            </w:pPr>
            <w:r>
              <w:rPr>
                <w:rFonts w:ascii="Arial" w:cs="Arial" w:eastAsia="Arial" w:hAnsi="Arial"/>
                <w:sz w:val="16"/>
                <w:szCs w:val="16"/>
                <w:b w:val="1"/>
                <w:bCs w:val="1"/>
                <w:color w:val="auto"/>
              </w:rPr>
              <w:t>administrative expense</w:t>
            </w:r>
          </w:p>
        </w:tc>
        <w:tc>
          <w:tcPr>
            <w:tcW w:w="56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2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OPERATING INCOME (LOSS) - CINEMA</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shd w:val="clear" w:color="auto" w:fill="CCEEFF"/>
          </w:tcPr>
          <w:p>
            <w:pPr>
              <w:ind w:left="260"/>
              <w:spacing w:after="0" w:line="173" w:lineRule="exact"/>
              <w:rPr>
                <w:sz w:val="20"/>
                <w:szCs w:val="20"/>
                <w:color w:val="auto"/>
              </w:rPr>
            </w:pPr>
            <w:r>
              <w:rPr>
                <w:rFonts w:ascii="Arial" w:cs="Arial" w:eastAsia="Arial" w:hAnsi="Arial"/>
                <w:sz w:val="16"/>
                <w:szCs w:val="16"/>
                <w:b w:val="1"/>
                <w:bCs w:val="1"/>
                <w:color w:val="auto"/>
              </w:rPr>
              <w:t>United States</w:t>
            </w:r>
          </w:p>
        </w:tc>
        <w:tc>
          <w:tcPr>
            <w:tcW w:w="2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shd w:val="clear" w:color="auto" w:fill="CCEEFF"/>
          </w:tcPr>
          <w:p>
            <w:pPr>
              <w:jc w:val="right"/>
              <w:ind w:right="225"/>
              <w:spacing w:after="0" w:line="17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220</w:t>
            </w:r>
          </w:p>
        </w:tc>
        <w:tc>
          <w:tcPr>
            <w:tcW w:w="20" w:type="dxa"/>
            <w:vAlign w:val="bottom"/>
          </w:tcPr>
          <w:p>
            <w:pPr>
              <w:spacing w:after="0"/>
              <w:rPr>
                <w:sz w:val="15"/>
                <w:szCs w:val="15"/>
                <w:color w:val="auto"/>
              </w:rPr>
            </w:pPr>
          </w:p>
        </w:tc>
        <w:tc>
          <w:tcPr>
            <w:tcW w:w="2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(7,251)</w:t>
            </w:r>
          </w:p>
        </w:tc>
        <w:tc>
          <w:tcPr>
            <w:tcW w:w="20" w:type="dxa"/>
            <w:vAlign w:val="bottom"/>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(5,824)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Australia</w:t>
            </w: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3,903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4,026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bottom w:val="single" w:sz="8" w:color="CCEEFF"/>
            </w:tcBorders>
            <w:shd w:val="clear" w:color="auto" w:fill="CCEEFF"/>
          </w:tcPr>
          <w:p>
            <w:pPr>
              <w:ind w:left="260"/>
              <w:spacing w:after="0" w:line="173" w:lineRule="exact"/>
              <w:rPr>
                <w:sz w:val="20"/>
                <w:szCs w:val="20"/>
                <w:color w:val="auto"/>
              </w:rPr>
            </w:pPr>
            <w:r>
              <w:rPr>
                <w:rFonts w:ascii="Arial" w:cs="Arial" w:eastAsia="Arial" w:hAnsi="Arial"/>
                <w:sz w:val="16"/>
                <w:szCs w:val="16"/>
                <w:b w:val="1"/>
                <w:bCs w:val="1"/>
                <w:color w:val="auto"/>
              </w:rPr>
              <w:t>New Zealand</w:t>
            </w:r>
          </w:p>
        </w:tc>
        <w:tc>
          <w:tcPr>
            <w:tcW w:w="27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(480)</w:t>
            </w:r>
          </w:p>
        </w:tc>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428</w:t>
            </w:r>
          </w:p>
        </w:tc>
        <w:tc>
          <w:tcPr>
            <w:tcW w:w="20" w:type="dxa"/>
            <w:vAlign w:val="bottom"/>
            <w:tcBorders>
              <w:bottom w:val="single" w:sz="8" w:color="auto"/>
            </w:tcBorders>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gridSpan w:val="2"/>
          </w:tcPr>
          <w:p>
            <w:pPr>
              <w:ind w:left="260"/>
              <w:spacing w:after="0" w:line="153" w:lineRule="exact"/>
              <w:rPr>
                <w:sz w:val="20"/>
                <w:szCs w:val="20"/>
                <w:color w:val="auto"/>
              </w:rPr>
            </w:pPr>
            <w:r>
              <w:rPr>
                <w:rFonts w:ascii="Arial" w:cs="Arial" w:eastAsia="Arial" w:hAnsi="Arial"/>
                <w:sz w:val="16"/>
                <w:szCs w:val="16"/>
                <w:b w:val="1"/>
                <w:bCs w:val="1"/>
                <w:color w:val="auto"/>
              </w:rPr>
              <w:t>Total Cinema operating income (loss)</w:t>
            </w:r>
          </w:p>
        </w:tc>
        <w:tc>
          <w:tcPr>
            <w:tcW w:w="180" w:type="dxa"/>
            <w:vAlign w:val="bottom"/>
            <w:gridSpan w:val="2"/>
          </w:tcPr>
          <w:p>
            <w:pPr>
              <w:spacing w:after="0"/>
              <w:rPr>
                <w:sz w:val="13"/>
                <w:szCs w:val="13"/>
                <w:color w:val="auto"/>
              </w:rPr>
            </w:pPr>
          </w:p>
        </w:tc>
        <w:tc>
          <w:tcPr>
            <w:tcW w:w="380" w:type="dxa"/>
            <w:vAlign w:val="bottom"/>
            <w:tcBorders>
              <w:bottom w:val="single" w:sz="8" w:color="auto"/>
            </w:tcBorders>
          </w:tcPr>
          <w:p>
            <w:pPr>
              <w:jc w:val="right"/>
              <w:ind w:right="225"/>
              <w:spacing w:after="0" w:line="153"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3,643</w:t>
            </w:r>
          </w:p>
        </w:tc>
        <w:tc>
          <w:tcPr>
            <w:tcW w:w="180" w:type="dxa"/>
            <w:vAlign w:val="bottom"/>
            <w:gridSpan w:val="2"/>
          </w:tcPr>
          <w:p>
            <w:pPr>
              <w:spacing w:after="0"/>
              <w:rPr>
                <w:sz w:val="13"/>
                <w:szCs w:val="13"/>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gridSpan w:val="2"/>
          </w:tcPr>
          <w:p>
            <w:pPr>
              <w:jc w:val="right"/>
              <w:ind w:right="20"/>
              <w:spacing w:after="0" w:line="153" w:lineRule="exact"/>
              <w:rPr>
                <w:sz w:val="20"/>
                <w:szCs w:val="20"/>
                <w:color w:val="auto"/>
              </w:rPr>
            </w:pPr>
            <w:r>
              <w:rPr>
                <w:rFonts w:ascii="Arial" w:cs="Arial" w:eastAsia="Arial" w:hAnsi="Arial"/>
                <w:sz w:val="16"/>
                <w:szCs w:val="16"/>
                <w:b w:val="1"/>
                <w:bCs w:val="1"/>
                <w:color w:val="auto"/>
              </w:rPr>
              <w:t>(2,797)</w:t>
            </w:r>
          </w:p>
        </w:tc>
        <w:tc>
          <w:tcPr>
            <w:tcW w:w="160" w:type="dxa"/>
            <w:vAlign w:val="bottom"/>
          </w:tcPr>
          <w:p>
            <w:pPr>
              <w:spacing w:after="0"/>
              <w:rPr>
                <w:sz w:val="13"/>
                <w:szCs w:val="13"/>
                <w:color w:val="auto"/>
              </w:rPr>
            </w:pPr>
          </w:p>
        </w:tc>
        <w:tc>
          <w:tcPr>
            <w:tcW w:w="12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2814320</wp:posOffset>
                </wp:positionH>
                <wp:positionV relativeFrom="paragraph">
                  <wp:posOffset>15875</wp:posOffset>
                </wp:positionV>
                <wp:extent cx="84264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6pt,1.25pt" to="287.95pt,1.2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3770630</wp:posOffset>
                </wp:positionH>
                <wp:positionV relativeFrom="paragraph">
                  <wp:posOffset>15875</wp:posOffset>
                </wp:positionV>
                <wp:extent cx="103949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949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9pt,1.25pt" to="378.75pt,1.2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4923790</wp:posOffset>
                </wp:positionH>
                <wp:positionV relativeFrom="paragraph">
                  <wp:posOffset>15875</wp:posOffset>
                </wp:positionV>
                <wp:extent cx="103949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949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pt,1.25pt" to="469.55pt,1.25pt" o:allowincell="f" strokecolor="#000000" strokeweight="0.8333pt"/>
            </w:pict>
          </mc:Fallback>
        </mc:AlternateConten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19</w:t>
      </w:r>
    </w:p>
    <w:p>
      <w:pPr>
        <w:sectPr>
          <w:pgSz w:w="11900" w:h="16838" w:orient="portrait"/>
          <w:cols w:equalWidth="0" w:num="1">
            <w:col w:w="9400"/>
          </w:cols>
          <w:pgMar w:left="1260" w:top="1347" w:right="1246" w:bottom="0" w:gutter="0" w:footer="0" w:header="0"/>
          <w:type w:val="continuous"/>
        </w:sectPr>
      </w:pPr>
    </w:p>
    <w:bookmarkStart w:id="110" w:name="page111"/>
    <w:bookmarkEnd w:id="110"/>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real estate segment revenue to segment operating income for the financial years ended</w:t>
      </w:r>
    </w:p>
    <w:p>
      <w:pPr>
        <w:spacing w:after="0" w:line="229" w:lineRule="auto"/>
        <w:rPr>
          <w:sz w:val="20"/>
          <w:szCs w:val="20"/>
          <w:color w:val="auto"/>
        </w:rPr>
      </w:pPr>
      <w:r>
        <w:rPr>
          <w:rFonts w:ascii="Arial" w:cs="Arial" w:eastAsia="Arial" w:hAnsi="Arial"/>
          <w:sz w:val="20"/>
          <w:szCs w:val="20"/>
          <w:color w:val="auto"/>
        </w:rPr>
        <w:t>December 31, 2025, 2024 and 2023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Year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20"/>
              <w:spacing w:after="0" w:line="171" w:lineRule="exact"/>
              <w:rPr>
                <w:sz w:val="20"/>
                <w:szCs w:val="20"/>
                <w:color w:val="auto"/>
              </w:rPr>
            </w:pPr>
            <w:r>
              <w:rPr>
                <w:rFonts w:ascii="Arial" w:cs="Arial" w:eastAsia="Arial" w:hAnsi="Arial"/>
                <w:sz w:val="16"/>
                <w:szCs w:val="16"/>
                <w:b w:val="1"/>
                <w:bCs w:val="1"/>
                <w:color w:val="auto"/>
                <w:w w:val="92"/>
              </w:rPr>
              <w:t>December 31,</w:t>
            </w:r>
          </w:p>
        </w:tc>
        <w:tc>
          <w:tcPr>
            <w:tcW w:w="220" w:type="dxa"/>
            <w:vAlign w:val="bottom"/>
          </w:tcPr>
          <w:p>
            <w:pPr>
              <w:spacing w:after="0"/>
              <w:rPr>
                <w:sz w:val="14"/>
                <w:szCs w:val="14"/>
                <w:color w:val="auto"/>
              </w:rPr>
            </w:pPr>
          </w:p>
        </w:tc>
        <w:tc>
          <w:tcPr>
            <w:tcW w:w="1280" w:type="dxa"/>
            <w:vAlign w:val="bottom"/>
            <w:gridSpan w:val="5"/>
          </w:tcPr>
          <w:p>
            <w:pPr>
              <w:ind w:left="40"/>
              <w:spacing w:after="0" w:line="171" w:lineRule="exact"/>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line="17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5"/>
        </w:trPr>
        <w:tc>
          <w:tcPr>
            <w:tcW w:w="1740" w:type="dxa"/>
            <w:vAlign w:val="bottom"/>
            <w:tcBorders>
              <w:bottom w:val="single" w:sz="8" w:color="auto"/>
            </w:tcBorders>
            <w:gridSpan w:val="2"/>
          </w:tcPr>
          <w:p>
            <w:pPr>
              <w:spacing w:after="0" w:line="175" w:lineRule="exact"/>
              <w:rPr>
                <w:sz w:val="20"/>
                <w:szCs w:val="20"/>
                <w:color w:val="auto"/>
              </w:rPr>
            </w:pPr>
            <w:r>
              <w:rPr>
                <w:rFonts w:ascii="Arial" w:cs="Arial" w:eastAsia="Arial" w:hAnsi="Arial"/>
                <w:sz w:val="16"/>
                <w:szCs w:val="16"/>
                <w:color w:val="auto"/>
              </w:rPr>
              <w:t>(Dollars in thousands)</w:t>
            </w:r>
          </w:p>
        </w:tc>
        <w:tc>
          <w:tcPr>
            <w:tcW w:w="3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00"/>
              <w:spacing w:after="0" w:line="175"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00"/>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REVENUE</w:t>
            </w: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United States</w:t>
            </w:r>
          </w:p>
        </w:tc>
        <w:tc>
          <w:tcPr>
            <w:tcW w:w="3860" w:type="dxa"/>
            <w:vAlign w:val="bottom"/>
            <w:gridSpan w:val="2"/>
          </w:tcPr>
          <w:p>
            <w:pPr>
              <w:spacing w:after="0" w:line="173" w:lineRule="exact"/>
              <w:rPr>
                <w:sz w:val="20"/>
                <w:szCs w:val="20"/>
                <w:color w:val="auto"/>
              </w:rPr>
            </w:pPr>
            <w:r>
              <w:rPr>
                <w:rFonts w:ascii="Arial" w:cs="Arial" w:eastAsia="Arial" w:hAnsi="Arial"/>
                <w:sz w:val="16"/>
                <w:szCs w:val="16"/>
                <w:color w:val="auto"/>
              </w:rPr>
              <w:t>Live theater rental and ancillary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2,638</w:t>
            </w:r>
          </w:p>
        </w:tc>
        <w:tc>
          <w:tcPr>
            <w:tcW w:w="420" w:type="dxa"/>
            <w:vAlign w:val="bottom"/>
            <w:gridSpan w:val="2"/>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Property rental income</w:t>
            </w:r>
          </w:p>
        </w:tc>
        <w:tc>
          <w:tcPr>
            <w:tcW w:w="2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4,243</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4,221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rPr>
              <w:t>6,881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rPr>
              <w:t>6,245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b w:val="1"/>
                <w:bCs w:val="1"/>
                <w:color w:val="auto"/>
              </w:rPr>
              <w:t>6,198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Australia</w:t>
            </w:r>
          </w:p>
        </w:tc>
        <w:tc>
          <w:tcPr>
            <w:tcW w:w="38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Property rental income</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10,659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12,341</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Borders>
              <w:bottom w:val="single" w:sz="8" w:color="CCEEFF"/>
            </w:tcBorders>
          </w:tcPr>
          <w:p>
            <w:pPr>
              <w:ind w:left="300"/>
              <w:spacing w:after="0" w:line="173" w:lineRule="exact"/>
              <w:rPr>
                <w:sz w:val="20"/>
                <w:szCs w:val="20"/>
                <w:color w:val="auto"/>
              </w:rPr>
            </w:pPr>
            <w:r>
              <w:rPr>
                <w:rFonts w:ascii="Arial" w:cs="Arial" w:eastAsia="Arial" w:hAnsi="Arial"/>
                <w:sz w:val="16"/>
                <w:szCs w:val="16"/>
                <w:b w:val="1"/>
                <w:bCs w:val="1"/>
                <w:color w:val="auto"/>
              </w:rPr>
              <w:t>New Zealand</w:t>
            </w:r>
          </w:p>
        </w:tc>
        <w:tc>
          <w:tcPr>
            <w:tcW w:w="3860" w:type="dxa"/>
            <w:vAlign w:val="bottom"/>
            <w:tcBorders>
              <w:bottom w:val="single" w:sz="8" w:color="CCEEFF"/>
            </w:tcBorders>
            <w:gridSpan w:val="2"/>
          </w:tcPr>
          <w:p>
            <w:pPr>
              <w:spacing w:after="0" w:line="173" w:lineRule="exact"/>
              <w:rPr>
                <w:sz w:val="20"/>
                <w:szCs w:val="20"/>
                <w:color w:val="auto"/>
              </w:rPr>
            </w:pPr>
            <w:r>
              <w:rPr>
                <w:rFonts w:ascii="Arial" w:cs="Arial" w:eastAsia="Arial" w:hAnsi="Arial"/>
                <w:sz w:val="16"/>
                <w:szCs w:val="16"/>
                <w:color w:val="auto"/>
              </w:rPr>
              <w:t>Property rental income</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881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1,420</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20" w:type="dxa"/>
            <w:vAlign w:val="bottom"/>
            <w:tcBorders>
              <w:bottom w:val="single" w:sz="8" w:color="CCEEFF"/>
            </w:tcBorders>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Total revenue</w:t>
            </w:r>
          </w:p>
        </w:tc>
        <w:tc>
          <w:tcPr>
            <w:tcW w:w="36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18,421</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20,006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19,870</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172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w w:val="97"/>
              </w:rPr>
              <w:t>OPERATING EXPENSE</w:t>
            </w: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United States</w:t>
            </w:r>
          </w:p>
        </w:tc>
        <w:tc>
          <w:tcPr>
            <w:tcW w:w="3860" w:type="dxa"/>
            <w:vAlign w:val="bottom"/>
            <w:gridSpan w:val="2"/>
          </w:tcPr>
          <w:p>
            <w:pPr>
              <w:spacing w:after="0"/>
              <w:rPr>
                <w:sz w:val="20"/>
                <w:szCs w:val="20"/>
                <w:color w:val="auto"/>
              </w:rPr>
            </w:pPr>
            <w:r>
              <w:rPr>
                <w:rFonts w:ascii="Arial" w:cs="Arial" w:eastAsia="Arial" w:hAnsi="Arial"/>
                <w:sz w:val="14"/>
                <w:szCs w:val="14"/>
                <w:color w:val="auto"/>
              </w:rPr>
              <w:t>Live theater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(1,048)</w:t>
            </w:r>
          </w:p>
        </w:tc>
        <w:tc>
          <w:tcPr>
            <w:tcW w:w="420" w:type="dxa"/>
            <w:vAlign w:val="bottom"/>
            <w:gridSpan w:val="2"/>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Occupancy expense</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(734)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(694)</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Utilities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(93)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(116)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Cleaning and maintenance</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(198)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(183)</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operating expenses</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(1,096)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(3,146)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(3,113)</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(3,145)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Australia</w:t>
            </w: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Occupancy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vMerge w:val="continue"/>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(1,829)</w:t>
            </w:r>
          </w:p>
        </w:tc>
        <w:tc>
          <w:tcPr>
            <w:tcW w:w="420" w:type="dxa"/>
            <w:vAlign w:val="bottom"/>
            <w:gridSpan w:val="2"/>
            <w:shd w:val="clear" w:color="auto" w:fill="CCEEFF"/>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(1,988)</w:t>
            </w:r>
          </w:p>
        </w:tc>
        <w:tc>
          <w:tcPr>
            <w:tcW w:w="20" w:type="dxa"/>
            <w:vAlign w:val="bottom"/>
            <w:vMerge w:val="continue"/>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Labor cost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(247)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Utilities</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Cleaning and maintenance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(853)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(983)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operating expenses</w:t>
            </w:r>
          </w:p>
        </w:tc>
        <w:tc>
          <w:tcPr>
            <w:tcW w:w="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(736)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(929)</w:t>
            </w:r>
          </w:p>
        </w:tc>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Borders>
              <w:top w:val="single" w:sz="8" w:color="CCEEFF"/>
            </w:tcBorders>
          </w:tcPr>
          <w:p>
            <w:pPr>
              <w:spacing w:after="0"/>
              <w:rPr>
                <w:sz w:val="13"/>
                <w:szCs w:val="13"/>
                <w:color w:val="auto"/>
              </w:rPr>
            </w:pPr>
          </w:p>
        </w:tc>
        <w:tc>
          <w:tcPr>
            <w:tcW w:w="36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jc w:val="right"/>
              <w:ind w:right="45"/>
              <w:spacing w:after="0" w:line="153"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6"/>
                <w:szCs w:val="16"/>
                <w:b w:val="1"/>
                <w:bCs w:val="1"/>
                <w:color w:val="auto"/>
              </w:rPr>
              <w:t>(3,723)</w:t>
            </w:r>
          </w:p>
        </w:tc>
        <w:tc>
          <w:tcPr>
            <w:tcW w:w="420" w:type="dxa"/>
            <w:vAlign w:val="bottom"/>
            <w:tcBorders>
              <w:top w:val="single" w:sz="8" w:color="CCEEFF"/>
            </w:tcBorders>
            <w:gridSpan w:val="2"/>
          </w:tcPr>
          <w:p>
            <w:pPr>
              <w:jc w:val="right"/>
              <w:ind w:right="45"/>
              <w:spacing w:after="0" w:line="153"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gridSpan w:val="3"/>
          </w:tcPr>
          <w:p>
            <w:pPr>
              <w:jc w:val="right"/>
              <w:ind w:right="20"/>
              <w:spacing w:after="0" w:line="153" w:lineRule="exact"/>
              <w:rPr>
                <w:sz w:val="20"/>
                <w:szCs w:val="20"/>
                <w:color w:val="auto"/>
              </w:rPr>
            </w:pPr>
            <w:r>
              <w:rPr>
                <w:rFonts w:ascii="Arial" w:cs="Arial" w:eastAsia="Arial" w:hAnsi="Arial"/>
                <w:sz w:val="16"/>
                <w:szCs w:val="16"/>
                <w:b w:val="1"/>
                <w:bCs w:val="1"/>
                <w:color w:val="auto"/>
              </w:rPr>
              <w:t>(4,219)</w:t>
            </w: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(4,066)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New Zealand</w:t>
            </w:r>
          </w:p>
        </w:tc>
        <w:tc>
          <w:tcPr>
            <w:tcW w:w="3860" w:type="dxa"/>
            <w:vAlign w:val="bottom"/>
            <w:gridSpan w:val="2"/>
          </w:tcPr>
          <w:p>
            <w:pPr>
              <w:spacing w:after="0"/>
              <w:rPr>
                <w:sz w:val="20"/>
                <w:szCs w:val="20"/>
                <w:color w:val="auto"/>
              </w:rPr>
            </w:pPr>
            <w:r>
              <w:rPr>
                <w:rFonts w:ascii="Arial" w:cs="Arial" w:eastAsia="Arial" w:hAnsi="Arial"/>
                <w:sz w:val="14"/>
                <w:szCs w:val="14"/>
                <w:color w:val="auto"/>
              </w:rPr>
              <w:t>Occupancy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(167)</w:t>
            </w:r>
          </w:p>
        </w:tc>
        <w:tc>
          <w:tcPr>
            <w:tcW w:w="420" w:type="dxa"/>
            <w:vAlign w:val="bottom"/>
            <w:gridSpan w:val="2"/>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(474)</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 cost</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Utilities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(62)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Cleaning and maintenance</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(44)</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Other operating expenses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(416)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(1,309)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(594)</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(1,911)</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(1,552)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tcBorders>
              <w:top w:val="single" w:sz="8" w:color="CCEEFF"/>
              <w:bottom w:val="single" w:sz="8" w:color="CCEEFF"/>
            </w:tcBorders>
            <w:gridSpan w:val="3"/>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Total operating expense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(7,463)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(9,243)</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(8,763)</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580" w:type="dxa"/>
            <w:vAlign w:val="bottom"/>
            <w:gridSpan w:val="3"/>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DEPRECIATION, AMORTIZATION, GENERAL AND ADMINISTRATIVE</w:t>
            </w:r>
          </w:p>
        </w:tc>
        <w:tc>
          <w:tcPr>
            <w:tcW w:w="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EXPENSE</w:t>
            </w: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United States</w:t>
            </w:r>
          </w:p>
        </w:tc>
        <w:tc>
          <w:tcPr>
            <w:tcW w:w="3860" w:type="dxa"/>
            <w:vAlign w:val="bottom"/>
            <w:gridSpan w:val="2"/>
          </w:tcPr>
          <w:p>
            <w:pPr>
              <w:spacing w:after="0" w:line="173"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(2,500)</w:t>
            </w:r>
          </w:p>
        </w:tc>
        <w:tc>
          <w:tcPr>
            <w:tcW w:w="420" w:type="dxa"/>
            <w:vAlign w:val="bottom"/>
            <w:gridSpan w:val="2"/>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(2,628)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(649)</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(866)</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(3,149)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20"/>
              <w:spacing w:after="0" w:line="153" w:lineRule="exact"/>
              <w:rPr>
                <w:sz w:val="20"/>
                <w:szCs w:val="20"/>
                <w:color w:val="auto"/>
              </w:rPr>
            </w:pPr>
            <w:r>
              <w:rPr>
                <w:rFonts w:ascii="Arial" w:cs="Arial" w:eastAsia="Arial" w:hAnsi="Arial"/>
                <w:sz w:val="16"/>
                <w:szCs w:val="16"/>
                <w:b w:val="1"/>
                <w:bCs w:val="1"/>
                <w:color w:val="auto"/>
              </w:rPr>
              <w:t>(3,494)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(3,804)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Australia</w:t>
            </w:r>
          </w:p>
        </w:tc>
        <w:tc>
          <w:tcPr>
            <w:tcW w:w="3860" w:type="dxa"/>
            <w:vAlign w:val="bottom"/>
            <w:gridSpan w:val="2"/>
          </w:tcPr>
          <w:p>
            <w:pPr>
              <w:spacing w:after="0" w:line="173"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(1,580)</w:t>
            </w:r>
          </w:p>
        </w:tc>
        <w:tc>
          <w:tcPr>
            <w:tcW w:w="420" w:type="dxa"/>
            <w:vAlign w:val="bottom"/>
            <w:gridSpan w:val="2"/>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(2,091)</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(58)</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(1,656)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20"/>
              <w:spacing w:after="0" w:line="153" w:lineRule="exact"/>
              <w:rPr>
                <w:sz w:val="20"/>
                <w:szCs w:val="20"/>
                <w:color w:val="auto"/>
              </w:rPr>
            </w:pPr>
            <w:r>
              <w:rPr>
                <w:rFonts w:ascii="Arial" w:cs="Arial" w:eastAsia="Arial" w:hAnsi="Arial"/>
                <w:sz w:val="16"/>
                <w:szCs w:val="16"/>
                <w:b w:val="1"/>
                <w:bCs w:val="1"/>
                <w:color w:val="auto"/>
              </w:rPr>
              <w:t>(2,149)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(2,754)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New Zealand</w:t>
            </w:r>
          </w:p>
        </w:tc>
        <w:tc>
          <w:tcPr>
            <w:tcW w:w="3860" w:type="dxa"/>
            <w:vAlign w:val="bottom"/>
            <w:gridSpan w:val="2"/>
          </w:tcPr>
          <w:p>
            <w:pPr>
              <w:spacing w:after="0" w:line="173"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(235)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(441)</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(236)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20"/>
              <w:spacing w:after="0" w:line="153" w:lineRule="exact"/>
              <w:rPr>
                <w:sz w:val="20"/>
                <w:szCs w:val="20"/>
                <w:color w:val="auto"/>
              </w:rPr>
            </w:pPr>
            <w:r>
              <w:rPr>
                <w:rFonts w:ascii="Arial" w:cs="Arial" w:eastAsia="Arial" w:hAnsi="Arial"/>
                <w:sz w:val="16"/>
                <w:szCs w:val="16"/>
                <w:b w:val="1"/>
                <w:bCs w:val="1"/>
                <w:color w:val="auto"/>
              </w:rPr>
              <w:t>(441)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53" w:lineRule="exact"/>
              <w:rPr>
                <w:sz w:val="20"/>
                <w:szCs w:val="20"/>
                <w:color w:val="auto"/>
              </w:rPr>
            </w:pPr>
            <w:r>
              <w:rPr>
                <w:rFonts w:ascii="Arial" w:cs="Arial" w:eastAsia="Arial" w:hAnsi="Arial"/>
                <w:sz w:val="16"/>
                <w:szCs w:val="16"/>
                <w:b w:val="1"/>
                <w:bCs w:val="1"/>
                <w:color w:val="auto"/>
              </w:rPr>
              <w:t>(758)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tcBorders>
              <w:bottom w:val="single" w:sz="8" w:color="CCEEFF"/>
            </w:tcBorders>
            <w:gridSpan w:val="3"/>
          </w:tcPr>
          <w:p>
            <w:pPr>
              <w:ind w:left="300"/>
              <w:spacing w:after="0" w:line="163" w:lineRule="exact"/>
              <w:rPr>
                <w:sz w:val="20"/>
                <w:szCs w:val="20"/>
                <w:color w:val="auto"/>
              </w:rPr>
            </w:pPr>
            <w:r>
              <w:rPr>
                <w:rFonts w:ascii="Arial" w:cs="Arial" w:eastAsia="Arial" w:hAnsi="Arial"/>
                <w:sz w:val="16"/>
                <w:szCs w:val="16"/>
                <w:b w:val="1"/>
                <w:bCs w:val="1"/>
                <w:color w:val="auto"/>
              </w:rPr>
              <w:t>Total depreciation, amortization, general and administrative expense</w:t>
            </w:r>
          </w:p>
        </w:tc>
        <w:tc>
          <w:tcPr>
            <w:tcW w:w="20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6"/>
                <w:szCs w:val="16"/>
                <w:b w:val="1"/>
                <w:bCs w:val="1"/>
                <w:color w:val="auto"/>
              </w:rPr>
              <w:t>(5,041)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gridSpan w:val="3"/>
          </w:tcPr>
          <w:p>
            <w:pPr>
              <w:jc w:val="right"/>
              <w:ind w:right="20"/>
              <w:spacing w:after="0" w:line="163" w:lineRule="exact"/>
              <w:rPr>
                <w:sz w:val="20"/>
                <w:szCs w:val="20"/>
                <w:color w:val="auto"/>
              </w:rPr>
            </w:pPr>
            <w:r>
              <w:rPr>
                <w:rFonts w:ascii="Arial" w:cs="Arial" w:eastAsia="Arial" w:hAnsi="Arial"/>
                <w:sz w:val="16"/>
                <w:szCs w:val="16"/>
                <w:b w:val="1"/>
                <w:bCs w:val="1"/>
                <w:color w:val="auto"/>
              </w:rPr>
              <w:t>(6,084)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6"/>
                <w:szCs w:val="16"/>
                <w:b w:val="1"/>
                <w:bCs w:val="1"/>
                <w:color w:val="auto"/>
              </w:rPr>
              <w:t>(7,316)</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580" w:type="dxa"/>
            <w:vAlign w:val="bottom"/>
            <w:gridSpan w:val="3"/>
          </w:tcPr>
          <w:p>
            <w:pPr>
              <w:spacing w:after="0" w:line="173" w:lineRule="exact"/>
              <w:rPr>
                <w:sz w:val="20"/>
                <w:szCs w:val="20"/>
                <w:color w:val="auto"/>
              </w:rPr>
            </w:pPr>
            <w:r>
              <w:rPr>
                <w:rFonts w:ascii="Arial" w:cs="Arial" w:eastAsia="Arial" w:hAnsi="Arial"/>
                <w:sz w:val="16"/>
                <w:szCs w:val="16"/>
                <w:b w:val="1"/>
                <w:bCs w:val="1"/>
                <w:color w:val="auto"/>
              </w:rPr>
              <w:t>OPERATING INCOME (LOSS) - REAL ESTATE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United States</w:t>
            </w:r>
          </w:p>
        </w:tc>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586</w:t>
            </w:r>
          </w:p>
        </w:tc>
        <w:tc>
          <w:tcPr>
            <w:tcW w:w="420" w:type="dxa"/>
            <w:vAlign w:val="bottom"/>
            <w:gridSpan w:val="2"/>
            <w:shd w:val="clear" w:color="auto" w:fill="CCEEFF"/>
          </w:tcPr>
          <w:p>
            <w:pPr>
              <w:jc w:val="right"/>
              <w:ind w:right="45"/>
              <w:spacing w:after="0" w:line="17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(362)</w:t>
            </w:r>
          </w:p>
        </w:tc>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20" w:type="dxa"/>
            <w:vAlign w:val="bottom"/>
          </w:tcPr>
          <w:p>
            <w:pPr>
              <w:ind w:left="300"/>
              <w:spacing w:after="0" w:line="173" w:lineRule="exact"/>
              <w:rPr>
                <w:sz w:val="20"/>
                <w:szCs w:val="20"/>
                <w:color w:val="auto"/>
              </w:rPr>
            </w:pPr>
            <w:r>
              <w:rPr>
                <w:rFonts w:ascii="Arial" w:cs="Arial" w:eastAsia="Arial" w:hAnsi="Arial"/>
                <w:sz w:val="16"/>
                <w:szCs w:val="16"/>
                <w:b w:val="1"/>
                <w:bCs w:val="1"/>
                <w:color w:val="auto"/>
              </w:rPr>
              <w:t>Australia</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5,280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5,973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5,343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Borders>
              <w:bottom w:val="single" w:sz="8" w:color="CCEEFF"/>
            </w:tcBorders>
            <w:shd w:val="clear" w:color="auto" w:fill="CCEEFF"/>
          </w:tcPr>
          <w:p>
            <w:pPr>
              <w:ind w:left="300"/>
              <w:spacing w:after="0" w:line="173" w:lineRule="exact"/>
              <w:rPr>
                <w:sz w:val="20"/>
                <w:szCs w:val="20"/>
                <w:color w:val="auto"/>
              </w:rPr>
            </w:pPr>
            <w:r>
              <w:rPr>
                <w:rFonts w:ascii="Arial" w:cs="Arial" w:eastAsia="Arial" w:hAnsi="Arial"/>
                <w:sz w:val="16"/>
                <w:szCs w:val="16"/>
                <w:b w:val="1"/>
                <w:bCs w:val="1"/>
                <w:color w:val="auto"/>
              </w:rPr>
              <w:t>New Zealand</w:t>
            </w:r>
          </w:p>
        </w:tc>
        <w:tc>
          <w:tcPr>
            <w:tcW w:w="3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(932)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80" w:type="dxa"/>
            <w:vAlign w:val="bottom"/>
            <w:gridSpan w:val="3"/>
          </w:tcPr>
          <w:p>
            <w:pPr>
              <w:ind w:left="300"/>
              <w:spacing w:after="0" w:line="153" w:lineRule="exact"/>
              <w:rPr>
                <w:sz w:val="20"/>
                <w:szCs w:val="20"/>
                <w:color w:val="auto"/>
              </w:rPr>
            </w:pPr>
            <w:r>
              <w:rPr>
                <w:rFonts w:ascii="Arial" w:cs="Arial" w:eastAsia="Arial" w:hAnsi="Arial"/>
                <w:sz w:val="16"/>
                <w:szCs w:val="16"/>
                <w:b w:val="1"/>
                <w:bCs w:val="1"/>
                <w:color w:val="auto"/>
              </w:rPr>
              <w:t>Total real estate operating income (loss)</w:t>
            </w:r>
          </w:p>
        </w:tc>
        <w:tc>
          <w:tcPr>
            <w:tcW w:w="200" w:type="dxa"/>
            <w:vAlign w:val="bottom"/>
            <w:tcBorders>
              <w:bottom w:val="single" w:sz="8" w:color="auto"/>
            </w:tcBorders>
          </w:tcPr>
          <w:p>
            <w:pPr>
              <w:jc w:val="right"/>
              <w:ind w:right="45"/>
              <w:spacing w:after="0" w:line="153"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6"/>
                <w:szCs w:val="16"/>
                <w:b w:val="1"/>
                <w:bCs w:val="1"/>
                <w:color w:val="auto"/>
              </w:rPr>
              <w:t>5,917</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45"/>
              <w:spacing w:after="0" w:line="153"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6"/>
                <w:szCs w:val="16"/>
                <w:b w:val="1"/>
                <w:bCs w:val="1"/>
                <w:color w:val="auto"/>
              </w:rPr>
              <w:t>4,679</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6"/>
                <w:szCs w:val="16"/>
                <w:b w:val="1"/>
                <w:bCs w:val="1"/>
                <w:color w:val="auto"/>
              </w:rPr>
              <w:t>3,791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19 / 19</w:t>
      </w:r>
    </w:p>
    <w:p>
      <w:pPr>
        <w:sectPr>
          <w:pgSz w:w="11900" w:h="16838" w:orient="portrait"/>
          <w:cols w:equalWidth="0" w:num="1">
            <w:col w:w="9420"/>
          </w:cols>
          <w:pgMar w:left="1260" w:top="1440" w:right="1226" w:bottom="0" w:gutter="0" w:footer="0" w:header="0"/>
          <w:type w:val="continuous"/>
        </w:sectPr>
      </w:pPr>
    </w:p>
    <w:bookmarkStart w:id="111" w:name="page112"/>
    <w:bookmarkEnd w:id="111"/>
    <w:p>
      <w:pPr>
        <w:jc w:val="center"/>
        <w:ind w:right="6"/>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026"/>
          </w:cols>
          <w:pgMar w:left="1440" w:top="1251" w:right="1440"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color w:val="auto"/>
        </w:rPr>
        <w:t>A reconciliation of segment operating income to income before income taxes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Segment operating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9,560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3,915</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Unallocated corporate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52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Depreciation and amortization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(387)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(711)</w:t>
            </w:r>
          </w:p>
        </w:tc>
      </w:tr>
      <w:tr>
        <w:trPr>
          <w:trHeight w:val="216"/>
        </w:trPr>
        <w:tc>
          <w:tcPr>
            <w:tcW w:w="5520" w:type="dxa"/>
            <w:vAlign w:val="bottom"/>
          </w:tcPr>
          <w:p>
            <w:pPr>
              <w:ind w:left="100"/>
              <w:spacing w:after="0" w:line="216" w:lineRule="exact"/>
              <w:rPr>
                <w:sz w:val="20"/>
                <w:szCs w:val="20"/>
                <w:color w:val="auto"/>
              </w:rPr>
            </w:pPr>
            <w:r>
              <w:rPr>
                <w:rFonts w:ascii="Arial" w:cs="Arial" w:eastAsia="Arial" w:hAnsi="Arial"/>
                <w:sz w:val="20"/>
                <w:szCs w:val="20"/>
                <w:color w:val="auto"/>
              </w:rPr>
              <w:t>General and administrative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(14,440)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(15,528)</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(15,235)</w:t>
            </w:r>
          </w:p>
        </w:tc>
      </w:tr>
      <w:tr>
        <w:trPr>
          <w:trHeight w:val="216"/>
        </w:trPr>
        <w:tc>
          <w:tcPr>
            <w:tcW w:w="552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Interest expense,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(17,930)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(21,154)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(19,418)</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Equity earnings (loss) of unconsolidated joint ventures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(387)</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456</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(loss) on sale of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(1,371)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562</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Gain (loss) on acquisition of noncontrolling 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2,691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36"/>
        </w:trPr>
        <w:tc>
          <w:tcPr>
            <w:tcW w:w="5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Other (expense) income</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(2,178)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1,528</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(164)</w:t>
            </w:r>
          </w:p>
        </w:tc>
      </w:tr>
      <w:tr>
        <w:trPr>
          <w:trHeight w:val="206"/>
        </w:trPr>
        <w:tc>
          <w:tcPr>
            <w:tcW w:w="5520" w:type="dxa"/>
            <w:vAlign w:val="bottom"/>
          </w:tcPr>
          <w:p>
            <w:pPr>
              <w:spacing w:after="0" w:line="196" w:lineRule="exact"/>
              <w:rPr>
                <w:sz w:val="20"/>
                <w:szCs w:val="20"/>
                <w:color w:val="auto"/>
              </w:rPr>
            </w:pPr>
            <w:r>
              <w:rPr>
                <w:rFonts w:ascii="Arial" w:cs="Arial" w:eastAsia="Arial" w:hAnsi="Arial"/>
                <w:sz w:val="20"/>
                <w:szCs w:val="20"/>
                <w:b w:val="1"/>
                <w:bCs w:val="1"/>
                <w:color w:val="auto"/>
              </w:rPr>
              <w:t>Income (loss) before income taxes</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(13,799)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(35,417)</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(30,595)</w:t>
            </w:r>
          </w:p>
        </w:tc>
      </w:tr>
    </w:tbl>
    <w:p>
      <w:pPr>
        <w:spacing w:after="0" w:line="21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Assuming cash and cash equivalents are accounted for as corporate assets, total assets by business segment and by country are presented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3"/>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2"/>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b w:val="1"/>
                <w:bCs w:val="1"/>
                <w:color w:val="auto"/>
              </w:rPr>
              <w:t>By segment: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Cinema</w:t>
            </w: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184,162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1"/>
              </w:rPr>
              <w:t>191,008</w:t>
            </w: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line="216" w:lineRule="exact"/>
              <w:rPr>
                <w:sz w:val="20"/>
                <w:szCs w:val="20"/>
                <w:color w:val="auto"/>
              </w:rPr>
            </w:pPr>
            <w:r>
              <w:rPr>
                <w:rFonts w:ascii="Arial" w:cs="Arial" w:eastAsia="Arial" w:hAnsi="Arial"/>
                <w:sz w:val="20"/>
                <w:szCs w:val="20"/>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176,396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w w:val="91"/>
              </w:rPr>
              <w:t>207,044</w:t>
            </w:r>
          </w:p>
        </w:tc>
      </w:tr>
      <w:tr>
        <w:trPr>
          <w:trHeight w:val="301"/>
        </w:trPr>
        <w:tc>
          <w:tcPr>
            <w:tcW w:w="20" w:type="dxa"/>
            <w:vAlign w:val="bottom"/>
          </w:tcPr>
          <w:p>
            <w:pPr>
              <w:spacing w:after="0"/>
              <w:rPr>
                <w:sz w:val="24"/>
                <w:szCs w:val="24"/>
                <w:color w:val="auto"/>
              </w:rPr>
            </w:pPr>
          </w:p>
        </w:tc>
        <w:tc>
          <w:tcPr>
            <w:tcW w:w="6940" w:type="dxa"/>
            <w:vAlign w:val="bottom"/>
            <w:tcBorders>
              <w:bottom w:val="single" w:sz="8" w:color="CCEEFF"/>
            </w:tcBorders>
            <w:gridSpan w:val="2"/>
            <w:shd w:val="clear" w:color="auto" w:fill="CCEEFF"/>
          </w:tcPr>
          <w:p>
            <w:pPr>
              <w:spacing w:after="0" w:line="281"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32"/>
                <w:szCs w:val="32"/>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74,371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72,959</w:t>
            </w:r>
          </w:p>
        </w:tc>
      </w:tr>
      <w:tr>
        <w:trPr>
          <w:trHeight w:val="206"/>
        </w:trPr>
        <w:tc>
          <w:tcPr>
            <w:tcW w:w="20" w:type="dxa"/>
            <w:vAlign w:val="bottom"/>
          </w:tcPr>
          <w:p>
            <w:pPr>
              <w:spacing w:after="0"/>
              <w:rPr>
                <w:sz w:val="17"/>
                <w:szCs w:val="17"/>
                <w:color w:val="auto"/>
              </w:rPr>
            </w:pPr>
          </w:p>
        </w:tc>
        <w:tc>
          <w:tcPr>
            <w:tcW w:w="6940" w:type="dxa"/>
            <w:vAlign w:val="bottom"/>
            <w:tcBorders>
              <w:bottom w:val="single" w:sz="8" w:color="CCEEFF"/>
            </w:tcBorders>
            <w:gridSpan w:val="2"/>
          </w:tcPr>
          <w:p>
            <w:pPr>
              <w:ind w:left="80"/>
              <w:spacing w:after="0" w:line="196" w:lineRule="exact"/>
              <w:rPr>
                <w:sz w:val="20"/>
                <w:szCs w:val="20"/>
                <w:color w:val="auto"/>
              </w:rPr>
            </w:pPr>
            <w:r>
              <w:rPr>
                <w:rFonts w:ascii="Arial" w:cs="Arial" w:eastAsia="Arial" w:hAnsi="Arial"/>
                <w:sz w:val="20"/>
                <w:szCs w:val="20"/>
                <w:b w:val="1"/>
                <w:bCs w:val="1"/>
                <w:color w:val="auto"/>
              </w:rPr>
              <w:t>Total assets</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434,929</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94"/>
              </w:rPr>
              <w:t>471,011</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By country: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line="216" w:lineRule="exact"/>
              <w:rPr>
                <w:sz w:val="20"/>
                <w:szCs w:val="20"/>
                <w:color w:val="auto"/>
              </w:rPr>
            </w:pPr>
            <w:r>
              <w:rPr>
                <w:rFonts w:ascii="Arial" w:cs="Arial" w:eastAsia="Arial" w:hAnsi="Arial"/>
                <w:sz w:val="20"/>
                <w:szCs w:val="20"/>
                <w:color w:val="auto"/>
              </w:rPr>
              <w:t>United States</w:t>
            </w:r>
          </w:p>
        </w:tc>
        <w:tc>
          <w:tcPr>
            <w:tcW w:w="240" w:type="dxa"/>
            <w:vAlign w:val="bottom"/>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245,169</w:t>
            </w:r>
          </w:p>
        </w:tc>
        <w:tc>
          <w:tcPr>
            <w:tcW w:w="140" w:type="dxa"/>
            <w:vAlign w:val="bottom"/>
          </w:tcPr>
          <w:p>
            <w:pPr>
              <w:spacing w:after="0"/>
              <w:rPr>
                <w:sz w:val="18"/>
                <w:szCs w:val="18"/>
                <w:color w:val="auto"/>
              </w:rPr>
            </w:pPr>
          </w:p>
        </w:tc>
        <w:tc>
          <w:tcPr>
            <w:tcW w:w="400" w:type="dxa"/>
            <w:vAlign w:val="bottom"/>
          </w:tcPr>
          <w:p>
            <w:pPr>
              <w:jc w:val="right"/>
              <w:ind w:right="200"/>
              <w:spacing w:after="0" w:line="216" w:lineRule="exact"/>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w w:val="91"/>
              </w:rPr>
              <w:t>264,284</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Australia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166,026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1"/>
              </w:rPr>
              <w:t>167,667</w:t>
            </w:r>
          </w:p>
        </w:tc>
      </w:tr>
      <w:tr>
        <w:trPr>
          <w:trHeight w:val="216"/>
        </w:trPr>
        <w:tc>
          <w:tcPr>
            <w:tcW w:w="6960" w:type="dxa"/>
            <w:vAlign w:val="bottom"/>
            <w:gridSpan w:val="3"/>
          </w:tcPr>
          <w:p>
            <w:pPr>
              <w:spacing w:after="0" w:line="216" w:lineRule="exact"/>
              <w:rPr>
                <w:sz w:val="20"/>
                <w:szCs w:val="20"/>
                <w:color w:val="auto"/>
              </w:rPr>
            </w:pPr>
            <w:r>
              <w:rPr>
                <w:rFonts w:ascii="Arial" w:cs="Arial" w:eastAsia="Arial" w:hAnsi="Arial"/>
                <w:sz w:val="20"/>
                <w:szCs w:val="20"/>
                <w:color w:val="auto"/>
              </w:rPr>
              <w:t>New Zealand</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23,734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39,060</w:t>
            </w:r>
          </w:p>
        </w:tc>
      </w:tr>
      <w:tr>
        <w:trPr>
          <w:trHeight w:val="226"/>
        </w:trPr>
        <w:tc>
          <w:tcPr>
            <w:tcW w:w="20" w:type="dxa"/>
            <w:vAlign w:val="bottom"/>
          </w:tcPr>
          <w:p>
            <w:pPr>
              <w:spacing w:after="0"/>
              <w:rPr>
                <w:sz w:val="19"/>
                <w:szCs w:val="19"/>
                <w:color w:val="auto"/>
              </w:rPr>
            </w:pPr>
          </w:p>
        </w:tc>
        <w:tc>
          <w:tcPr>
            <w:tcW w:w="6940" w:type="dxa"/>
            <w:vAlign w:val="bottom"/>
            <w:tcBorders>
              <w:top w:val="single" w:sz="8" w:color="CCEEFF"/>
              <w:bottom w:val="single" w:sz="8" w:color="CCEEFF"/>
            </w:tcBorders>
            <w:gridSpan w:val="2"/>
            <w:shd w:val="clear" w:color="auto" w:fill="CCEEFF"/>
          </w:tcPr>
          <w:p>
            <w:pPr>
              <w:ind w:left="80"/>
              <w:spacing w:after="0" w:line="216" w:lineRule="exact"/>
              <w:rPr>
                <w:sz w:val="20"/>
                <w:szCs w:val="20"/>
                <w:color w:val="auto"/>
              </w:rPr>
            </w:pPr>
            <w:r>
              <w:rPr>
                <w:rFonts w:ascii="Arial" w:cs="Arial" w:eastAsia="Arial" w:hAnsi="Arial"/>
                <w:sz w:val="20"/>
                <w:szCs w:val="20"/>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434,929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94"/>
              </w:rPr>
              <w:t>471,011</w:t>
            </w:r>
          </w:p>
        </w:tc>
      </w:tr>
    </w:tbl>
    <w:p>
      <w:pPr>
        <w:spacing w:after="0" w:line="214" w:lineRule="exact"/>
        <w:rPr>
          <w:sz w:val="20"/>
          <w:szCs w:val="20"/>
          <w:color w:val="auto"/>
        </w:rPr>
      </w:pPr>
    </w:p>
    <w:p>
      <w:pPr>
        <w:ind w:left="720" w:right="780" w:hanging="366"/>
        <w:spacing w:after="0" w:line="227"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Corporate Assets includes cash and cash equivalents of $10.5 million and $12.3 million as of December 31,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operating properties, net, by country: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7"/>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140,179</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91"/>
              </w:rPr>
              <w:t>146,531</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Australia</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58,934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59,081</w:t>
            </w:r>
          </w:p>
        </w:tc>
      </w:tr>
      <w:tr>
        <w:trPr>
          <w:trHeight w:val="236"/>
        </w:trPr>
        <w:tc>
          <w:tcPr>
            <w:tcW w:w="69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New Zealand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8,861</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9,082</w:t>
            </w:r>
          </w:p>
        </w:tc>
      </w:tr>
      <w:tr>
        <w:trPr>
          <w:trHeight w:val="206"/>
        </w:trPr>
        <w:tc>
          <w:tcPr>
            <w:tcW w:w="6960" w:type="dxa"/>
            <w:vAlign w:val="bottom"/>
            <w:gridSpan w:val="2"/>
          </w:tcPr>
          <w:p>
            <w:pPr>
              <w:spacing w:after="0" w:line="196" w:lineRule="exact"/>
              <w:rPr>
                <w:sz w:val="20"/>
                <w:szCs w:val="20"/>
                <w:color w:val="auto"/>
              </w:rPr>
            </w:pPr>
            <w:r>
              <w:rPr>
                <w:rFonts w:ascii="Arial" w:cs="Arial" w:eastAsia="Arial" w:hAnsi="Arial"/>
                <w:sz w:val="20"/>
                <w:szCs w:val="20"/>
                <w:b w:val="1"/>
                <w:bCs w:val="1"/>
                <w:color w:val="auto"/>
              </w:rPr>
              <w:t>Total operating properties, net</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207,974</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94"/>
              </w:rPr>
              <w:t>214,694</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capital expenditures for the three years ended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2023</w:t>
            </w:r>
          </w:p>
        </w:tc>
      </w:tr>
      <w:tr>
        <w:trPr>
          <w:trHeight w:val="216"/>
        </w:trPr>
        <w:tc>
          <w:tcPr>
            <w:tcW w:w="34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Segment capital expenditures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2,028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4,711</w:t>
            </w:r>
          </w:p>
        </w:tc>
      </w:tr>
      <w:tr>
        <w:trPr>
          <w:trHeight w:val="216"/>
        </w:trPr>
        <w:tc>
          <w:tcPr>
            <w:tcW w:w="3460" w:type="dxa"/>
            <w:vAlign w:val="bottom"/>
          </w:tcPr>
          <w:p>
            <w:pPr>
              <w:spacing w:after="0" w:line="216" w:lineRule="exact"/>
              <w:rPr>
                <w:sz w:val="20"/>
                <w:szCs w:val="20"/>
                <w:color w:val="auto"/>
              </w:rPr>
            </w:pPr>
            <w:r>
              <w:rPr>
                <w:rFonts w:ascii="Arial" w:cs="Arial" w:eastAsia="Arial" w:hAnsi="Arial"/>
                <w:sz w:val="20"/>
                <w:szCs w:val="20"/>
                <w:color w:val="auto"/>
              </w:rPr>
              <w:t>Corporate capital expenditures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36"/>
        </w:trPr>
        <w:tc>
          <w:tcPr>
            <w:tcW w:w="3460" w:type="dxa"/>
            <w:vAlign w:val="bottom"/>
            <w:tcBorders>
              <w:top w:val="single" w:sz="8" w:color="CCEEFF"/>
              <w:bottom w:val="single" w:sz="8" w:color="CCEEFF"/>
            </w:tcBorders>
            <w:shd w:val="clear" w:color="auto" w:fill="CCEEFF"/>
          </w:tcPr>
          <w:p>
            <w:pPr>
              <w:ind w:left="100"/>
              <w:spacing w:after="0" w:line="216" w:lineRule="exact"/>
              <w:rPr>
                <w:sz w:val="20"/>
                <w:szCs w:val="20"/>
                <w:color w:val="auto"/>
              </w:rPr>
            </w:pPr>
            <w:r>
              <w:rPr>
                <w:rFonts w:ascii="Arial" w:cs="Arial" w:eastAsia="Arial" w:hAnsi="Arial"/>
                <w:sz w:val="20"/>
                <w:szCs w:val="20"/>
                <w:b w:val="1"/>
                <w:bCs w:val="1"/>
                <w:color w:val="auto"/>
              </w:rPr>
              <w:t>Total capital expenditures</w:t>
            </w:r>
          </w:p>
        </w:tc>
        <w:tc>
          <w:tcPr>
            <w:tcW w:w="20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1,498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2,028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4,711</w:t>
            </w:r>
          </w:p>
        </w:tc>
      </w:tr>
      <w:tr>
        <w:trPr>
          <w:trHeight w:val="423"/>
        </w:trPr>
        <w:tc>
          <w:tcPr>
            <w:tcW w:w="3460" w:type="dxa"/>
            <w:vAlign w:val="bottom"/>
          </w:tcPr>
          <w:p>
            <w:pPr>
              <w:spacing w:after="0"/>
              <w:rPr>
                <w:sz w:val="24"/>
                <w:szCs w:val="24"/>
                <w:color w:val="auto"/>
              </w:rPr>
            </w:pPr>
          </w:p>
        </w:tc>
        <w:tc>
          <w:tcPr>
            <w:tcW w:w="2060" w:type="dxa"/>
            <w:vAlign w:val="bottom"/>
          </w:tcPr>
          <w:p>
            <w:pPr>
              <w:jc w:val="right"/>
              <w:ind w:right="520"/>
              <w:spacing w:after="0"/>
              <w:rPr>
                <w:sz w:val="20"/>
                <w:szCs w:val="20"/>
                <w:color w:val="auto"/>
              </w:rPr>
            </w:pPr>
            <w:r>
              <w:rPr>
                <w:rFonts w:ascii="Arial" w:cs="Arial" w:eastAsia="Arial" w:hAnsi="Arial"/>
                <w:sz w:val="20"/>
                <w:szCs w:val="20"/>
                <w:color w:val="auto"/>
              </w:rPr>
              <w:t>- 69 -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9"/>
        </w:trPr>
        <w:tc>
          <w:tcPr>
            <w:tcW w:w="346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00"/>
          </w:cols>
          <w:pgMar w:left="1260" w:top="1337" w:right="1246"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u w:val="single" w:color="auto"/>
          <w:color w:val="auto"/>
        </w:rPr>
        <w:t>NOTE 5 – EARNINGS (LOSS) PER SHARE</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The following table sets forth the computation of basic and diluted earnings (loss) per share and a reconciliation of the weighted average number of common and common equivalent shares outstanding for the three years ended December 31, 2025: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 except share and per share data)</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b w:val="1"/>
                <w:bCs w:val="1"/>
                <w:color w:val="auto"/>
              </w:rPr>
              <w:t>Numerator: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Net income (loss) attributable to Reading International,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(14,140)</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(30,673)</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b w:val="1"/>
                <w:bCs w:val="1"/>
                <w:color w:val="auto"/>
              </w:rPr>
              <w:t>Denominator: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32"/>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Weighted average shares of common stock – basic</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22,652,270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22,401,662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22,222,635</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Weighted average dilutive impact of stock-based 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452"/>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Weighted average shares of common stock – diluted</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22,652,270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22,401,662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22,222,635</w:t>
            </w:r>
          </w:p>
        </w:tc>
      </w:tr>
      <w:tr>
        <w:trPr>
          <w:trHeight w:val="216"/>
        </w:trPr>
        <w:tc>
          <w:tcPr>
            <w:tcW w:w="5520" w:type="dxa"/>
            <w:vAlign w:val="bottom"/>
            <w:tcBorders>
              <w:bottom w:val="single" w:sz="8" w:color="CCEEFF"/>
            </w:tcBorders>
          </w:tcPr>
          <w:p>
            <w:pPr>
              <w:spacing w:after="0" w:line="206" w:lineRule="exact"/>
              <w:rPr>
                <w:sz w:val="20"/>
                <w:szCs w:val="20"/>
                <w:color w:val="auto"/>
              </w:rPr>
            </w:pPr>
            <w:r>
              <w:rPr>
                <w:rFonts w:ascii="Arial" w:cs="Arial" w:eastAsia="Arial" w:hAnsi="Arial"/>
                <w:sz w:val="20"/>
                <w:szCs w:val="20"/>
                <w:b w:val="1"/>
                <w:bCs w:val="1"/>
                <w:color w:val="auto"/>
              </w:rPr>
              <w:t>Basic earnings (loss) per share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(0.62)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(1.58)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(1.38)</w:t>
            </w:r>
          </w:p>
        </w:tc>
      </w:tr>
      <w:tr>
        <w:trPr>
          <w:trHeight w:val="226"/>
        </w:trPr>
        <w:tc>
          <w:tcPr>
            <w:tcW w:w="5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Diluted earnings (loss) per share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(0.62)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(1.58)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(1.38)</w:t>
            </w:r>
          </w:p>
        </w:tc>
      </w:tr>
      <w:tr>
        <w:trPr>
          <w:trHeight w:val="226"/>
        </w:trPr>
        <w:tc>
          <w:tcPr>
            <w:tcW w:w="5520" w:type="dxa"/>
            <w:vAlign w:val="bottom"/>
          </w:tcPr>
          <w:p>
            <w:pPr>
              <w:spacing w:after="0" w:line="216" w:lineRule="exact"/>
              <w:rPr>
                <w:sz w:val="20"/>
                <w:szCs w:val="20"/>
                <w:color w:val="auto"/>
              </w:rPr>
            </w:pPr>
            <w:r>
              <w:rPr>
                <w:rFonts w:ascii="Arial" w:cs="Arial" w:eastAsia="Arial" w:hAnsi="Arial"/>
                <w:sz w:val="20"/>
                <w:szCs w:val="20"/>
                <w:color w:val="auto"/>
              </w:rPr>
              <w:t>Awards excluded from diluted earnings (loss) per share</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3,696,662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1,047,592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1,329,795</w:t>
            </w:r>
          </w:p>
        </w:tc>
      </w:tr>
    </w:tbl>
    <w:p>
      <w:pPr>
        <w:spacing w:after="0" w:line="21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Outstanding awards of 3,696,662 shares for the year ended December 31, 2025 and 1,047,592 shares for the year ended December 31, 2024, were excluded from the computation of dilutive shares, as they were anti-dilutive because of the net loss from continuing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6 – REAL ESTATE TRANSACTIONS</w:t>
      </w:r>
    </w:p>
    <w:p>
      <w:pPr>
        <w:spacing w:after="0" w:line="212"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Discussed below are the real estate transactions affecting the presentation in our consolidated balance sheets as of December 31, 2025 and 2024, and the profitability determination in our consolidated statements of income for the three years ended December 31, 2025, 2024 and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Real Estate Monetizations</w:t>
      </w:r>
    </w:p>
    <w:p>
      <w:pPr>
        <w:spacing w:after="0" w:line="212"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In order to support our liquidity, we have monetized certain of our real estate holdings. Details of those monetizations for the years ended December 31, 2025, 2024 and 2023, are provided below.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Cannon Park, Townsville, Queensland, Australia</w:t>
      </w:r>
    </w:p>
    <w:p>
      <w:pPr>
        <w:jc w:val="both"/>
        <w:ind w:right="40"/>
        <w:spacing w:after="0" w:line="265" w:lineRule="auto"/>
        <w:rPr>
          <w:sz w:val="20"/>
          <w:szCs w:val="20"/>
          <w:color w:val="auto"/>
        </w:rPr>
      </w:pPr>
      <w:r>
        <w:rPr>
          <w:rFonts w:ascii="Arial" w:cs="Arial" w:eastAsia="Arial" w:hAnsi="Arial"/>
          <w:sz w:val="17"/>
          <w:szCs w:val="17"/>
          <w:color w:val="auto"/>
        </w:rPr>
        <w:t>In May 2024, we classified our Cannon Park ETC in Townsville, Queensland, Australia, as held for sale at the lower of cost and fair value less costs to sell. The disposal group consists of our Cannon Park City Center and Cannon Park</w:t>
      </w:r>
    </w:p>
    <w:p>
      <w:pPr>
        <w:spacing w:after="0"/>
        <w:tabs>
          <w:tab w:leader="none" w:pos="1740" w:val="left"/>
          <w:tab w:leader="none" w:pos="3320" w:val="left"/>
          <w:tab w:leader="none" w:pos="5220" w:val="left"/>
          <w:tab w:leader="none" w:pos="7160" w:val="left"/>
        </w:tabs>
        <w:rPr>
          <w:sz w:val="20"/>
          <w:szCs w:val="20"/>
          <w:color w:val="auto"/>
        </w:rPr>
      </w:pPr>
      <w:r>
        <w:rPr>
          <w:rFonts w:ascii="Arial" w:cs="Arial" w:eastAsia="Arial" w:hAnsi="Arial"/>
          <w:sz w:val="20"/>
          <w:szCs w:val="20"/>
          <w:color w:val="auto"/>
        </w:rPr>
        <w:t>Discount</w:t>
      </w:r>
      <w:r>
        <w:rPr>
          <w:sz w:val="20"/>
          <w:szCs w:val="20"/>
          <w:color w:val="auto"/>
        </w:rPr>
        <w:tab/>
      </w:r>
      <w:r>
        <w:rPr>
          <w:rFonts w:ascii="Arial" w:cs="Arial" w:eastAsia="Arial" w:hAnsi="Arial"/>
          <w:sz w:val="20"/>
          <w:szCs w:val="20"/>
          <w:color w:val="auto"/>
        </w:rPr>
        <w:t>Center</w:t>
      </w:r>
      <w:r>
        <w:rPr>
          <w:sz w:val="20"/>
          <w:szCs w:val="20"/>
          <w:color w:val="auto"/>
        </w:rPr>
        <w:tab/>
      </w:r>
      <w:r>
        <w:rPr>
          <w:rFonts w:ascii="Arial" w:cs="Arial" w:eastAsia="Arial" w:hAnsi="Arial"/>
          <w:sz w:val="20"/>
          <w:szCs w:val="20"/>
          <w:color w:val="auto"/>
        </w:rPr>
        <w:t>properties,</w:t>
      </w:r>
      <w:r>
        <w:rPr>
          <w:sz w:val="20"/>
          <w:szCs w:val="20"/>
          <w:color w:val="auto"/>
        </w:rPr>
        <w:tab/>
      </w:r>
      <w:r>
        <w:rPr>
          <w:rFonts w:ascii="Arial" w:cs="Arial" w:eastAsia="Arial" w:hAnsi="Arial"/>
          <w:sz w:val="20"/>
          <w:szCs w:val="20"/>
          <w:color w:val="auto"/>
        </w:rPr>
        <w:t>comprising</w:t>
      </w:r>
      <w:r>
        <w:rPr>
          <w:sz w:val="20"/>
          <w:szCs w:val="20"/>
          <w:color w:val="auto"/>
        </w:rPr>
        <w:tab/>
      </w:r>
      <w:r>
        <w:rPr>
          <w:rFonts w:ascii="Arial" w:cs="Arial" w:eastAsia="Arial" w:hAnsi="Arial"/>
          <w:sz w:val="18"/>
          <w:szCs w:val="18"/>
          <w:color w:val="auto"/>
        </w:rPr>
        <w:t>approximately</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9.4-acres. The sale of the property was completed on May 21, 2025, at a gross sale price of $20.7 million. The proceeds were used principally to pay off our NAB bridging facility, and to reduce our Bank of America debt. We retained a lease over the cinema.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gain on sale of this property is calculated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ind w:right="806"/>
              <w:spacing w:after="0"/>
              <w:rPr>
                <w:sz w:val="20"/>
                <w:szCs w:val="20"/>
                <w:color w:val="auto"/>
              </w:rPr>
            </w:pPr>
            <w:r>
              <w:rPr>
                <w:rFonts w:ascii="Arial" w:cs="Arial" w:eastAsia="Arial" w:hAnsi="Arial"/>
                <w:sz w:val="16"/>
                <w:szCs w:val="16"/>
                <w:b w:val="1"/>
                <w:bCs w:val="1"/>
                <w:color w:val="auto"/>
              </w:rPr>
              <w:t>June 30,</w:t>
            </w:r>
          </w:p>
        </w:tc>
      </w:tr>
      <w:tr>
        <w:trPr>
          <w:trHeight w:val="209"/>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926"/>
              <w:spacing w:after="0"/>
              <w:rPr>
                <w:sz w:val="20"/>
                <w:szCs w:val="20"/>
                <w:color w:val="auto"/>
              </w:rPr>
            </w:pPr>
            <w:r>
              <w:rPr>
                <w:rFonts w:ascii="Arial" w:cs="Arial" w:eastAsia="Arial" w:hAnsi="Arial"/>
                <w:sz w:val="16"/>
                <w:szCs w:val="16"/>
                <w:b w:val="1"/>
                <w:bCs w:val="1"/>
                <w:color w:val="auto"/>
              </w:rPr>
              <w:t>2025</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Sales price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w w:val="71"/>
              </w:rPr>
              <w:t>$</w:t>
            </w: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20,698</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Net book value</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(18,361)</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on sale, gross of direct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2,337</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Direct sale costs incurred</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(518)</w:t>
            </w:r>
          </w:p>
        </w:tc>
      </w:tr>
      <w:tr>
        <w:trPr>
          <w:trHeight w:val="226"/>
        </w:trPr>
        <w:tc>
          <w:tcPr>
            <w:tcW w:w="68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Gain on sale, net of direct costs</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line="216" w:lineRule="exact"/>
              <w:rPr>
                <w:sz w:val="20"/>
                <w:szCs w:val="20"/>
                <w:color w:val="auto"/>
              </w:rPr>
            </w:pPr>
            <w:r>
              <w:rPr>
                <w:rFonts w:ascii="Arial" w:cs="Arial" w:eastAsia="Arial" w:hAnsi="Arial"/>
                <w:sz w:val="20"/>
                <w:szCs w:val="20"/>
                <w:b w:val="1"/>
                <w:bCs w:val="1"/>
                <w:color w:val="auto"/>
                <w:w w:val="71"/>
              </w:rPr>
              <w:t>$</w:t>
            </w:r>
          </w:p>
        </w:tc>
        <w:tc>
          <w:tcPr>
            <w:tcW w:w="20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1,819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Wellington, New Zealand property assets</w:t>
      </w:r>
    </w:p>
    <w:p>
      <w:pPr>
        <w:jc w:val="both"/>
        <w:ind w:right="60"/>
        <w:spacing w:after="0" w:line="226" w:lineRule="auto"/>
        <w:rPr>
          <w:sz w:val="20"/>
          <w:szCs w:val="20"/>
          <w:color w:val="auto"/>
        </w:rPr>
      </w:pPr>
      <w:r>
        <w:rPr>
          <w:rFonts w:ascii="Arial" w:cs="Arial" w:eastAsia="Arial" w:hAnsi="Arial"/>
          <w:sz w:val="20"/>
          <w:szCs w:val="20"/>
          <w:color w:val="auto"/>
        </w:rPr>
        <w:t>In June 2024, we classified our property assets in Wellington, New Zealand including Courtenay Central, as held for sale at the lower of cost and fair value less costs to sell. The disposal group consisted of our Courtenay Central cinema and retail property, along with our Tory and Wakefield Street car parks. The sale was completed on January 31, 2025, at a gross sale price of $21.5 million. The proceeds were used to pay off the Westpac mortgage on the property, and to reduce our Bank of America debt. We have an Agreement to Lease the cinema portion from the Purchaser, which is expected to commence upon the completion of seismic upgrade work by the Landlord and cinema fit-out work by ourselves.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400"/>
          </w:cols>
          <w:pgMar w:left="1260" w:top="1121" w:right="1246"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color w:val="auto"/>
        </w:rPr>
        <w:t>The gain on sale of this property is calculated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ind w:right="746"/>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926"/>
              <w:spacing w:after="0"/>
              <w:rPr>
                <w:sz w:val="20"/>
                <w:szCs w:val="20"/>
                <w:color w:val="auto"/>
              </w:rPr>
            </w:pPr>
            <w:r>
              <w:rPr>
                <w:rFonts w:ascii="Arial" w:cs="Arial" w:eastAsia="Arial" w:hAnsi="Arial"/>
                <w:sz w:val="16"/>
                <w:szCs w:val="16"/>
                <w:b w:val="1"/>
                <w:bCs w:val="1"/>
                <w:color w:val="auto"/>
              </w:rPr>
              <w:t>2025</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Sales price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w w:val="71"/>
              </w:rPr>
              <w:t>$</w:t>
            </w: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21,538</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Net book value</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(14,666)</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on sale, gross of direct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6,872</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Direct sale costs incurred</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(306)</w:t>
            </w:r>
          </w:p>
        </w:tc>
      </w:tr>
      <w:tr>
        <w:trPr>
          <w:trHeight w:val="226"/>
        </w:trPr>
        <w:tc>
          <w:tcPr>
            <w:tcW w:w="68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Gain on sale, net of direct costs</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line="216" w:lineRule="exact"/>
              <w:rPr>
                <w:sz w:val="20"/>
                <w:szCs w:val="20"/>
                <w:color w:val="auto"/>
              </w:rPr>
            </w:pPr>
            <w:r>
              <w:rPr>
                <w:rFonts w:ascii="Arial" w:cs="Arial" w:eastAsia="Arial" w:hAnsi="Arial"/>
                <w:sz w:val="20"/>
                <w:szCs w:val="20"/>
                <w:b w:val="1"/>
                <w:bCs w:val="1"/>
                <w:color w:val="auto"/>
                <w:w w:val="71"/>
              </w:rPr>
              <w:t>$</w:t>
            </w:r>
          </w:p>
        </w:tc>
        <w:tc>
          <w:tcPr>
            <w:tcW w:w="20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6,566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Culver City, Los Angeles</w:t>
      </w:r>
    </w:p>
    <w:p>
      <w:pPr>
        <w:ind w:right="60"/>
        <w:spacing w:after="0"/>
        <w:rPr>
          <w:sz w:val="20"/>
          <w:szCs w:val="20"/>
          <w:color w:val="auto"/>
        </w:rPr>
      </w:pPr>
      <w:r>
        <w:rPr>
          <w:rFonts w:ascii="Arial" w:cs="Arial" w:eastAsia="Arial" w:hAnsi="Arial"/>
          <w:sz w:val="20"/>
          <w:szCs w:val="20"/>
          <w:color w:val="auto"/>
        </w:rPr>
        <w:t>On February 23, 2024, we monetized our office building 5995 Sepulveda Blvd, for $10.0 million. The proceeds were used to discharge the $8.3 million first mortgage on the property and for working capital.</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The loss on sale of this property is calculated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ind w:right="766"/>
              <w:spacing w:after="0"/>
              <w:rPr>
                <w:sz w:val="20"/>
                <w:szCs w:val="20"/>
                <w:color w:val="auto"/>
              </w:rPr>
            </w:pPr>
            <w:r>
              <w:rPr>
                <w:rFonts w:ascii="Arial" w:cs="Arial" w:eastAsia="Arial" w:hAnsi="Arial"/>
                <w:sz w:val="16"/>
                <w:szCs w:val="16"/>
                <w:b w:val="1"/>
                <w:bCs w:val="1"/>
                <w:color w:val="auto"/>
              </w:rPr>
              <w:t>March 31,</w:t>
            </w:r>
          </w:p>
        </w:tc>
      </w:tr>
      <w:tr>
        <w:trPr>
          <w:trHeight w:val="211"/>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926"/>
              <w:spacing w:after="0"/>
              <w:rPr>
                <w:sz w:val="20"/>
                <w:szCs w:val="20"/>
                <w:color w:val="auto"/>
              </w:rPr>
            </w:pPr>
            <w:r>
              <w:rPr>
                <w:rFonts w:ascii="Arial" w:cs="Arial" w:eastAsia="Arial" w:hAnsi="Arial"/>
                <w:sz w:val="16"/>
                <w:szCs w:val="16"/>
                <w:b w:val="1"/>
                <w:bCs w:val="1"/>
                <w:color w:val="auto"/>
              </w:rPr>
              <w:t>2024</w:t>
            </w:r>
          </w:p>
        </w:tc>
      </w:tr>
      <w:tr>
        <w:trPr>
          <w:trHeight w:val="217"/>
        </w:trPr>
        <w:tc>
          <w:tcPr>
            <w:tcW w:w="6860" w:type="dxa"/>
            <w:vAlign w:val="bottom"/>
            <w:shd w:val="clear" w:color="auto" w:fill="CCEEFF"/>
          </w:tcPr>
          <w:p>
            <w:pPr>
              <w:spacing w:after="0" w:line="217" w:lineRule="exact"/>
              <w:rPr>
                <w:sz w:val="20"/>
                <w:szCs w:val="20"/>
                <w:color w:val="auto"/>
              </w:rPr>
            </w:pPr>
            <w:r>
              <w:rPr>
                <w:rFonts w:ascii="Arial" w:cs="Arial" w:eastAsia="Arial" w:hAnsi="Arial"/>
                <w:sz w:val="20"/>
                <w:szCs w:val="20"/>
                <w:color w:val="auto"/>
              </w:rPr>
              <w:t>Sales price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line="217" w:lineRule="exact"/>
              <w:rPr>
                <w:sz w:val="20"/>
                <w:szCs w:val="20"/>
                <w:color w:val="auto"/>
              </w:rPr>
            </w:pPr>
            <w:r>
              <w:rPr>
                <w:rFonts w:ascii="Arial" w:cs="Arial" w:eastAsia="Arial" w:hAnsi="Arial"/>
                <w:sz w:val="20"/>
                <w:szCs w:val="20"/>
                <w:color w:val="auto"/>
                <w:w w:val="71"/>
              </w:rPr>
              <w:t>$</w:t>
            </w:r>
          </w:p>
        </w:tc>
        <w:tc>
          <w:tcPr>
            <w:tcW w:w="2080" w:type="dxa"/>
            <w:vAlign w:val="bottom"/>
            <w:shd w:val="clear" w:color="auto" w:fill="CCEEFF"/>
          </w:tcPr>
          <w:p>
            <w:pPr>
              <w:jc w:val="right"/>
              <w:spacing w:after="0" w:line="217" w:lineRule="exact"/>
              <w:rPr>
                <w:sz w:val="20"/>
                <w:szCs w:val="20"/>
                <w:color w:val="auto"/>
              </w:rPr>
            </w:pPr>
            <w:r>
              <w:rPr>
                <w:rFonts w:ascii="Arial" w:cs="Arial" w:eastAsia="Arial" w:hAnsi="Arial"/>
                <w:sz w:val="20"/>
                <w:szCs w:val="20"/>
                <w:color w:val="auto"/>
              </w:rPr>
              <w:t>10,000</w:t>
            </w:r>
          </w:p>
        </w:tc>
      </w:tr>
      <w:tr>
        <w:trPr>
          <w:trHeight w:val="217"/>
        </w:trPr>
        <w:tc>
          <w:tcPr>
            <w:tcW w:w="6860" w:type="dxa"/>
            <w:vAlign w:val="bottom"/>
            <w:tcBorders>
              <w:bottom w:val="single" w:sz="8" w:color="CCEEFF"/>
            </w:tcBorders>
          </w:tcPr>
          <w:p>
            <w:pPr>
              <w:spacing w:after="0" w:line="217" w:lineRule="exact"/>
              <w:rPr>
                <w:sz w:val="20"/>
                <w:szCs w:val="20"/>
                <w:color w:val="auto"/>
              </w:rPr>
            </w:pPr>
            <w:r>
              <w:rPr>
                <w:rFonts w:ascii="Arial" w:cs="Arial" w:eastAsia="Arial" w:hAnsi="Arial"/>
                <w:sz w:val="20"/>
                <w:szCs w:val="20"/>
                <w:color w:val="auto"/>
              </w:rPr>
              <w:t>Net book value</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(10,800)</w:t>
            </w:r>
          </w:p>
        </w:tc>
      </w:tr>
      <w:tr>
        <w:trPr>
          <w:trHeight w:val="217"/>
        </w:trPr>
        <w:tc>
          <w:tcPr>
            <w:tcW w:w="6860" w:type="dxa"/>
            <w:vAlign w:val="bottom"/>
            <w:shd w:val="clear" w:color="auto" w:fill="CCEEFF"/>
          </w:tcPr>
          <w:p>
            <w:pPr>
              <w:spacing w:after="0" w:line="217" w:lineRule="exact"/>
              <w:rPr>
                <w:sz w:val="20"/>
                <w:szCs w:val="20"/>
                <w:color w:val="auto"/>
              </w:rPr>
            </w:pPr>
            <w:r>
              <w:rPr>
                <w:rFonts w:ascii="Arial" w:cs="Arial" w:eastAsia="Arial" w:hAnsi="Arial"/>
                <w:sz w:val="20"/>
                <w:szCs w:val="20"/>
                <w:color w:val="auto"/>
              </w:rPr>
              <w:t>Loss on sale, gross of direct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line="217" w:lineRule="exact"/>
              <w:rPr>
                <w:sz w:val="20"/>
                <w:szCs w:val="20"/>
                <w:color w:val="auto"/>
              </w:rPr>
            </w:pPr>
            <w:r>
              <w:rPr>
                <w:rFonts w:ascii="Arial" w:cs="Arial" w:eastAsia="Arial" w:hAnsi="Arial"/>
                <w:sz w:val="20"/>
                <w:szCs w:val="20"/>
                <w:color w:val="auto"/>
              </w:rPr>
              <w:t>(800)</w:t>
            </w:r>
          </w:p>
        </w:tc>
      </w:tr>
      <w:tr>
        <w:trPr>
          <w:trHeight w:val="217"/>
        </w:trPr>
        <w:tc>
          <w:tcPr>
            <w:tcW w:w="6860" w:type="dxa"/>
            <w:vAlign w:val="bottom"/>
            <w:tcBorders>
              <w:bottom w:val="single" w:sz="8" w:color="CCEEFF"/>
            </w:tcBorders>
          </w:tcPr>
          <w:p>
            <w:pPr>
              <w:spacing w:after="0" w:line="217" w:lineRule="exact"/>
              <w:rPr>
                <w:sz w:val="20"/>
                <w:szCs w:val="20"/>
                <w:color w:val="auto"/>
              </w:rPr>
            </w:pPr>
            <w:r>
              <w:rPr>
                <w:rFonts w:ascii="Arial" w:cs="Arial" w:eastAsia="Arial" w:hAnsi="Arial"/>
                <w:sz w:val="20"/>
                <w:szCs w:val="20"/>
                <w:color w:val="auto"/>
              </w:rPr>
              <w:t>Direct sale costs incurred</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(325)</w:t>
            </w:r>
          </w:p>
        </w:tc>
      </w:tr>
      <w:tr>
        <w:trPr>
          <w:trHeight w:val="227"/>
        </w:trPr>
        <w:tc>
          <w:tcPr>
            <w:tcW w:w="6860" w:type="dxa"/>
            <w:vAlign w:val="bottom"/>
            <w:tcBorders>
              <w:bottom w:val="single" w:sz="8" w:color="CCEEFF"/>
            </w:tcBorders>
            <w:shd w:val="clear" w:color="auto" w:fill="CCEEFF"/>
          </w:tcPr>
          <w:p>
            <w:pPr>
              <w:spacing w:after="0" w:line="217" w:lineRule="exact"/>
              <w:rPr>
                <w:sz w:val="20"/>
                <w:szCs w:val="20"/>
                <w:color w:val="auto"/>
              </w:rPr>
            </w:pPr>
            <w:r>
              <w:rPr>
                <w:rFonts w:ascii="Arial" w:cs="Arial" w:eastAsia="Arial" w:hAnsi="Arial"/>
                <w:sz w:val="20"/>
                <w:szCs w:val="20"/>
                <w:color w:val="auto"/>
              </w:rPr>
              <w:t>Loss on sale, net of direct costs</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line="217" w:lineRule="exact"/>
              <w:rPr>
                <w:sz w:val="20"/>
                <w:szCs w:val="20"/>
                <w:color w:val="auto"/>
              </w:rPr>
            </w:pPr>
            <w:r>
              <w:rPr>
                <w:rFonts w:ascii="Arial" w:cs="Arial" w:eastAsia="Arial" w:hAnsi="Arial"/>
                <w:sz w:val="20"/>
                <w:szCs w:val="20"/>
                <w:b w:val="1"/>
                <w:bCs w:val="1"/>
                <w:color w:val="auto"/>
                <w:w w:val="71"/>
              </w:rPr>
              <w:t>$</w:t>
            </w:r>
          </w:p>
        </w:tc>
        <w:tc>
          <w:tcPr>
            <w:tcW w:w="2080" w:type="dxa"/>
            <w:vAlign w:val="bottom"/>
            <w:tcBorders>
              <w:bottom w:val="single" w:sz="8" w:color="auto"/>
            </w:tcBorders>
            <w:shd w:val="clear" w:color="auto" w:fill="CCEEFF"/>
          </w:tcPr>
          <w:p>
            <w:pPr>
              <w:jc w:val="right"/>
              <w:spacing w:after="0" w:line="217" w:lineRule="exact"/>
              <w:rPr>
                <w:sz w:val="20"/>
                <w:szCs w:val="20"/>
                <w:color w:val="auto"/>
              </w:rPr>
            </w:pPr>
            <w:r>
              <w:rPr>
                <w:rFonts w:ascii="Arial" w:cs="Arial" w:eastAsia="Arial" w:hAnsi="Arial"/>
                <w:sz w:val="20"/>
                <w:szCs w:val="20"/>
                <w:b w:val="1"/>
                <w:bCs w:val="1"/>
                <w:color w:val="auto"/>
              </w:rPr>
              <w:t>(1,125)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Maitland, New South Wales</w:t>
      </w:r>
    </w:p>
    <w:p>
      <w:pPr>
        <w:jc w:val="both"/>
        <w:ind w:right="60"/>
        <w:spacing w:after="0" w:line="226" w:lineRule="auto"/>
        <w:rPr>
          <w:sz w:val="20"/>
          <w:szCs w:val="20"/>
          <w:color w:val="auto"/>
        </w:rPr>
      </w:pPr>
      <w:r>
        <w:rPr>
          <w:rFonts w:ascii="Arial" w:cs="Arial" w:eastAsia="Arial" w:hAnsi="Arial"/>
          <w:sz w:val="20"/>
          <w:szCs w:val="20"/>
          <w:color w:val="auto"/>
        </w:rPr>
        <w:t>On October 25, 2023, we monetized our property in Maitland, NSW, Australia, for $1.8 million (AU$2.8 million). The property consisted of a cinema building and associated land. The purchaser is leasing back the Reading Cinema to our Company on a 12 month lease.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gain on sale of this property is calculated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right"/>
              <w:ind w:right="626"/>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926"/>
              <w:spacing w:after="0"/>
              <w:rPr>
                <w:sz w:val="20"/>
                <w:szCs w:val="20"/>
                <w:color w:val="auto"/>
              </w:rPr>
            </w:pPr>
            <w:r>
              <w:rPr>
                <w:rFonts w:ascii="Arial" w:cs="Arial" w:eastAsia="Arial" w:hAnsi="Arial"/>
                <w:sz w:val="16"/>
                <w:szCs w:val="16"/>
                <w:b w:val="1"/>
                <w:bCs w:val="1"/>
                <w:color w:val="auto"/>
              </w:rPr>
              <w:t>2023</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Sales price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w w:val="71"/>
              </w:rPr>
              <w:t>$</w:t>
            </w: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1,774</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Net book value</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(835)</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Gain on sale, gross of direct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939</w:t>
            </w:r>
          </w:p>
        </w:tc>
      </w:tr>
      <w:tr>
        <w:trPr>
          <w:trHeight w:val="216"/>
        </w:trPr>
        <w:tc>
          <w:tcPr>
            <w:tcW w:w="686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Direct sale costs incurred</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(139)</w:t>
            </w:r>
          </w:p>
        </w:tc>
      </w:tr>
      <w:tr>
        <w:trPr>
          <w:trHeight w:val="226"/>
        </w:trPr>
        <w:tc>
          <w:tcPr>
            <w:tcW w:w="68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Gain on sale, net of direct costs</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line="216" w:lineRule="exact"/>
              <w:rPr>
                <w:sz w:val="20"/>
                <w:szCs w:val="20"/>
                <w:color w:val="auto"/>
              </w:rPr>
            </w:pPr>
            <w:r>
              <w:rPr>
                <w:rFonts w:ascii="Arial" w:cs="Arial" w:eastAsia="Arial" w:hAnsi="Arial"/>
                <w:sz w:val="20"/>
                <w:szCs w:val="20"/>
                <w:b w:val="1"/>
                <w:bCs w:val="1"/>
                <w:color w:val="auto"/>
                <w:w w:val="71"/>
              </w:rPr>
              <w:t>$</w:t>
            </w:r>
          </w:p>
        </w:tc>
        <w:tc>
          <w:tcPr>
            <w:tcW w:w="20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800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Disposal Groups Held for Sale</w:t>
      </w:r>
    </w:p>
    <w:p>
      <w:pPr>
        <w:spacing w:after="0" w:line="212"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A ‘disposal group’ represents assets to be disposed of in a single transaction. A disposal group may represent a single asset, or, multiple assets.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Newberry Yard, Williamsport, Pennsylvania</w:t>
      </w:r>
    </w:p>
    <w:p>
      <w:pPr>
        <w:jc w:val="both"/>
        <w:ind w:right="40"/>
        <w:spacing w:after="0" w:line="226" w:lineRule="auto"/>
        <w:rPr>
          <w:sz w:val="20"/>
          <w:szCs w:val="20"/>
          <w:color w:val="auto"/>
        </w:rPr>
      </w:pPr>
      <w:r>
        <w:rPr>
          <w:rFonts w:ascii="Arial" w:cs="Arial" w:eastAsia="Arial" w:hAnsi="Arial"/>
          <w:sz w:val="20"/>
          <w:szCs w:val="20"/>
          <w:color w:val="auto"/>
        </w:rPr>
        <w:t>In June 2023, we classified our industrial property at Newberry Yard, Williamsport, Pennsylvania, as held for sale at the lower of cost and fair value less costs to sell. The property is part of our historic railroad operations, consisting of land and an industrial building, and certain rail bed improvements. No adjustments to the book value of the assets contained within this disposal group were required. Sales efforts continue, and the property continues to meet the ASC 360 held for sale criteria.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Real Estate Acquisitions</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On December 19, 2025, we purchased Sutton Hill Associates, a California general partnership. As a consequence of that transaction we took on $13.6 million in long term debt owed by Sutton Hill Associates to a third party, and short term payables in the amount of $7.1 million owed by our Company to certain Sutton Hill Associates subsidiaries were eliminated on consolidation. The long term debt is carried on our balance sheet at $7.6 million, reflecting the fact that the debt has a term maturing on September 30, 2035, with no interim payments of principal, is unsecured and bears interest at only 4.75% per annum payable quarterly in arrears. A description of this transaction is provided at Note 21 – Related Parties.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0"/>
          </w:cols>
          <w:pgMar w:left="1260" w:top="1337" w:right="1246"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u w:val="single" w:color="auto"/>
          <w:color w:val="auto"/>
        </w:rPr>
        <w:t>NOTE 7 – PROPERTIES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Property,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Property associated with our operating activities is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662"/>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5"/>
                <w:szCs w:val="15"/>
                <w:color w:val="auto"/>
              </w:rPr>
            </w:pPr>
          </w:p>
        </w:tc>
        <w:tc>
          <w:tcPr>
            <w:tcW w:w="92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22"/>
              <w:spacing w:after="0" w:line="173" w:lineRule="exact"/>
              <w:rPr>
                <w:sz w:val="20"/>
                <w:szCs w:val="20"/>
                <w:color w:val="auto"/>
              </w:rPr>
            </w:pPr>
            <w:r>
              <w:rPr>
                <w:rFonts w:ascii="Arial" w:cs="Arial" w:eastAsia="Arial" w:hAnsi="Arial"/>
                <w:sz w:val="16"/>
                <w:szCs w:val="16"/>
                <w:b w:val="1"/>
                <w:bCs w:val="1"/>
                <w:color w:val="auto"/>
              </w:rPr>
              <w:t>2024</w:t>
            </w:r>
          </w:p>
        </w:tc>
      </w:tr>
      <w:tr>
        <w:trPr>
          <w:trHeight w:val="216"/>
        </w:trPr>
        <w:tc>
          <w:tcPr>
            <w:tcW w:w="6800" w:type="dxa"/>
            <w:vAlign w:val="bottom"/>
            <w:tcBorders>
              <w:top w:val="single" w:sz="8" w:color="auto"/>
            </w:tcBorders>
            <w:shd w:val="clear" w:color="auto" w:fill="CCEEFF"/>
          </w:tcPr>
          <w:p>
            <w:pPr>
              <w:ind w:left="100"/>
              <w:spacing w:after="0" w:line="216" w:lineRule="exact"/>
              <w:rPr>
                <w:sz w:val="20"/>
                <w:szCs w:val="20"/>
                <w:color w:val="auto"/>
              </w:rPr>
            </w:pPr>
            <w:r>
              <w:rPr>
                <w:rFonts w:ascii="Arial" w:cs="Arial" w:eastAsia="Arial" w:hAnsi="Arial"/>
                <w:sz w:val="20"/>
                <w:szCs w:val="20"/>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48,389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47,267</w:t>
            </w:r>
          </w:p>
        </w:tc>
      </w:tr>
      <w:tr>
        <w:trPr>
          <w:trHeight w:val="216"/>
        </w:trPr>
        <w:tc>
          <w:tcPr>
            <w:tcW w:w="696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Building and improvements</w:t>
            </w: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170,906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166,451</w:t>
            </w:r>
          </w:p>
        </w:tc>
      </w:tr>
      <w:tr>
        <w:trPr>
          <w:trHeight w:val="216"/>
        </w:trPr>
        <w:tc>
          <w:tcPr>
            <w:tcW w:w="69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Leasehold improvements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48,652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49,444</w:t>
            </w:r>
          </w:p>
        </w:tc>
      </w:tr>
      <w:tr>
        <w:trPr>
          <w:trHeight w:val="216"/>
        </w:trPr>
        <w:tc>
          <w:tcPr>
            <w:tcW w:w="696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Fixtures and equipment</w:t>
            </w:r>
          </w:p>
        </w:tc>
        <w:tc>
          <w:tcPr>
            <w:tcW w:w="2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149,251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143,773</w:t>
            </w:r>
          </w:p>
        </w:tc>
      </w:tr>
      <w:tr>
        <w:trPr>
          <w:trHeight w:val="236"/>
        </w:trPr>
        <w:tc>
          <w:tcPr>
            <w:tcW w:w="6960" w:type="dxa"/>
            <w:vAlign w:val="bottom"/>
            <w:tcBorders>
              <w:bottom w:val="single" w:sz="8" w:color="CCEEFF"/>
            </w:tcBorders>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Construction-in-progress</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1,964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1,987</w:t>
            </w:r>
          </w:p>
        </w:tc>
      </w:tr>
      <w:tr>
        <w:trPr>
          <w:trHeight w:val="196"/>
        </w:trPr>
        <w:tc>
          <w:tcPr>
            <w:tcW w:w="6960" w:type="dxa"/>
            <w:vAlign w:val="bottom"/>
            <w:gridSpan w:val="2"/>
          </w:tcPr>
          <w:p>
            <w:pPr>
              <w:ind w:left="240"/>
              <w:spacing w:after="0" w:line="196" w:lineRule="exact"/>
              <w:rPr>
                <w:sz w:val="20"/>
                <w:szCs w:val="20"/>
                <w:color w:val="auto"/>
              </w:rPr>
            </w:pPr>
            <w:r>
              <w:rPr>
                <w:rFonts w:ascii="Arial" w:cs="Arial" w:eastAsia="Arial" w:hAnsi="Arial"/>
                <w:sz w:val="20"/>
                <w:szCs w:val="20"/>
                <w:color w:val="auto"/>
              </w:rPr>
              <w:t>Total cost</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20"/>
                <w:szCs w:val="20"/>
                <w:color w:val="auto"/>
              </w:rPr>
              <w:t>419,162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408,922</w:t>
            </w:r>
          </w:p>
        </w:tc>
      </w:tr>
      <w:tr>
        <w:trPr>
          <w:trHeight w:val="236"/>
        </w:trPr>
        <w:tc>
          <w:tcPr>
            <w:tcW w:w="69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Less: accumulated depreciation</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(211,188)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(194,228)</w:t>
            </w:r>
          </w:p>
        </w:tc>
      </w:tr>
      <w:tr>
        <w:trPr>
          <w:trHeight w:val="206"/>
        </w:trPr>
        <w:tc>
          <w:tcPr>
            <w:tcW w:w="69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20"/>
                <w:szCs w:val="20"/>
                <w:b w:val="1"/>
                <w:bCs w:val="1"/>
                <w:color w:val="auto"/>
              </w:rPr>
              <w:t>Operating Properties, net</w:t>
            </w:r>
          </w:p>
        </w:tc>
        <w:tc>
          <w:tcPr>
            <w:tcW w:w="220" w:type="dxa"/>
            <w:vAlign w:val="bottom"/>
            <w:tcBorders>
              <w:top w:val="single" w:sz="8" w:color="auto"/>
              <w:bottom w:val="single" w:sz="8" w:color="auto"/>
            </w:tcBorders>
          </w:tcPr>
          <w:p>
            <w:pPr>
              <w:jc w:val="right"/>
              <w:ind w:right="20"/>
              <w:spacing w:after="0" w:line="196" w:lineRule="exact"/>
              <w:rPr>
                <w:sz w:val="20"/>
                <w:szCs w:val="20"/>
                <w:color w:val="auto"/>
              </w:rPr>
            </w:pPr>
            <w:r>
              <w:rPr>
                <w:rFonts w:ascii="Arial" w:cs="Arial" w:eastAsia="Arial" w:hAnsi="Arial"/>
                <w:sz w:val="20"/>
                <w:szCs w:val="20"/>
                <w:b w:val="1"/>
                <w:bCs w:val="1"/>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207,974</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214,694</w:t>
            </w:r>
          </w:p>
        </w:tc>
      </w:tr>
    </w:tbl>
    <w:p>
      <w:pPr>
        <w:spacing w:after="0" w:line="21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Of our total operating properties as disclosed above, the gross and carrying amounts of the portion of our properties currently on lease or held for leasing as of December 31, 2025 and 2024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8"/>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5"/>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0"/>
                <w:szCs w:val="20"/>
                <w:b w:val="1"/>
                <w:bCs w:val="1"/>
                <w:color w:val="auto"/>
              </w:rPr>
              <w:t>Building and improvements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696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20"/>
                <w:szCs w:val="20"/>
                <w:color w:val="auto"/>
              </w:rPr>
              <w:t>Gross balance</w:t>
            </w: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115,731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1"/>
              </w:rPr>
              <w:t>113,424</w:t>
            </w:r>
          </w:p>
        </w:tc>
      </w:tr>
      <w:tr>
        <w:trPr>
          <w:trHeight w:val="216"/>
        </w:trPr>
        <w:tc>
          <w:tcPr>
            <w:tcW w:w="6960" w:type="dxa"/>
            <w:vAlign w:val="bottom"/>
            <w:tcBorders>
              <w:bottom w:val="single" w:sz="8" w:color="CCEEFF"/>
            </w:tcBorders>
            <w:gridSpan w:val="2"/>
          </w:tcPr>
          <w:p>
            <w:pPr>
              <w:ind w:left="360"/>
              <w:spacing w:after="0" w:line="216" w:lineRule="exact"/>
              <w:rPr>
                <w:sz w:val="20"/>
                <w:szCs w:val="20"/>
                <w:color w:val="auto"/>
              </w:rPr>
            </w:pPr>
            <w:r>
              <w:rPr>
                <w:rFonts w:ascii="Arial" w:cs="Arial" w:eastAsia="Arial" w:hAnsi="Arial"/>
                <w:sz w:val="20"/>
                <w:szCs w:val="20"/>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(25,232)</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w w:val="88"/>
              </w:rPr>
              <w:t>(21,692)</w:t>
            </w:r>
          </w:p>
        </w:tc>
      </w:tr>
      <w:tr>
        <w:trPr>
          <w:trHeight w:val="226"/>
        </w:trPr>
        <w:tc>
          <w:tcPr>
            <w:tcW w:w="6960" w:type="dxa"/>
            <w:vAlign w:val="bottom"/>
            <w:tcBorders>
              <w:bottom w:val="single" w:sz="8" w:color="CCEEFF"/>
            </w:tcBorders>
            <w:gridSpan w:val="2"/>
            <w:shd w:val="clear" w:color="auto" w:fill="CCEEFF"/>
          </w:tcPr>
          <w:p>
            <w:pPr>
              <w:ind w:left="100"/>
              <w:spacing w:after="0" w:line="216" w:lineRule="exact"/>
              <w:rPr>
                <w:sz w:val="20"/>
                <w:szCs w:val="20"/>
                <w:color w:val="auto"/>
              </w:rPr>
            </w:pPr>
            <w:r>
              <w:rPr>
                <w:rFonts w:ascii="Arial" w:cs="Arial" w:eastAsia="Arial" w:hAnsi="Arial"/>
                <w:sz w:val="20"/>
                <w:szCs w:val="20"/>
                <w:b w:val="1"/>
                <w:bCs w:val="1"/>
                <w:color w:val="auto"/>
              </w:rPr>
              <w:t>Net Book Value</w:t>
            </w: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90,499</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91,732</w:t>
            </w:r>
          </w:p>
        </w:tc>
      </w:tr>
    </w:tbl>
    <w:p>
      <w:pPr>
        <w:spacing w:after="0" w:line="213"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Depreciation expense for operating property was $13.1 million, $15.5 million, and $18.3 million for the year ended December 31, 2025, 2024 and 2023,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8 – LEASES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Lessee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expense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402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383"/>
              <w:spacing w:after="0" w:line="17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405"/>
              <w:spacing w:after="0" w:line="173" w:lineRule="exact"/>
              <w:rPr>
                <w:sz w:val="20"/>
                <w:szCs w:val="20"/>
                <w:color w:val="auto"/>
              </w:rPr>
            </w:pPr>
            <w:r>
              <w:rPr>
                <w:rFonts w:ascii="Arial" w:cs="Arial" w:eastAsia="Arial" w:hAnsi="Arial"/>
                <w:sz w:val="16"/>
                <w:szCs w:val="16"/>
                <w:b w:val="1"/>
                <w:bCs w:val="1"/>
                <w:color w:val="auto"/>
                <w:w w:val="89"/>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04"/>
              <w:spacing w:after="0" w:line="173" w:lineRule="exact"/>
              <w:rPr>
                <w:sz w:val="20"/>
                <w:szCs w:val="20"/>
                <w:color w:val="auto"/>
              </w:rPr>
            </w:pPr>
            <w:r>
              <w:rPr>
                <w:rFonts w:ascii="Arial" w:cs="Arial" w:eastAsia="Arial" w:hAnsi="Arial"/>
                <w:sz w:val="16"/>
                <w:szCs w:val="16"/>
                <w:b w:val="1"/>
                <w:bCs w:val="1"/>
                <w:color w:val="auto"/>
              </w:rPr>
              <w:t>2023</w:t>
            </w:r>
          </w:p>
        </w:tc>
      </w:tr>
      <w:tr>
        <w:trPr>
          <w:trHeight w:val="213"/>
        </w:trPr>
        <w:tc>
          <w:tcPr>
            <w:tcW w:w="20" w:type="dxa"/>
            <w:vAlign w:val="bottom"/>
          </w:tcPr>
          <w:p>
            <w:pPr>
              <w:spacing w:after="0"/>
              <w:rPr>
                <w:sz w:val="18"/>
                <w:szCs w:val="18"/>
                <w:color w:val="auto"/>
              </w:rPr>
            </w:pPr>
          </w:p>
        </w:tc>
        <w:tc>
          <w:tcPr>
            <w:tcW w:w="40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b w:val="1"/>
                <w:bCs w:val="1"/>
                <w:color w:val="auto"/>
              </w:rPr>
              <w:t>Lease cost</w:t>
            </w: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000" w:type="dxa"/>
            <w:vAlign w:val="bottom"/>
          </w:tcPr>
          <w:p>
            <w:pPr>
              <w:ind w:left="80"/>
              <w:spacing w:after="0" w:line="219" w:lineRule="exact"/>
              <w:rPr>
                <w:sz w:val="20"/>
                <w:szCs w:val="20"/>
                <w:color w:val="auto"/>
              </w:rPr>
            </w:pPr>
            <w:r>
              <w:rPr>
                <w:rFonts w:ascii="Arial" w:cs="Arial" w:eastAsia="Arial" w:hAnsi="Arial"/>
                <w:sz w:val="20"/>
                <w:szCs w:val="20"/>
                <w:color w:val="auto"/>
              </w:rPr>
              <w:t>Finance lease cost: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20"/>
              <w:spacing w:after="0" w:line="216" w:lineRule="exact"/>
              <w:rPr>
                <w:sz w:val="20"/>
                <w:szCs w:val="20"/>
                <w:color w:val="auto"/>
              </w:rPr>
            </w:pPr>
            <w:r>
              <w:rPr>
                <w:rFonts w:ascii="Arial" w:cs="Arial" w:eastAsia="Arial" w:hAnsi="Arial"/>
                <w:sz w:val="20"/>
                <w:szCs w:val="20"/>
                <w:color w:val="auto"/>
              </w:rPr>
              <w:t>Amortization of right-of-use assets</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w:t>
            </w:r>
          </w:p>
        </w:tc>
        <w:tc>
          <w:tcPr>
            <w:tcW w:w="3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89"/>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25</w:t>
            </w:r>
          </w:p>
        </w:tc>
      </w:tr>
      <w:tr>
        <w:trPr>
          <w:trHeight w:val="216"/>
        </w:trPr>
        <w:tc>
          <w:tcPr>
            <w:tcW w:w="20" w:type="dxa"/>
            <w:vAlign w:val="bottom"/>
          </w:tcPr>
          <w:p>
            <w:pPr>
              <w:spacing w:after="0"/>
              <w:rPr>
                <w:sz w:val="18"/>
                <w:szCs w:val="18"/>
                <w:color w:val="auto"/>
              </w:rPr>
            </w:pPr>
          </w:p>
        </w:tc>
        <w:tc>
          <w:tcPr>
            <w:tcW w:w="4000" w:type="dxa"/>
            <w:vAlign w:val="bottom"/>
          </w:tcPr>
          <w:p>
            <w:pPr>
              <w:ind w:left="220"/>
              <w:spacing w:after="0" w:line="216" w:lineRule="exact"/>
              <w:rPr>
                <w:sz w:val="20"/>
                <w:szCs w:val="20"/>
                <w:color w:val="auto"/>
              </w:rPr>
            </w:pPr>
            <w:r>
              <w:rPr>
                <w:rFonts w:ascii="Arial" w:cs="Arial" w:eastAsia="Arial" w:hAnsi="Arial"/>
                <w:sz w:val="20"/>
                <w:szCs w:val="20"/>
                <w:color w:val="auto"/>
              </w:rPr>
              <w:t>Interest on lease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80"/>
              <w:spacing w:after="0" w:line="216" w:lineRule="exact"/>
              <w:rPr>
                <w:sz w:val="20"/>
                <w:szCs w:val="20"/>
                <w:color w:val="auto"/>
              </w:rPr>
            </w:pPr>
            <w:r>
              <w:rPr>
                <w:rFonts w:ascii="Arial" w:cs="Arial" w:eastAsia="Arial" w:hAnsi="Arial"/>
                <w:sz w:val="20"/>
                <w:szCs w:val="20"/>
                <w:color w:val="auto"/>
              </w:rPr>
              <w:t>Operating lease cost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28,653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29,314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32,877</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ind w:left="80"/>
              <w:spacing w:after="0" w:line="216" w:lineRule="exact"/>
              <w:rPr>
                <w:sz w:val="20"/>
                <w:szCs w:val="20"/>
                <w:color w:val="auto"/>
              </w:rPr>
            </w:pPr>
            <w:r>
              <w:rPr>
                <w:rFonts w:ascii="Arial" w:cs="Arial" w:eastAsia="Arial" w:hAnsi="Arial"/>
                <w:sz w:val="20"/>
                <w:szCs w:val="20"/>
                <w:color w:val="auto"/>
              </w:rPr>
              <w:t>Variable lease cost</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2,809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1,501</w:t>
            </w:r>
          </w:p>
        </w:tc>
      </w:tr>
      <w:tr>
        <w:trPr>
          <w:trHeight w:val="226"/>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lease cost</w:t>
            </w:r>
          </w:p>
        </w:tc>
        <w:tc>
          <w:tcPr>
            <w:tcW w:w="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line="216" w:lineRule="exact"/>
              <w:rPr>
                <w:sz w:val="20"/>
                <w:szCs w:val="20"/>
                <w:color w:val="auto"/>
              </w:rPr>
            </w:pPr>
            <w:r>
              <w:rPr>
                <w:rFonts w:ascii="Arial" w:cs="Arial" w:eastAsia="Arial" w:hAnsi="Arial"/>
                <w:sz w:val="20"/>
                <w:szCs w:val="20"/>
                <w:b w:val="1"/>
                <w:bCs w:val="1"/>
                <w:color w:val="auto"/>
                <w:w w:val="71"/>
              </w:rPr>
              <w:t>$</w:t>
            </w:r>
          </w:p>
        </w:tc>
        <w:tc>
          <w:tcPr>
            <w:tcW w:w="9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28,685</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89"/>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32,169</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34,404</w:t>
            </w:r>
          </w:p>
        </w:tc>
      </w:tr>
      <w:tr>
        <w:trPr>
          <w:trHeight w:val="433"/>
        </w:trPr>
        <w:tc>
          <w:tcPr>
            <w:tcW w:w="5480" w:type="dxa"/>
            <w:vAlign w:val="bottom"/>
            <w:gridSpan w:val="5"/>
          </w:tcPr>
          <w:p>
            <w:pPr>
              <w:spacing w:after="0"/>
              <w:rPr>
                <w:sz w:val="20"/>
                <w:szCs w:val="20"/>
                <w:color w:val="auto"/>
              </w:rPr>
            </w:pPr>
            <w:r>
              <w:rPr>
                <w:rFonts w:ascii="Arial" w:cs="Arial" w:eastAsia="Arial" w:hAnsi="Arial"/>
                <w:sz w:val="20"/>
                <w:szCs w:val="20"/>
                <w:color w:val="auto"/>
                <w:w w:val="93"/>
              </w:rPr>
              <w:t>Supplemental cash flow information related to leases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64"/>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02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45"/>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rPr>
              <w:t>2024</w:t>
            </w:r>
          </w:p>
        </w:tc>
      </w:tr>
      <w:tr>
        <w:trPr>
          <w:trHeight w:val="213"/>
        </w:trPr>
        <w:tc>
          <w:tcPr>
            <w:tcW w:w="20" w:type="dxa"/>
            <w:vAlign w:val="bottom"/>
          </w:tcPr>
          <w:p>
            <w:pPr>
              <w:spacing w:after="0"/>
              <w:rPr>
                <w:sz w:val="18"/>
                <w:szCs w:val="18"/>
                <w:color w:val="auto"/>
              </w:rPr>
            </w:pPr>
          </w:p>
        </w:tc>
        <w:tc>
          <w:tcPr>
            <w:tcW w:w="40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b w:val="1"/>
                <w:bCs w:val="1"/>
                <w:color w:val="auto"/>
              </w:rPr>
              <w:t>Cash flows relating to lease cost</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20" w:type="dxa"/>
            <w:vAlign w:val="bottom"/>
            <w:gridSpan w:val="5"/>
          </w:tcPr>
          <w:p>
            <w:pPr>
              <w:ind w:left="80"/>
              <w:spacing w:after="0" w:line="219" w:lineRule="exact"/>
              <w:rPr>
                <w:sz w:val="20"/>
                <w:szCs w:val="20"/>
                <w:color w:val="auto"/>
              </w:rPr>
            </w:pPr>
            <w:r>
              <w:rPr>
                <w:rFonts w:ascii="Arial" w:cs="Arial" w:eastAsia="Arial" w:hAnsi="Arial"/>
                <w:sz w:val="20"/>
                <w:szCs w:val="20"/>
                <w:color w:val="auto"/>
              </w:rPr>
              <w:t>Cash paid for amounts included in the measurement of lease 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20"/>
              <w:spacing w:after="0" w:line="216" w:lineRule="exact"/>
              <w:rPr>
                <w:sz w:val="20"/>
                <w:szCs w:val="20"/>
                <w:color w:val="auto"/>
              </w:rPr>
            </w:pPr>
            <w:r>
              <w:rPr>
                <w:rFonts w:ascii="Arial" w:cs="Arial" w:eastAsia="Arial" w:hAnsi="Arial"/>
                <w:sz w:val="20"/>
                <w:szCs w:val="20"/>
                <w:color w:val="auto"/>
              </w:rPr>
              <w:t>Operating cash flows for finance leases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44</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44</w:t>
            </w:r>
          </w:p>
        </w:tc>
      </w:tr>
      <w:tr>
        <w:trPr>
          <w:trHeight w:val="216"/>
        </w:trPr>
        <w:tc>
          <w:tcPr>
            <w:tcW w:w="20" w:type="dxa"/>
            <w:vAlign w:val="bottom"/>
          </w:tcPr>
          <w:p>
            <w:pPr>
              <w:spacing w:after="0"/>
              <w:rPr>
                <w:sz w:val="18"/>
                <w:szCs w:val="18"/>
                <w:color w:val="auto"/>
              </w:rPr>
            </w:pPr>
          </w:p>
        </w:tc>
        <w:tc>
          <w:tcPr>
            <w:tcW w:w="4000" w:type="dxa"/>
            <w:vAlign w:val="bottom"/>
          </w:tcPr>
          <w:p>
            <w:pPr>
              <w:ind w:left="220"/>
              <w:spacing w:after="0" w:line="216" w:lineRule="exact"/>
              <w:rPr>
                <w:sz w:val="20"/>
                <w:szCs w:val="20"/>
                <w:color w:val="auto"/>
              </w:rPr>
            </w:pPr>
            <w:r>
              <w:rPr>
                <w:rFonts w:ascii="Arial" w:cs="Arial" w:eastAsia="Arial" w:hAnsi="Arial"/>
                <w:sz w:val="20"/>
                <w:szCs w:val="20"/>
                <w:color w:val="auto"/>
              </w:rPr>
              <w:t>Operating cash flows for operating leases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23,503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25,531</w:t>
            </w:r>
          </w:p>
        </w:tc>
      </w:tr>
      <w:tr>
        <w:trPr>
          <w:trHeight w:val="216"/>
        </w:trPr>
        <w:tc>
          <w:tcPr>
            <w:tcW w:w="20" w:type="dxa"/>
            <w:vAlign w:val="bottom"/>
          </w:tcPr>
          <w:p>
            <w:pPr>
              <w:spacing w:after="0"/>
              <w:rPr>
                <w:sz w:val="18"/>
                <w:szCs w:val="18"/>
                <w:color w:val="auto"/>
              </w:rPr>
            </w:pPr>
          </w:p>
        </w:tc>
        <w:tc>
          <w:tcPr>
            <w:tcW w:w="6420" w:type="dxa"/>
            <w:vAlign w:val="bottom"/>
            <w:gridSpan w:val="5"/>
            <w:shd w:val="clear" w:color="auto" w:fill="CCEEFF"/>
          </w:tcPr>
          <w:p>
            <w:pPr>
              <w:ind w:left="80"/>
              <w:spacing w:after="0" w:line="216" w:lineRule="exact"/>
              <w:rPr>
                <w:sz w:val="20"/>
                <w:szCs w:val="20"/>
                <w:color w:val="auto"/>
              </w:rPr>
            </w:pPr>
            <w:r>
              <w:rPr>
                <w:rFonts w:ascii="Arial" w:cs="Arial" w:eastAsia="Arial" w:hAnsi="Arial"/>
                <w:sz w:val="20"/>
                <w:szCs w:val="20"/>
                <w:color w:val="auto"/>
                <w:w w:val="95"/>
              </w:rPr>
              <w:t>Right-of-use assets obtained in exchange for new operating lease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rPr>
              <w:t>8,231</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9,066</w:t>
            </w:r>
          </w:p>
        </w:tc>
      </w:tr>
      <w:tr>
        <w:trPr>
          <w:trHeight w:val="43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- 72 -</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40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0"/>
          </w:cols>
          <w:pgMar w:left="1260" w:top="1121" w:right="1246"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color w:val="auto"/>
        </w:rPr>
        <w:t>Supplemental balance sheet information related to leases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66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6820" w:type="dxa"/>
            <w:vAlign w:val="bottom"/>
            <w:gridSpan w:val="4"/>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03"/>
              <w:spacing w:after="0" w:line="173" w:lineRule="exact"/>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2"/>
              <w:spacing w:after="0" w:line="173" w:lineRule="exact"/>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gridSpan w:val="3"/>
          </w:tcPr>
          <w:p>
            <w:pPr>
              <w:spacing w:after="0" w:line="216" w:lineRule="exact"/>
              <w:rPr>
                <w:sz w:val="20"/>
                <w:szCs w:val="20"/>
                <w:color w:val="auto"/>
              </w:rPr>
            </w:pPr>
            <w:r>
              <w:rPr>
                <w:rFonts w:ascii="Arial" w:cs="Arial" w:eastAsia="Arial" w:hAnsi="Arial"/>
                <w:sz w:val="20"/>
                <w:szCs w:val="20"/>
                <w:b w:val="1"/>
                <w:bCs w:val="1"/>
                <w:color w:val="auto"/>
              </w:rPr>
              <w:t>Operating leases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gridSpan w:val="2"/>
            <w:shd w:val="clear" w:color="auto" w:fill="CCEEFF"/>
          </w:tcPr>
          <w:p>
            <w:pPr>
              <w:ind w:left="60"/>
              <w:spacing w:after="0" w:line="216" w:lineRule="exact"/>
              <w:rPr>
                <w:sz w:val="20"/>
                <w:szCs w:val="20"/>
                <w:color w:val="auto"/>
              </w:rPr>
            </w:pPr>
            <w:r>
              <w:rPr>
                <w:rFonts w:ascii="Arial" w:cs="Arial" w:eastAsia="Arial" w:hAnsi="Arial"/>
                <w:sz w:val="20"/>
                <w:szCs w:val="20"/>
                <w:b w:val="1"/>
                <w:bCs w:val="1"/>
                <w:color w:val="auto"/>
              </w:rPr>
              <w:t>Operating lease right-of-use assets</w:t>
            </w:r>
          </w:p>
        </w:tc>
        <w:tc>
          <w:tcPr>
            <w:tcW w:w="2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159,659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160,873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top w:val="single" w:sz="8" w:color="CCEEFF"/>
            </w:tcBorders>
            <w:gridSpan w:val="2"/>
          </w:tcPr>
          <w:p>
            <w:pPr>
              <w:ind w:left="60"/>
              <w:spacing w:after="0" w:line="196" w:lineRule="exact"/>
              <w:rPr>
                <w:sz w:val="20"/>
                <w:szCs w:val="20"/>
                <w:color w:val="auto"/>
              </w:rPr>
            </w:pPr>
            <w:r>
              <w:rPr>
                <w:rFonts w:ascii="Arial" w:cs="Arial" w:eastAsia="Arial" w:hAnsi="Arial"/>
                <w:sz w:val="20"/>
                <w:szCs w:val="20"/>
                <w:color w:val="auto"/>
              </w:rPr>
              <w:t>Operating lease liabilities - current portion</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20,081</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20,747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tcBorders>
              <w:bottom w:val="single" w:sz="8" w:color="CCEEFF"/>
            </w:tcBorders>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Operating lease liabilities - non-current portion</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162,919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161,702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bottom w:val="single" w:sz="8" w:color="CCEEFF"/>
            </w:tcBorders>
            <w:gridSpan w:val="2"/>
          </w:tcPr>
          <w:p>
            <w:pPr>
              <w:ind w:left="60"/>
              <w:spacing w:after="0" w:line="196" w:lineRule="exact"/>
              <w:rPr>
                <w:sz w:val="20"/>
                <w:szCs w:val="20"/>
                <w:color w:val="auto"/>
              </w:rPr>
            </w:pPr>
            <w:r>
              <w:rPr>
                <w:rFonts w:ascii="Arial" w:cs="Arial" w:eastAsia="Arial" w:hAnsi="Arial"/>
                <w:sz w:val="20"/>
                <w:szCs w:val="20"/>
                <w:b w:val="1"/>
                <w:bCs w:val="1"/>
                <w:color w:val="auto"/>
              </w:rPr>
              <w:t>Total operating lease liabilities</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183,000</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182,449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Finance leases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Property plant and equipment, gross</w:t>
            </w:r>
          </w:p>
        </w:tc>
        <w:tc>
          <w:tcPr>
            <w:tcW w:w="28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225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Accumulated depreciation</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(225)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top w:val="single" w:sz="8" w:color="CCEEFF"/>
              <w:bottom w:val="single" w:sz="8" w:color="CCEEFF"/>
            </w:tcBorders>
            <w:gridSpan w:val="2"/>
          </w:tcPr>
          <w:p>
            <w:pPr>
              <w:ind w:left="60"/>
              <w:spacing w:after="0" w:line="196" w:lineRule="exact"/>
              <w:rPr>
                <w:sz w:val="20"/>
                <w:szCs w:val="20"/>
                <w:color w:val="auto"/>
              </w:rPr>
            </w:pPr>
            <w:r>
              <w:rPr>
                <w:rFonts w:ascii="Arial" w:cs="Arial" w:eastAsia="Arial" w:hAnsi="Arial"/>
                <w:sz w:val="20"/>
                <w:szCs w:val="20"/>
                <w:b w:val="1"/>
                <w:bCs w:val="1"/>
                <w:color w:val="auto"/>
              </w:rPr>
              <w:t>Property plant and equipment, net</w:t>
            </w:r>
          </w:p>
        </w:tc>
        <w:tc>
          <w:tcPr>
            <w:tcW w:w="14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20"/>
                <w:szCs w:val="20"/>
                <w:b w:val="1"/>
                <w:bCs w:val="1"/>
                <w:color w:val="auto"/>
              </w:rPr>
              <w:t>—</w:t>
            </w:r>
          </w:p>
        </w:tc>
        <w:tc>
          <w:tcPr>
            <w:tcW w:w="6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Other current 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Other long-term liabilities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gridSpan w:val="2"/>
            <w:shd w:val="clear" w:color="auto" w:fill="CCEEFF"/>
          </w:tcPr>
          <w:p>
            <w:pPr>
              <w:ind w:left="60"/>
              <w:spacing w:after="0" w:line="216" w:lineRule="exact"/>
              <w:rPr>
                <w:sz w:val="20"/>
                <w:szCs w:val="20"/>
                <w:color w:val="auto"/>
              </w:rPr>
            </w:pPr>
            <w:r>
              <w:rPr>
                <w:rFonts w:ascii="Arial" w:cs="Arial" w:eastAsia="Arial" w:hAnsi="Arial"/>
                <w:sz w:val="20"/>
                <w:szCs w:val="20"/>
                <w:b w:val="1"/>
                <w:bCs w:val="1"/>
                <w:color w:val="auto"/>
              </w:rPr>
              <w:t>Total finance lease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Other information</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Weighted-average remaining lease term - finance leases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Weighted-average remaining lease term - operating leases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Weighted-average discount rate - finance leases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680"/>
              <w:spacing w:after="0" w:line="216" w:lineRule="exact"/>
              <w:rPr>
                <w:sz w:val="20"/>
                <w:szCs w:val="20"/>
                <w:color w:val="auto"/>
              </w:rPr>
            </w:pPr>
            <w:r>
              <w:rPr>
                <w:rFonts w:ascii="Arial" w:cs="Arial" w:eastAsia="Arial" w:hAnsi="Arial"/>
                <w:sz w:val="20"/>
                <w:szCs w:val="20"/>
                <w:color w:val="auto"/>
              </w:rPr>
              <w:t>Nil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Weighted-average discount rate - operating leases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4.86%</w:t>
            </w:r>
          </w:p>
        </w:tc>
        <w:tc>
          <w:tcPr>
            <w:tcW w:w="0" w:type="dxa"/>
            <w:vAlign w:val="bottom"/>
          </w:tcPr>
          <w:p>
            <w:pPr>
              <w:spacing w:after="0"/>
              <w:rPr>
                <w:sz w:val="1"/>
                <w:szCs w:val="1"/>
                <w:color w:val="auto"/>
              </w:rPr>
            </w:pPr>
          </w:p>
        </w:tc>
      </w:tr>
      <w:tr>
        <w:trPr>
          <w:trHeight w:val="433"/>
        </w:trPr>
        <w:tc>
          <w:tcPr>
            <w:tcW w:w="6820" w:type="dxa"/>
            <w:vAlign w:val="bottom"/>
            <w:gridSpan w:val="4"/>
          </w:tcPr>
          <w:p>
            <w:pPr>
              <w:spacing w:after="0"/>
              <w:rPr>
                <w:sz w:val="20"/>
                <w:szCs w:val="20"/>
                <w:color w:val="auto"/>
              </w:rPr>
            </w:pPr>
            <w:r>
              <w:rPr>
                <w:rFonts w:ascii="Arial" w:cs="Arial" w:eastAsia="Arial" w:hAnsi="Arial"/>
                <w:sz w:val="20"/>
                <w:szCs w:val="20"/>
                <w:color w:val="auto"/>
              </w:rPr>
              <w:t>The Maturities of our leases were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185"/>
        </w:trPr>
        <w:tc>
          <w:tcPr>
            <w:tcW w:w="6820" w:type="dxa"/>
            <w:vAlign w:val="bottom"/>
            <w:gridSpan w:val="4"/>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20"/>
              <w:spacing w:after="0" w:line="175" w:lineRule="exact"/>
              <w:rPr>
                <w:sz w:val="20"/>
                <w:szCs w:val="20"/>
                <w:color w:val="auto"/>
              </w:rPr>
            </w:pPr>
            <w:r>
              <w:rPr>
                <w:rFonts w:ascii="Arial" w:cs="Arial" w:eastAsia="Arial" w:hAnsi="Arial"/>
                <w:sz w:val="16"/>
                <w:szCs w:val="16"/>
                <w:b w:val="1"/>
                <w:bCs w:val="1"/>
                <w:color w:val="auto"/>
                <w:w w:val="77"/>
              </w:rPr>
              <w:t>leases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2"/>
              <w:spacing w:after="0" w:line="175" w:lineRule="exact"/>
              <w:rPr>
                <w:sz w:val="20"/>
                <w:szCs w:val="20"/>
                <w:color w:val="auto"/>
              </w:rPr>
            </w:pPr>
            <w:r>
              <w:rPr>
                <w:rFonts w:ascii="Arial" w:cs="Arial" w:eastAsia="Arial" w:hAnsi="Arial"/>
                <w:sz w:val="16"/>
                <w:szCs w:val="16"/>
                <w:b w:val="1"/>
                <w:bCs w:val="1"/>
                <w:color w:val="auto"/>
                <w:w w:val="81"/>
              </w:rPr>
              <w:t>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76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2026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29,197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0" w:type="dxa"/>
            <w:vAlign w:val="bottom"/>
            <w:gridSpan w:val="2"/>
          </w:tcPr>
          <w:p>
            <w:pPr>
              <w:spacing w:after="0"/>
              <w:rPr>
                <w:sz w:val="18"/>
                <w:szCs w:val="18"/>
                <w:color w:val="auto"/>
              </w:rPr>
            </w:pPr>
          </w:p>
        </w:tc>
        <w:tc>
          <w:tcPr>
            <w:tcW w:w="6760" w:type="dxa"/>
            <w:vAlign w:val="bottom"/>
          </w:tcPr>
          <w:p>
            <w:pPr>
              <w:spacing w:after="0" w:line="216" w:lineRule="exact"/>
              <w:rPr>
                <w:sz w:val="20"/>
                <w:szCs w:val="20"/>
                <w:color w:val="auto"/>
              </w:rPr>
            </w:pPr>
            <w:r>
              <w:rPr>
                <w:rFonts w:ascii="Arial" w:cs="Arial" w:eastAsia="Arial" w:hAnsi="Arial"/>
                <w:sz w:val="20"/>
                <w:szCs w:val="20"/>
                <w:color w:val="auto"/>
              </w:rPr>
              <w:t>2027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26,662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0" w:type="dxa"/>
            <w:vAlign w:val="bottom"/>
            <w:gridSpan w:val="2"/>
          </w:tcPr>
          <w:p>
            <w:pPr>
              <w:spacing w:after="0"/>
              <w:rPr>
                <w:sz w:val="18"/>
                <w:szCs w:val="18"/>
                <w:color w:val="auto"/>
              </w:rPr>
            </w:pPr>
          </w:p>
        </w:tc>
        <w:tc>
          <w:tcPr>
            <w:tcW w:w="67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25,293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0" w:type="dxa"/>
            <w:vAlign w:val="bottom"/>
            <w:gridSpan w:val="2"/>
          </w:tcPr>
          <w:p>
            <w:pPr>
              <w:spacing w:after="0"/>
              <w:rPr>
                <w:sz w:val="18"/>
                <w:szCs w:val="18"/>
                <w:color w:val="auto"/>
              </w:rPr>
            </w:pPr>
          </w:p>
        </w:tc>
        <w:tc>
          <w:tcPr>
            <w:tcW w:w="6760" w:type="dxa"/>
            <w:vAlign w:val="bottom"/>
          </w:tcPr>
          <w:p>
            <w:pPr>
              <w:spacing w:after="0" w:line="216" w:lineRule="exact"/>
              <w:rPr>
                <w:sz w:val="20"/>
                <w:szCs w:val="20"/>
                <w:color w:val="auto"/>
              </w:rPr>
            </w:pPr>
            <w:r>
              <w:rPr>
                <w:rFonts w:ascii="Arial" w:cs="Arial" w:eastAsia="Arial" w:hAnsi="Arial"/>
                <w:sz w:val="20"/>
                <w:szCs w:val="20"/>
                <w:color w:val="auto"/>
              </w:rPr>
              <w:t>2029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23,851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0" w:type="dxa"/>
            <w:vAlign w:val="bottom"/>
            <w:gridSpan w:val="2"/>
          </w:tcPr>
          <w:p>
            <w:pPr>
              <w:spacing w:after="0"/>
              <w:rPr>
                <w:sz w:val="18"/>
                <w:szCs w:val="18"/>
                <w:color w:val="auto"/>
              </w:rPr>
            </w:pPr>
          </w:p>
        </w:tc>
        <w:tc>
          <w:tcPr>
            <w:tcW w:w="67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21,653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6820" w:type="dxa"/>
            <w:vAlign w:val="bottom"/>
            <w:gridSpan w:val="4"/>
          </w:tcPr>
          <w:p>
            <w:pPr>
              <w:spacing w:after="0" w:line="216" w:lineRule="exact"/>
              <w:rPr>
                <w:sz w:val="20"/>
                <w:szCs w:val="20"/>
                <w:color w:val="auto"/>
              </w:rPr>
            </w:pPr>
            <w:r>
              <w:rPr>
                <w:rFonts w:ascii="Arial" w:cs="Arial" w:eastAsia="Arial" w:hAnsi="Arial"/>
                <w:sz w:val="20"/>
                <w:szCs w:val="20"/>
                <w:color w:val="auto"/>
              </w:rPr>
              <w:t>Thereafter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111,402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tcBorders>
              <w:top w:val="single" w:sz="8" w:color="CCEEFF"/>
              <w:bottom w:val="single" w:sz="8" w:color="CCEEFF"/>
            </w:tcBorders>
            <w:gridSpan w:val="2"/>
            <w:shd w:val="clear" w:color="auto" w:fill="CCEEFF"/>
          </w:tcPr>
          <w:p>
            <w:pPr>
              <w:ind w:left="60"/>
              <w:spacing w:after="0" w:line="216" w:lineRule="exact"/>
              <w:rPr>
                <w:sz w:val="20"/>
                <w:szCs w:val="20"/>
                <w:color w:val="auto"/>
              </w:rPr>
            </w:pPr>
            <w:r>
              <w:rPr>
                <w:rFonts w:ascii="Arial" w:cs="Arial" w:eastAsia="Arial" w:hAnsi="Arial"/>
                <w:sz w:val="20"/>
                <w:szCs w:val="20"/>
                <w:color w:val="auto"/>
              </w:rPr>
              <w:t>Total lease payments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238,058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6820" w:type="dxa"/>
            <w:vAlign w:val="bottom"/>
            <w:gridSpan w:val="4"/>
          </w:tcPr>
          <w:p>
            <w:pPr>
              <w:spacing w:after="0" w:line="196" w:lineRule="exact"/>
              <w:rPr>
                <w:sz w:val="20"/>
                <w:szCs w:val="20"/>
                <w:color w:val="auto"/>
              </w:rPr>
            </w:pPr>
            <w:r>
              <w:rPr>
                <w:rFonts w:ascii="Arial" w:cs="Arial" w:eastAsia="Arial" w:hAnsi="Arial"/>
                <w:sz w:val="20"/>
                <w:szCs w:val="20"/>
                <w:color w:val="auto"/>
              </w:rPr>
              <w:t>Less imputed interest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20"/>
                <w:szCs w:val="20"/>
                <w:color w:val="auto"/>
              </w:rPr>
              <w:t>(55,058)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183,000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we have no commitments for leases that are yet to commence.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Lessor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Lease income relating to operating lease payments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11"/>
        </w:trPr>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65"/>
              <w:spacing w:after="0"/>
              <w:rPr>
                <w:sz w:val="20"/>
                <w:szCs w:val="20"/>
                <w:color w:val="auto"/>
              </w:rPr>
            </w:pPr>
            <w:r>
              <w:rPr>
                <w:rFonts w:ascii="Arial" w:cs="Arial" w:eastAsia="Arial" w:hAnsi="Arial"/>
                <w:sz w:val="16"/>
                <w:szCs w:val="16"/>
                <w:b w:val="1"/>
                <w:bCs w:val="1"/>
                <w:color w:val="auto"/>
                <w:w w:val="89"/>
              </w:rPr>
              <w:t>2024</w:t>
            </w:r>
          </w:p>
        </w:tc>
        <w:tc>
          <w:tcPr>
            <w:tcW w:w="20" w:type="dxa"/>
            <w:vAlign w:val="bottom"/>
            <w:tcBorders>
              <w:bottom w:val="single" w:sz="8" w:color="auto"/>
            </w:tcBorders>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Arial" w:cs="Arial" w:eastAsia="Arial" w:hAnsi="Arial"/>
                <w:sz w:val="20"/>
                <w:szCs w:val="20"/>
                <w:b w:val="1"/>
                <w:bCs w:val="1"/>
                <w:color w:val="auto"/>
              </w:rPr>
              <w:t>Components of lease income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Lease payments</w:t>
            </w:r>
          </w:p>
        </w:tc>
        <w:tc>
          <w:tcPr>
            <w:tcW w:w="2480" w:type="dxa"/>
            <w:vAlign w:val="bottom"/>
            <w:gridSpan w:val="3"/>
            <w:shd w:val="clear" w:color="auto" w:fill="CCEEFF"/>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10,194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0"/>
              <w:spacing w:after="0" w:line="216"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10,919</w:t>
            </w:r>
          </w:p>
        </w:tc>
        <w:tc>
          <w:tcPr>
            <w:tcW w:w="2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Variable lease payments</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524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742</w:t>
            </w:r>
          </w:p>
        </w:tc>
        <w:tc>
          <w:tcPr>
            <w:tcW w:w="20" w:type="dxa"/>
            <w:vAlign w:val="bottom"/>
            <w:tcBorders>
              <w:bottom w:val="single" w:sz="8" w:color="auto"/>
            </w:tcBorders>
          </w:tcPr>
          <w:p>
            <w:pPr>
              <w:spacing w:after="0"/>
              <w:rPr>
                <w:sz w:val="18"/>
                <w:szCs w:val="18"/>
                <w:color w:val="auto"/>
              </w:rPr>
            </w:pPr>
          </w:p>
        </w:tc>
      </w:tr>
      <w:tr>
        <w:trPr>
          <w:trHeight w:val="236"/>
        </w:trPr>
        <w:tc>
          <w:tcPr>
            <w:tcW w:w="39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lease income</w:t>
            </w:r>
          </w:p>
        </w:tc>
        <w:tc>
          <w:tcPr>
            <w:tcW w:w="1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0"/>
              <w:spacing w:after="0" w:line="216" w:lineRule="exact"/>
              <w:rPr>
                <w:sz w:val="20"/>
                <w:szCs w:val="20"/>
                <w:color w:val="auto"/>
              </w:rPr>
            </w:pPr>
            <w:r>
              <w:rPr>
                <w:rFonts w:ascii="Arial" w:cs="Arial" w:eastAsia="Arial" w:hAnsi="Arial"/>
                <w:sz w:val="20"/>
                <w:szCs w:val="20"/>
                <w:b w:val="1"/>
                <w:bCs w:val="1"/>
                <w:color w:val="auto"/>
                <w:w w:val="71"/>
              </w:rPr>
              <w:t>$</w:t>
            </w:r>
          </w:p>
        </w:tc>
        <w:tc>
          <w:tcPr>
            <w:tcW w:w="12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10,718</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0"/>
              <w:spacing w:after="0" w:line="216" w:lineRule="exact"/>
              <w:rPr>
                <w:sz w:val="20"/>
                <w:szCs w:val="20"/>
                <w:color w:val="auto"/>
              </w:rPr>
            </w:pPr>
            <w:r>
              <w:rPr>
                <w:rFonts w:ascii="Arial" w:cs="Arial" w:eastAsia="Arial" w:hAnsi="Arial"/>
                <w:sz w:val="20"/>
                <w:szCs w:val="20"/>
                <w:b w:val="1"/>
                <w:bCs w:val="1"/>
                <w:color w:val="auto"/>
                <w:w w:val="71"/>
              </w:rPr>
              <w:t>$</w:t>
            </w: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11,661</w:t>
            </w:r>
          </w:p>
        </w:tc>
        <w:tc>
          <w:tcPr>
            <w:tcW w:w="20" w:type="dxa"/>
            <w:vAlign w:val="bottom"/>
            <w:tcBorders>
              <w:bottom w:val="single" w:sz="8" w:color="auto"/>
            </w:tcBorders>
            <w:shd w:val="clear" w:color="auto" w:fill="CCEEFF"/>
          </w:tcPr>
          <w:p>
            <w:pPr>
              <w:spacing w:after="0"/>
              <w:rPr>
                <w:sz w:val="20"/>
                <w:szCs w:val="20"/>
                <w:color w:val="auto"/>
              </w:rPr>
            </w:pPr>
          </w:p>
        </w:tc>
      </w:tr>
      <w:tr>
        <w:trPr>
          <w:trHeight w:val="423"/>
        </w:trPr>
        <w:tc>
          <w:tcPr>
            <w:tcW w:w="3980" w:type="dxa"/>
            <w:vAlign w:val="bottom"/>
          </w:tcPr>
          <w:p>
            <w:pPr>
              <w:spacing w:after="0"/>
              <w:rPr>
                <w:sz w:val="20"/>
                <w:szCs w:val="20"/>
                <w:color w:val="auto"/>
              </w:rPr>
            </w:pPr>
            <w:r>
              <w:rPr>
                <w:rFonts w:ascii="Arial" w:cs="Arial" w:eastAsia="Arial" w:hAnsi="Arial"/>
                <w:sz w:val="20"/>
                <w:szCs w:val="20"/>
                <w:color w:val="auto"/>
              </w:rPr>
              <w:t>The Maturity of our leases were as follows:</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3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Operating</w:t>
            </w:r>
          </w:p>
        </w:tc>
      </w:tr>
      <w:tr>
        <w:trPr>
          <w:trHeight w:val="185"/>
        </w:trPr>
        <w:tc>
          <w:tcPr>
            <w:tcW w:w="398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9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77"/>
              </w:rPr>
              <w:t>leases</w:t>
            </w: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2026</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0"/>
              <w:spacing w:after="0" w:line="216"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10,037</w:t>
            </w:r>
          </w:p>
        </w:tc>
        <w:tc>
          <w:tcPr>
            <w:tcW w:w="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Arial" w:cs="Arial" w:eastAsia="Arial" w:hAnsi="Arial"/>
                <w:sz w:val="20"/>
                <w:szCs w:val="20"/>
                <w:color w:val="auto"/>
              </w:rPr>
              <w:t>2027</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9,745</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2028</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9,683</w:t>
            </w:r>
          </w:p>
        </w:tc>
        <w:tc>
          <w:tcPr>
            <w:tcW w:w="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Arial" w:cs="Arial" w:eastAsia="Arial" w:hAnsi="Arial"/>
                <w:sz w:val="20"/>
                <w:szCs w:val="20"/>
                <w:color w:val="auto"/>
              </w:rPr>
              <w:t>2029</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9,104</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2030</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8,226</w:t>
            </w:r>
          </w:p>
        </w:tc>
        <w:tc>
          <w:tcPr>
            <w:tcW w:w="2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Thereafter</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23,656</w:t>
            </w:r>
          </w:p>
        </w:tc>
        <w:tc>
          <w:tcPr>
            <w:tcW w:w="20" w:type="dxa"/>
            <w:vAlign w:val="bottom"/>
            <w:tcBorders>
              <w:bottom w:val="single" w:sz="8" w:color="auto"/>
            </w:tcBorders>
          </w:tcPr>
          <w:p>
            <w:pPr>
              <w:spacing w:after="0"/>
              <w:rPr>
                <w:sz w:val="18"/>
                <w:szCs w:val="18"/>
                <w:color w:val="auto"/>
              </w:rPr>
            </w:pPr>
          </w:p>
        </w:tc>
      </w:tr>
      <w:tr>
        <w:trPr>
          <w:trHeight w:val="236"/>
        </w:trPr>
        <w:tc>
          <w:tcPr>
            <w:tcW w:w="39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w:t>
            </w:r>
          </w:p>
        </w:tc>
        <w:tc>
          <w:tcPr>
            <w:tcW w:w="1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0"/>
              <w:spacing w:after="0" w:line="216" w:lineRule="exact"/>
              <w:rPr>
                <w:sz w:val="20"/>
                <w:szCs w:val="20"/>
                <w:color w:val="auto"/>
              </w:rPr>
            </w:pPr>
            <w:r>
              <w:rPr>
                <w:rFonts w:ascii="Arial" w:cs="Arial" w:eastAsia="Arial" w:hAnsi="Arial"/>
                <w:sz w:val="20"/>
                <w:szCs w:val="20"/>
                <w:b w:val="1"/>
                <w:bCs w:val="1"/>
                <w:color w:val="auto"/>
                <w:w w:val="71"/>
              </w:rPr>
              <w:t>$</w:t>
            </w: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70,451</w:t>
            </w:r>
          </w:p>
        </w:tc>
        <w:tc>
          <w:tcPr>
            <w:tcW w:w="20" w:type="dxa"/>
            <w:vAlign w:val="bottom"/>
            <w:tcBorders>
              <w:bottom w:val="single" w:sz="8" w:color="auto"/>
            </w:tcBorders>
            <w:shd w:val="clear" w:color="auto" w:fill="CCEEFF"/>
          </w:tcPr>
          <w:p>
            <w:pPr>
              <w:spacing w:after="0"/>
              <w:rPr>
                <w:sz w:val="20"/>
                <w:szCs w:val="20"/>
                <w:color w:val="auto"/>
              </w:rPr>
            </w:pPr>
          </w:p>
        </w:tc>
      </w:tr>
      <w:tr>
        <w:trPr>
          <w:trHeight w:val="207"/>
        </w:trPr>
        <w:tc>
          <w:tcPr>
            <w:tcW w:w="3980" w:type="dxa"/>
            <w:vAlign w:val="bottom"/>
          </w:tcPr>
          <w:p>
            <w:pPr>
              <w:spacing w:after="0"/>
              <w:rPr>
                <w:sz w:val="18"/>
                <w:szCs w:val="18"/>
                <w:color w:val="auto"/>
              </w:rPr>
            </w:pPr>
          </w:p>
        </w:tc>
        <w:tc>
          <w:tcPr>
            <w:tcW w:w="1920" w:type="dxa"/>
            <w:vAlign w:val="bottom"/>
          </w:tcPr>
          <w:p>
            <w:pPr>
              <w:jc w:val="right"/>
              <w:ind w:right="900"/>
              <w:spacing w:after="0" w:line="207" w:lineRule="exact"/>
              <w:rPr>
                <w:sz w:val="20"/>
                <w:szCs w:val="20"/>
                <w:color w:val="auto"/>
              </w:rPr>
            </w:pPr>
            <w:r>
              <w:rPr>
                <w:rFonts w:ascii="Arial" w:cs="Arial" w:eastAsia="Arial" w:hAnsi="Arial"/>
                <w:sz w:val="20"/>
                <w:szCs w:val="20"/>
                <w:color w:val="auto"/>
              </w:rPr>
              <w:t>- 73 -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9"/>
        </w:trPr>
        <w:tc>
          <w:tcPr>
            <w:tcW w:w="398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20"/>
          </w:cols>
          <w:pgMar w:left="1260" w:top="133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20"/>
          </w:cols>
          <w:pgMar w:left="1260" w:top="1337" w:right="1226" w:bottom="0" w:gutter="0" w:footer="0" w:header="0"/>
          <w:type w:val="continuous"/>
        </w:sectPr>
      </w:pPr>
    </w:p>
    <w:bookmarkStart w:id="117" w:name="page118"/>
    <w:bookmarkEnd w:id="117"/>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9 – INVESTMENTS IN UNCONSOLIDATED JOINT VENTURES</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Our investments in unconsolidated joint ventures are accounted for under the equity method of accounting. The table below summarizes our active investment holdings in two unconsolidated joint ventures: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30"/>
              <w:spacing w:after="0" w:line="173" w:lineRule="exact"/>
              <w:rPr>
                <w:sz w:val="20"/>
                <w:szCs w:val="20"/>
                <w:color w:val="auto"/>
              </w:rPr>
            </w:pPr>
            <w:r>
              <w:rPr>
                <w:rFonts w:ascii="Arial" w:cs="Arial" w:eastAsia="Arial" w:hAnsi="Arial"/>
                <w:sz w:val="16"/>
                <w:szCs w:val="16"/>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5"/>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Mt. Gravatt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3,270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3,138</w:t>
            </w:r>
          </w:p>
        </w:tc>
      </w:tr>
      <w:tr>
        <w:trPr>
          <w:trHeight w:val="216"/>
        </w:trPr>
        <w:tc>
          <w:tcPr>
            <w:tcW w:w="552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Rialto Cinemas</w:t>
            </w:r>
          </w:p>
        </w:tc>
        <w:tc>
          <w:tcPr>
            <w:tcW w:w="1300" w:type="dxa"/>
            <w:vAlign w:val="bottom"/>
            <w:tcBorders>
              <w:bottom w:val="single" w:sz="8" w:color="CCEEFF"/>
            </w:tcBorders>
            <w:gridSpan w:val="2"/>
          </w:tcPr>
          <w:p>
            <w:pPr>
              <w:jc w:val="right"/>
              <w:spacing w:after="0" w:line="216" w:lineRule="exact"/>
              <w:rPr>
                <w:sz w:val="20"/>
                <w:szCs w:val="20"/>
                <w:color w:val="auto"/>
              </w:rPr>
            </w:pPr>
            <w:r>
              <w:rPr>
                <w:rFonts w:ascii="Arial" w:cs="Arial" w:eastAsia="Arial" w:hAnsi="Arial"/>
                <w:sz w:val="20"/>
                <w:szCs w:val="20"/>
                <w:color w:val="auto"/>
              </w:rPr>
              <w:t>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r>
      <w:tr>
        <w:trPr>
          <w:trHeight w:val="226"/>
        </w:trPr>
        <w:tc>
          <w:tcPr>
            <w:tcW w:w="5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Joint Ventures</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3,264</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3,138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recorded share of equity earnings (losses) from our investments in unconsolidated joint ventures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Mt. Gravatt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526</w:t>
            </w:r>
          </w:p>
        </w:tc>
      </w:tr>
      <w:tr>
        <w:trPr>
          <w:trHeight w:val="216"/>
        </w:trPr>
        <w:tc>
          <w:tcPr>
            <w:tcW w:w="552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Rialto Cinemas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(866)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(70)</w:t>
            </w:r>
          </w:p>
        </w:tc>
      </w:tr>
      <w:tr>
        <w:trPr>
          <w:trHeight w:val="226"/>
        </w:trPr>
        <w:tc>
          <w:tcPr>
            <w:tcW w:w="5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equity earnings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560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(387)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456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Mt. Gravatt</w:t>
      </w:r>
    </w:p>
    <w:p>
      <w:pPr>
        <w:spacing w:after="0" w:line="212" w:lineRule="exact"/>
        <w:rPr>
          <w:sz w:val="20"/>
          <w:szCs w:val="20"/>
          <w:color w:val="auto"/>
        </w:rPr>
      </w:pPr>
    </w:p>
    <w:p>
      <w:pPr>
        <w:ind w:right="640"/>
        <w:spacing w:after="0" w:line="227" w:lineRule="auto"/>
        <w:rPr>
          <w:sz w:val="20"/>
          <w:szCs w:val="20"/>
          <w:color w:val="auto"/>
        </w:rPr>
      </w:pPr>
      <w:r>
        <w:rPr>
          <w:rFonts w:ascii="Arial" w:cs="Arial" w:eastAsia="Arial" w:hAnsi="Arial"/>
          <w:sz w:val="20"/>
          <w:szCs w:val="20"/>
          <w:color w:val="auto"/>
        </w:rPr>
        <w:t>We own an undivided 33.3% interest in Mt. Gravatt, an unincorporated joint venture that owns and operates a sixteen-screen multiplex cinema in Australia.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Rialto Cinemas</w:t>
      </w:r>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We own an undivided 50.0% interest in the assets and liabilities of the Rialto Entertainment joint venture that owns and operates two (2) movie theaters, with 13 screens in New Zealand. In December 2024 we fully impaired our investment in this joint venture, as its performance has not recovered to the extent that we believe its reduced performance is other than temporary. We recorded this impairment to ‘equity earnings (losses) from our investments in unconsolidated joint ventures’ in the consolidated income statement. As we are responsible for our share of the losses in this equity, we continue to record our share of its net income/(loss).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10 – 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goodwill by business segment: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23"/>
              <w:spacing w:after="0"/>
              <w:rPr>
                <w:sz w:val="20"/>
                <w:szCs w:val="20"/>
                <w:color w:val="auto"/>
              </w:rPr>
            </w:pPr>
            <w:r>
              <w:rPr>
                <w:rFonts w:ascii="Arial" w:cs="Arial" w:eastAsia="Arial" w:hAnsi="Arial"/>
                <w:sz w:val="16"/>
                <w:szCs w:val="16"/>
                <w:b w:val="1"/>
                <w:bCs w:val="1"/>
                <w:color w:val="auto"/>
              </w:rPr>
              <w:t>Cinema</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260" w:type="dxa"/>
            <w:vAlign w:val="bottom"/>
          </w:tcPr>
          <w:p>
            <w:pPr>
              <w:spacing w:after="0"/>
              <w:rPr>
                <w:sz w:val="16"/>
                <w:szCs w:val="16"/>
                <w:color w:val="auto"/>
              </w:rPr>
            </w:pPr>
          </w:p>
        </w:tc>
        <w:tc>
          <w:tcPr>
            <w:tcW w:w="900" w:type="dxa"/>
            <w:vAlign w:val="bottom"/>
          </w:tcPr>
          <w:p>
            <w:pPr>
              <w:jc w:val="right"/>
              <w:ind w:right="303"/>
              <w:spacing w:after="0"/>
              <w:rPr>
                <w:sz w:val="20"/>
                <w:szCs w:val="20"/>
                <w:color w:val="auto"/>
              </w:rPr>
            </w:pPr>
            <w:r>
              <w:rPr>
                <w:rFonts w:ascii="Arial" w:cs="Arial" w:eastAsia="Arial" w:hAnsi="Arial"/>
                <w:sz w:val="16"/>
                <w:szCs w:val="16"/>
                <w:b w:val="1"/>
                <w:bCs w:val="1"/>
                <w:color w:val="auto"/>
              </w:rPr>
              <w:t>Total</w:t>
            </w:r>
          </w:p>
        </w:tc>
      </w:tr>
      <w:tr>
        <w:trPr>
          <w:trHeight w:val="216"/>
        </w:trPr>
        <w:tc>
          <w:tcPr>
            <w:tcW w:w="552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Balance at January 1, 2024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20,311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25,535</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Foreign currency translation adjustment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(1,823)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(1,823)</w:t>
            </w:r>
          </w:p>
        </w:tc>
      </w:tr>
      <w:tr>
        <w:trPr>
          <w:trHeight w:val="216"/>
        </w:trPr>
        <w:tc>
          <w:tcPr>
            <w:tcW w:w="55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20"/>
                <w:szCs w:val="20"/>
                <w:b w:val="1"/>
                <w:bCs w:val="1"/>
                <w:color w:val="auto"/>
              </w:rPr>
              <w:t>Balance at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18,488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23,712</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Foreign currency translation adjustment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891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891</w:t>
            </w:r>
          </w:p>
        </w:tc>
      </w:tr>
      <w:tr>
        <w:trPr>
          <w:trHeight w:val="226"/>
        </w:trPr>
        <w:tc>
          <w:tcPr>
            <w:tcW w:w="552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20"/>
                <w:szCs w:val="20"/>
                <w:b w:val="1"/>
                <w:bCs w:val="1"/>
                <w:color w:val="auto"/>
              </w:rPr>
              <w:t>Balance at December 31, 2025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19,379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5,224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24,603</w:t>
            </w:r>
          </w:p>
        </w:tc>
      </w:tr>
    </w:tbl>
    <w:p>
      <w:pPr>
        <w:spacing w:after="0" w:line="21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Our Company is required to test goodwill and other intangible assets for impairment on an annual basis and, if current events or circumstances require, on an interim basis. To test the impairment of goodwill, our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2025. The assessment results, as described at Note 2 - Liquidity, indicated that there is no impairment to our goodwill as of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tables below summarize intangible assets other than goodwill: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1"/>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
              <w:spacing w:after="0" w:line="171" w:lineRule="exact"/>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360"/>
              <w:spacing w:after="0" w:line="173" w:lineRule="exact"/>
              <w:rPr>
                <w:sz w:val="20"/>
                <w:szCs w:val="20"/>
                <w:color w:val="auto"/>
              </w:rPr>
            </w:pPr>
            <w:r>
              <w:rPr>
                <w:rFonts w:ascii="Arial" w:cs="Arial" w:eastAsia="Arial" w:hAnsi="Arial"/>
                <w:sz w:val="16"/>
                <w:szCs w:val="16"/>
                <w:b w:val="1"/>
                <w:bCs w:val="1"/>
                <w:color w:val="auto"/>
                <w:w w:val="95"/>
              </w:rPr>
              <w:t>Beneficial</w:t>
            </w:r>
          </w:p>
        </w:tc>
        <w:tc>
          <w:tcPr>
            <w:tcW w:w="240" w:type="dxa"/>
            <w:vAlign w:val="bottom"/>
          </w:tcPr>
          <w:p>
            <w:pPr>
              <w:spacing w:after="0"/>
              <w:rPr>
                <w:sz w:val="15"/>
                <w:szCs w:val="15"/>
                <w:color w:val="auto"/>
              </w:rPr>
            </w:pPr>
          </w:p>
        </w:tc>
        <w:tc>
          <w:tcPr>
            <w:tcW w:w="1040" w:type="dxa"/>
            <w:vAlign w:val="bottom"/>
            <w:gridSpan w:val="2"/>
          </w:tcPr>
          <w:p>
            <w:pPr>
              <w:ind w:left="140"/>
              <w:spacing w:after="0" w:line="173" w:lineRule="exact"/>
              <w:rPr>
                <w:sz w:val="20"/>
                <w:szCs w:val="20"/>
                <w:color w:val="auto"/>
              </w:rPr>
            </w:pPr>
            <w:r>
              <w:rPr>
                <w:rFonts w:ascii="Arial" w:cs="Arial" w:eastAsia="Arial" w:hAnsi="Arial"/>
                <w:sz w:val="16"/>
                <w:szCs w:val="16"/>
                <w:b w:val="1"/>
                <w:bCs w:val="1"/>
                <w:color w:val="auto"/>
              </w:rPr>
              <w:t>Trade</w:t>
            </w:r>
          </w:p>
        </w:tc>
        <w:tc>
          <w:tcPr>
            <w:tcW w:w="160" w:type="dxa"/>
            <w:vAlign w:val="bottom"/>
          </w:tcPr>
          <w:p>
            <w:pPr>
              <w:spacing w:after="0"/>
              <w:rPr>
                <w:sz w:val="15"/>
                <w:szCs w:val="15"/>
                <w:color w:val="auto"/>
              </w:rPr>
            </w:pPr>
          </w:p>
        </w:tc>
        <w:tc>
          <w:tcPr>
            <w:tcW w:w="980" w:type="dxa"/>
            <w:vAlign w:val="bottom"/>
          </w:tcPr>
          <w:p>
            <w:pPr>
              <w:jc w:val="center"/>
              <w:ind w:right="49"/>
              <w:spacing w:after="0" w:line="173" w:lineRule="exact"/>
              <w:rPr>
                <w:sz w:val="20"/>
                <w:szCs w:val="20"/>
                <w:color w:val="auto"/>
              </w:rPr>
            </w:pPr>
            <w:r>
              <w:rPr>
                <w:rFonts w:ascii="Arial" w:cs="Arial" w:eastAsia="Arial" w:hAnsi="Arial"/>
                <w:sz w:val="16"/>
                <w:szCs w:val="16"/>
                <w:b w:val="1"/>
                <w:bCs w:val="1"/>
                <w:color w:val="auto"/>
                <w:w w:val="95"/>
              </w:rPr>
              <w:t>Intangible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40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6"/>
                <w:szCs w:val="16"/>
                <w:color w:val="auto"/>
              </w:rPr>
            </w:pPr>
          </w:p>
        </w:tc>
        <w:tc>
          <w:tcPr>
            <w:tcW w:w="110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Leases</w:t>
            </w:r>
          </w:p>
        </w:tc>
        <w:tc>
          <w:tcPr>
            <w:tcW w:w="240" w:type="dxa"/>
            <w:vAlign w:val="bottom"/>
          </w:tcPr>
          <w:p>
            <w:pPr>
              <w:spacing w:after="0"/>
              <w:rPr>
                <w:sz w:val="16"/>
                <w:szCs w:val="16"/>
                <w:color w:val="auto"/>
              </w:rPr>
            </w:pPr>
          </w:p>
        </w:tc>
        <w:tc>
          <w:tcPr>
            <w:tcW w:w="104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6"/>
                <w:szCs w:val="16"/>
                <w:color w:val="auto"/>
              </w:rPr>
            </w:pPr>
          </w:p>
        </w:tc>
        <w:tc>
          <w:tcPr>
            <w:tcW w:w="980" w:type="dxa"/>
            <w:vAlign w:val="bottom"/>
          </w:tcPr>
          <w:p>
            <w:pPr>
              <w:jc w:val="center"/>
              <w:ind w:right="49"/>
              <w:spacing w:after="0" w:line="175" w:lineRule="exact"/>
              <w:rPr>
                <w:sz w:val="20"/>
                <w:szCs w:val="20"/>
                <w:color w:val="auto"/>
              </w:rPr>
            </w:pPr>
            <w:r>
              <w:rPr>
                <w:rFonts w:ascii="Arial" w:cs="Arial" w:eastAsia="Arial" w:hAnsi="Arial"/>
                <w:sz w:val="16"/>
                <w:szCs w:val="16"/>
                <w:b w:val="1"/>
                <w:bCs w:val="1"/>
                <w:color w:val="auto"/>
                <w:w w:val="83"/>
              </w:rPr>
              <w:t>Assets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04"/>
              <w:spacing w:after="0" w:line="175" w:lineRule="exact"/>
              <w:rPr>
                <w:sz w:val="20"/>
                <w:szCs w:val="20"/>
                <w:color w:val="auto"/>
              </w:rPr>
            </w:pPr>
            <w:r>
              <w:rPr>
                <w:rFonts w:ascii="Arial" w:cs="Arial" w:eastAsia="Arial" w:hAnsi="Arial"/>
                <w:sz w:val="16"/>
                <w:szCs w:val="16"/>
                <w:b w:val="1"/>
                <w:bCs w:val="1"/>
                <w:color w:val="auto"/>
              </w:rPr>
              <w:t>Total</w:t>
            </w:r>
          </w:p>
        </w:tc>
      </w:tr>
      <w:tr>
        <w:trPr>
          <w:trHeight w:val="216"/>
        </w:trPr>
        <w:tc>
          <w:tcPr>
            <w:tcW w:w="426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Gross carrying amount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10,458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9,024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4,303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23,785</w:t>
            </w:r>
          </w:p>
        </w:tc>
      </w:tr>
      <w:tr>
        <w:trPr>
          <w:trHeight w:val="216"/>
        </w:trPr>
        <w:tc>
          <w:tcPr>
            <w:tcW w:w="4400" w:type="dxa"/>
            <w:vAlign w:val="bottom"/>
            <w:gridSpan w:val="2"/>
          </w:tcPr>
          <w:p>
            <w:pPr>
              <w:spacing w:after="0" w:line="216" w:lineRule="exact"/>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(10,313)</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(8,229)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(3,667)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(22,209)</w:t>
            </w:r>
          </w:p>
        </w:tc>
      </w:tr>
      <w:tr>
        <w:trPr>
          <w:trHeight w:val="236"/>
        </w:trPr>
        <w:tc>
          <w:tcPr>
            <w:tcW w:w="44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Less: impairment charges</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06"/>
        </w:trPr>
        <w:tc>
          <w:tcPr>
            <w:tcW w:w="44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20"/>
                <w:szCs w:val="20"/>
                <w:b w:val="1"/>
                <w:bCs w:val="1"/>
                <w:color w:val="auto"/>
              </w:rPr>
              <w:t>Net intangible assets other than goodwill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145</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795</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636</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1,576</w:t>
            </w:r>
          </w:p>
        </w:tc>
      </w:tr>
      <w:tr>
        <w:trPr>
          <w:trHeight w:val="649"/>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47"/>
              <w:spacing w:after="0"/>
              <w:rPr>
                <w:sz w:val="20"/>
                <w:szCs w:val="20"/>
                <w:color w:val="auto"/>
              </w:rPr>
            </w:pPr>
            <w:r>
              <w:rPr>
                <w:rFonts w:ascii="Arial" w:cs="Arial" w:eastAsia="Arial" w:hAnsi="Arial"/>
                <w:sz w:val="20"/>
                <w:szCs w:val="20"/>
                <w:color w:val="auto"/>
              </w:rPr>
              <w:t>- 74 -</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0"/>
          </w:cols>
          <w:pgMar w:left="1260" w:top="1440" w:right="1246" w:bottom="0" w:gutter="0" w:footer="0" w:header="0"/>
          <w:type w:val="continuous"/>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026"/>
          </w:cols>
          <w:pgMar w:left="1440" w:top="1440" w:right="1440" w:bottom="0" w:gutter="0" w:footer="0" w:header="0"/>
        </w:sectPr>
      </w:pPr>
    </w:p>
    <w:bookmarkStart w:id="119" w:name="page120"/>
    <w:bookmarkEnd w:id="11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1"/>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
              <w:spacing w:after="0" w:line="171" w:lineRule="exact"/>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360"/>
              <w:spacing w:after="0" w:line="173" w:lineRule="exact"/>
              <w:rPr>
                <w:sz w:val="20"/>
                <w:szCs w:val="20"/>
                <w:color w:val="auto"/>
              </w:rPr>
            </w:pPr>
            <w:r>
              <w:rPr>
                <w:rFonts w:ascii="Arial" w:cs="Arial" w:eastAsia="Arial" w:hAnsi="Arial"/>
                <w:sz w:val="16"/>
                <w:szCs w:val="16"/>
                <w:b w:val="1"/>
                <w:bCs w:val="1"/>
                <w:color w:val="auto"/>
                <w:w w:val="95"/>
              </w:rPr>
              <w:t>Beneficial</w:t>
            </w:r>
          </w:p>
        </w:tc>
        <w:tc>
          <w:tcPr>
            <w:tcW w:w="240" w:type="dxa"/>
            <w:vAlign w:val="bottom"/>
          </w:tcPr>
          <w:p>
            <w:pPr>
              <w:spacing w:after="0"/>
              <w:rPr>
                <w:sz w:val="15"/>
                <w:szCs w:val="15"/>
                <w:color w:val="auto"/>
              </w:rPr>
            </w:pPr>
          </w:p>
        </w:tc>
        <w:tc>
          <w:tcPr>
            <w:tcW w:w="1040" w:type="dxa"/>
            <w:vAlign w:val="bottom"/>
            <w:gridSpan w:val="2"/>
          </w:tcPr>
          <w:p>
            <w:pPr>
              <w:ind w:left="140"/>
              <w:spacing w:after="0" w:line="173" w:lineRule="exact"/>
              <w:rPr>
                <w:sz w:val="20"/>
                <w:szCs w:val="20"/>
                <w:color w:val="auto"/>
              </w:rPr>
            </w:pPr>
            <w:r>
              <w:rPr>
                <w:rFonts w:ascii="Arial" w:cs="Arial" w:eastAsia="Arial" w:hAnsi="Arial"/>
                <w:sz w:val="16"/>
                <w:szCs w:val="16"/>
                <w:b w:val="1"/>
                <w:bCs w:val="1"/>
                <w:color w:val="auto"/>
              </w:rPr>
              <w:t>Trade</w:t>
            </w:r>
          </w:p>
        </w:tc>
        <w:tc>
          <w:tcPr>
            <w:tcW w:w="160" w:type="dxa"/>
            <w:vAlign w:val="bottom"/>
          </w:tcPr>
          <w:p>
            <w:pPr>
              <w:spacing w:after="0"/>
              <w:rPr>
                <w:sz w:val="15"/>
                <w:szCs w:val="15"/>
                <w:color w:val="auto"/>
              </w:rPr>
            </w:pPr>
          </w:p>
        </w:tc>
        <w:tc>
          <w:tcPr>
            <w:tcW w:w="980" w:type="dxa"/>
            <w:vAlign w:val="bottom"/>
          </w:tcPr>
          <w:p>
            <w:pPr>
              <w:jc w:val="center"/>
              <w:ind w:right="49"/>
              <w:spacing w:after="0" w:line="173" w:lineRule="exact"/>
              <w:rPr>
                <w:sz w:val="20"/>
                <w:szCs w:val="20"/>
                <w:color w:val="auto"/>
              </w:rPr>
            </w:pPr>
            <w:r>
              <w:rPr>
                <w:rFonts w:ascii="Arial" w:cs="Arial" w:eastAsia="Arial" w:hAnsi="Arial"/>
                <w:sz w:val="16"/>
                <w:szCs w:val="16"/>
                <w:b w:val="1"/>
                <w:bCs w:val="1"/>
                <w:color w:val="auto"/>
                <w:w w:val="95"/>
              </w:rPr>
              <w:t>Intangible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40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6"/>
                <w:szCs w:val="16"/>
                <w:color w:val="auto"/>
              </w:rPr>
            </w:pPr>
          </w:p>
        </w:tc>
        <w:tc>
          <w:tcPr>
            <w:tcW w:w="110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Leases</w:t>
            </w:r>
          </w:p>
        </w:tc>
        <w:tc>
          <w:tcPr>
            <w:tcW w:w="240" w:type="dxa"/>
            <w:vAlign w:val="bottom"/>
          </w:tcPr>
          <w:p>
            <w:pPr>
              <w:spacing w:after="0"/>
              <w:rPr>
                <w:sz w:val="16"/>
                <w:szCs w:val="16"/>
                <w:color w:val="auto"/>
              </w:rPr>
            </w:pPr>
          </w:p>
        </w:tc>
        <w:tc>
          <w:tcPr>
            <w:tcW w:w="104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6"/>
                <w:szCs w:val="16"/>
                <w:color w:val="auto"/>
              </w:rPr>
            </w:pPr>
          </w:p>
        </w:tc>
        <w:tc>
          <w:tcPr>
            <w:tcW w:w="980" w:type="dxa"/>
            <w:vAlign w:val="bottom"/>
          </w:tcPr>
          <w:p>
            <w:pPr>
              <w:jc w:val="center"/>
              <w:ind w:right="49"/>
              <w:spacing w:after="0" w:line="175" w:lineRule="exact"/>
              <w:rPr>
                <w:sz w:val="20"/>
                <w:szCs w:val="20"/>
                <w:color w:val="auto"/>
              </w:rPr>
            </w:pPr>
            <w:r>
              <w:rPr>
                <w:rFonts w:ascii="Arial" w:cs="Arial" w:eastAsia="Arial" w:hAnsi="Arial"/>
                <w:sz w:val="16"/>
                <w:szCs w:val="16"/>
                <w:b w:val="1"/>
                <w:bCs w:val="1"/>
                <w:color w:val="auto"/>
                <w:w w:val="83"/>
              </w:rPr>
              <w:t>Assets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04"/>
              <w:spacing w:after="0" w:line="175" w:lineRule="exact"/>
              <w:rPr>
                <w:sz w:val="20"/>
                <w:szCs w:val="20"/>
                <w:color w:val="auto"/>
              </w:rPr>
            </w:pPr>
            <w:r>
              <w:rPr>
                <w:rFonts w:ascii="Arial" w:cs="Arial" w:eastAsia="Arial" w:hAnsi="Arial"/>
                <w:sz w:val="16"/>
                <w:szCs w:val="16"/>
                <w:b w:val="1"/>
                <w:bCs w:val="1"/>
                <w:color w:val="auto"/>
              </w:rPr>
              <w:t>Total</w:t>
            </w:r>
          </w:p>
        </w:tc>
      </w:tr>
      <w:tr>
        <w:trPr>
          <w:trHeight w:val="216"/>
        </w:trPr>
        <w:tc>
          <w:tcPr>
            <w:tcW w:w="426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Gross carrying amount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10,458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9,024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4,349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23,831</w:t>
            </w:r>
          </w:p>
        </w:tc>
      </w:tr>
      <w:tr>
        <w:trPr>
          <w:trHeight w:val="216"/>
        </w:trPr>
        <w:tc>
          <w:tcPr>
            <w:tcW w:w="4400" w:type="dxa"/>
            <w:vAlign w:val="bottom"/>
            <w:gridSpan w:val="2"/>
          </w:tcPr>
          <w:p>
            <w:pPr>
              <w:spacing w:after="0" w:line="216" w:lineRule="exact"/>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(10,290)</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(8,102)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(3,639)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(22,031)</w:t>
            </w:r>
          </w:p>
        </w:tc>
      </w:tr>
      <w:tr>
        <w:trPr>
          <w:trHeight w:val="236"/>
        </w:trPr>
        <w:tc>
          <w:tcPr>
            <w:tcW w:w="44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Less: impairment charges</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06"/>
        </w:trPr>
        <w:tc>
          <w:tcPr>
            <w:tcW w:w="44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20"/>
                <w:szCs w:val="20"/>
                <w:b w:val="1"/>
                <w:bCs w:val="1"/>
                <w:color w:val="auto"/>
              </w:rPr>
              <w:t>Net intangible assets other than goodwill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168</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922</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710</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1,800</w:t>
            </w:r>
          </w:p>
        </w:tc>
      </w:tr>
    </w:tbl>
    <w:p>
      <w:pPr>
        <w:spacing w:after="0" w:line="213"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Beneficial leases relate to our operations as lessor. Trade names are amortized using an accelerated amortization method over an estimated useful life of 30 years, and other intangible assets over their estimated useful life of up to 30 years (except for transferrable liquor licenses, which are indefinite-lived assets, with a balance of $668,000 and $745,000 as of December 31, 2025 and 2024).</w:t>
      </w:r>
    </w:p>
    <w:p>
      <w:pPr>
        <w:spacing w:after="0" w:line="214"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For the years ended December 31, 2025, 2024, and 2023, our amortization expense was $140,000, $247,000, and $297,000, respectively.</w:t>
      </w:r>
    </w:p>
    <w:p>
      <w:pPr>
        <w:spacing w:after="0" w:line="213"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As of December 31, 2025, the estimated amortization expense for our amortizable intangibles, in the five succeeding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ind w:right="64"/>
              <w:spacing w:after="0"/>
              <w:rPr>
                <w:sz w:val="20"/>
                <w:szCs w:val="20"/>
                <w:color w:val="auto"/>
              </w:rPr>
            </w:pPr>
            <w:r>
              <w:rPr>
                <w:rFonts w:ascii="Arial" w:cs="Arial" w:eastAsia="Arial" w:hAnsi="Arial"/>
                <w:sz w:val="16"/>
                <w:szCs w:val="16"/>
                <w:b w:val="1"/>
                <w:bCs w:val="1"/>
                <w:color w:val="auto"/>
                <w:w w:val="91"/>
              </w:rPr>
              <w:t>Estimated</w:t>
            </w: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ind w:right="44"/>
              <w:spacing w:after="0" w:line="173" w:lineRule="exact"/>
              <w:rPr>
                <w:sz w:val="20"/>
                <w:szCs w:val="20"/>
                <w:color w:val="auto"/>
              </w:rPr>
            </w:pPr>
            <w:r>
              <w:rPr>
                <w:rFonts w:ascii="Arial" w:cs="Arial" w:eastAsia="Arial" w:hAnsi="Arial"/>
                <w:sz w:val="16"/>
                <w:szCs w:val="16"/>
                <w:b w:val="1"/>
                <w:bCs w:val="1"/>
                <w:color w:val="auto"/>
                <w:w w:val="96"/>
              </w:rPr>
              <w:t>Future</w:t>
            </w: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
              <w:spacing w:after="0" w:line="173" w:lineRule="exact"/>
              <w:rPr>
                <w:sz w:val="20"/>
                <w:szCs w:val="20"/>
                <w:color w:val="auto"/>
              </w:rPr>
            </w:pPr>
            <w:r>
              <w:rPr>
                <w:rFonts w:ascii="Arial" w:cs="Arial" w:eastAsia="Arial" w:hAnsi="Arial"/>
                <w:sz w:val="16"/>
                <w:szCs w:val="16"/>
                <w:b w:val="1"/>
                <w:bCs w:val="1"/>
                <w:color w:val="auto"/>
                <w:w w:val="94"/>
              </w:rPr>
              <w:t>Amortization</w:t>
            </w:r>
          </w:p>
        </w:tc>
      </w:tr>
      <w:tr>
        <w:trPr>
          <w:trHeight w:val="185"/>
        </w:trPr>
        <w:tc>
          <w:tcPr>
            <w:tcW w:w="6960" w:type="dxa"/>
            <w:vAlign w:val="bottom"/>
            <w:gridSpan w:val="4"/>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ind w:right="44"/>
              <w:spacing w:after="0" w:line="175" w:lineRule="exact"/>
              <w:rPr>
                <w:sz w:val="20"/>
                <w:szCs w:val="20"/>
                <w:color w:val="auto"/>
              </w:rPr>
            </w:pPr>
            <w:r>
              <w:rPr>
                <w:rFonts w:ascii="Arial" w:cs="Arial" w:eastAsia="Arial" w:hAnsi="Arial"/>
                <w:sz w:val="16"/>
                <w:szCs w:val="16"/>
                <w:b w:val="1"/>
                <w:bCs w:val="1"/>
                <w:color w:val="auto"/>
                <w:w w:val="85"/>
              </w:rPr>
              <w:t>Expense</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2026</w:t>
            </w:r>
          </w:p>
        </w:tc>
        <w:tc>
          <w:tcPr>
            <w:tcW w:w="2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127</w:t>
            </w: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20"/>
                <w:szCs w:val="20"/>
                <w:color w:val="auto"/>
              </w:rPr>
              <w:t>2027</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116</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2028</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106</w:t>
            </w: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20"/>
                <w:szCs w:val="20"/>
                <w:color w:val="auto"/>
              </w:rPr>
              <w:t>2029</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96</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2030</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96</w:t>
            </w:r>
          </w:p>
        </w:tc>
      </w:tr>
      <w:tr>
        <w:trPr>
          <w:trHeight w:val="216"/>
        </w:trPr>
        <w:tc>
          <w:tcPr>
            <w:tcW w:w="6960" w:type="dxa"/>
            <w:vAlign w:val="bottom"/>
            <w:gridSpan w:val="4"/>
          </w:tcPr>
          <w:p>
            <w:pPr>
              <w:spacing w:after="0" w:line="216" w:lineRule="exact"/>
              <w:rPr>
                <w:sz w:val="20"/>
                <w:szCs w:val="20"/>
                <w:color w:val="auto"/>
              </w:rPr>
            </w:pPr>
            <w:r>
              <w:rPr>
                <w:rFonts w:ascii="Arial" w:cs="Arial" w:eastAsia="Arial" w:hAnsi="Arial"/>
                <w:sz w:val="20"/>
                <w:szCs w:val="20"/>
                <w:color w:val="auto"/>
              </w:rPr>
              <w:t>Thereafter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367</w:t>
            </w: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gridSpan w:val="3"/>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future amortization expense</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908</w:t>
            </w:r>
          </w:p>
        </w:tc>
      </w:tr>
      <w:tr>
        <w:trPr>
          <w:trHeight w:val="403"/>
        </w:trPr>
        <w:tc>
          <w:tcPr>
            <w:tcW w:w="6960" w:type="dxa"/>
            <w:vAlign w:val="bottom"/>
            <w:gridSpan w:val="4"/>
          </w:tcPr>
          <w:p>
            <w:pPr>
              <w:spacing w:after="0"/>
              <w:rPr>
                <w:sz w:val="20"/>
                <w:szCs w:val="20"/>
                <w:color w:val="auto"/>
              </w:rPr>
            </w:pPr>
            <w:r>
              <w:rPr>
                <w:rFonts w:ascii="Arial" w:cs="Arial" w:eastAsia="Arial" w:hAnsi="Arial"/>
                <w:sz w:val="20"/>
                <w:szCs w:val="20"/>
                <w:b w:val="1"/>
                <w:bCs w:val="1"/>
                <w:color w:val="auto"/>
              </w:rPr>
              <w:t>NOTE 11 – PREPAID AND OTHER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3900" w:type="dxa"/>
            <w:vAlign w:val="bottom"/>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2"/>
        </w:trPr>
        <w:tc>
          <w:tcPr>
            <w:tcW w:w="6960" w:type="dxa"/>
            <w:vAlign w:val="bottom"/>
            <w:gridSpan w:val="4"/>
          </w:tcPr>
          <w:p>
            <w:pPr>
              <w:spacing w:after="0"/>
              <w:rPr>
                <w:sz w:val="20"/>
                <w:szCs w:val="20"/>
                <w:color w:val="auto"/>
              </w:rPr>
            </w:pPr>
            <w:r>
              <w:rPr>
                <w:rFonts w:ascii="Arial" w:cs="Arial" w:eastAsia="Arial" w:hAnsi="Arial"/>
                <w:sz w:val="20"/>
                <w:szCs w:val="20"/>
                <w:color w:val="auto"/>
              </w:rPr>
              <w:t>Prepaid and other assets are summarized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664"/>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6960" w:type="dxa"/>
            <w:vAlign w:val="bottom"/>
            <w:gridSpan w:val="4"/>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3"/>
              <w:spacing w:after="0" w:line="173" w:lineRule="exact"/>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Prepaid and other current assets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80"/>
              <w:spacing w:after="0" w:line="216" w:lineRule="exact"/>
              <w:rPr>
                <w:sz w:val="20"/>
                <w:szCs w:val="20"/>
                <w:color w:val="auto"/>
              </w:rPr>
            </w:pPr>
            <w:r>
              <w:rPr>
                <w:rFonts w:ascii="Arial" w:cs="Arial" w:eastAsia="Arial" w:hAnsi="Arial"/>
                <w:sz w:val="20"/>
                <w:szCs w:val="20"/>
                <w:color w:val="auto"/>
              </w:rPr>
              <w:t>Prepaid expenses</w:t>
            </w: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1,137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1,473</w:t>
            </w:r>
          </w:p>
        </w:tc>
      </w:tr>
      <w:tr>
        <w:trPr>
          <w:trHeight w:val="216"/>
        </w:trPr>
        <w:tc>
          <w:tcPr>
            <w:tcW w:w="20" w:type="dxa"/>
            <w:vAlign w:val="bottom"/>
          </w:tcPr>
          <w:p>
            <w:pPr>
              <w:spacing w:after="0"/>
              <w:rPr>
                <w:sz w:val="18"/>
                <w:szCs w:val="18"/>
                <w:color w:val="auto"/>
              </w:rPr>
            </w:pPr>
          </w:p>
        </w:tc>
        <w:tc>
          <w:tcPr>
            <w:tcW w:w="6940" w:type="dxa"/>
            <w:vAlign w:val="bottom"/>
            <w:gridSpan w:val="3"/>
          </w:tcPr>
          <w:p>
            <w:pPr>
              <w:ind w:left="80"/>
              <w:spacing w:after="0" w:line="216" w:lineRule="exact"/>
              <w:rPr>
                <w:sz w:val="20"/>
                <w:szCs w:val="20"/>
                <w:color w:val="auto"/>
              </w:rPr>
            </w:pPr>
            <w:r>
              <w:rPr>
                <w:rFonts w:ascii="Arial" w:cs="Arial" w:eastAsia="Arial" w:hAnsi="Arial"/>
                <w:sz w:val="20"/>
                <w:szCs w:val="20"/>
                <w:color w:val="auto"/>
              </w:rPr>
              <w:t>Prepaid taxes</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762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853</w:t>
            </w: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80"/>
              <w:spacing w:after="0" w:line="216" w:lineRule="exact"/>
              <w:rPr>
                <w:sz w:val="20"/>
                <w:szCs w:val="20"/>
                <w:color w:val="auto"/>
              </w:rPr>
            </w:pPr>
            <w:r>
              <w:rPr>
                <w:rFonts w:ascii="Arial" w:cs="Arial" w:eastAsia="Arial" w:hAnsi="Arial"/>
                <w:sz w:val="20"/>
                <w:szCs w:val="20"/>
                <w:color w:val="auto"/>
              </w:rPr>
              <w:t>Prepaid 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w:t>
            </w:r>
          </w:p>
        </w:tc>
      </w:tr>
      <w:tr>
        <w:trPr>
          <w:trHeight w:val="216"/>
        </w:trPr>
        <w:tc>
          <w:tcPr>
            <w:tcW w:w="20" w:type="dxa"/>
            <w:vAlign w:val="bottom"/>
          </w:tcPr>
          <w:p>
            <w:pPr>
              <w:spacing w:after="0"/>
              <w:rPr>
                <w:sz w:val="18"/>
                <w:szCs w:val="18"/>
                <w:color w:val="auto"/>
              </w:rPr>
            </w:pPr>
          </w:p>
        </w:tc>
        <w:tc>
          <w:tcPr>
            <w:tcW w:w="6940" w:type="dxa"/>
            <w:vAlign w:val="bottom"/>
            <w:gridSpan w:val="3"/>
          </w:tcPr>
          <w:p>
            <w:pPr>
              <w:ind w:left="80"/>
              <w:spacing w:after="0" w:line="216" w:lineRule="exact"/>
              <w:rPr>
                <w:sz w:val="20"/>
                <w:szCs w:val="20"/>
                <w:color w:val="auto"/>
              </w:rPr>
            </w:pPr>
            <w:r>
              <w:rPr>
                <w:rFonts w:ascii="Arial" w:cs="Arial" w:eastAsia="Arial" w:hAnsi="Arial"/>
                <w:sz w:val="20"/>
                <w:szCs w:val="20"/>
                <w:color w:val="auto"/>
              </w:rPr>
              <w:t>Deposits</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314</w:t>
            </w:r>
          </w:p>
        </w:tc>
      </w:tr>
      <w:tr>
        <w:trPr>
          <w:trHeight w:val="236"/>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80"/>
              <w:spacing w:after="0" w:line="216" w:lineRule="exact"/>
              <w:rPr>
                <w:sz w:val="20"/>
                <w:szCs w:val="20"/>
                <w:color w:val="auto"/>
              </w:rPr>
            </w:pPr>
            <w:r>
              <w:rPr>
                <w:rFonts w:ascii="Arial" w:cs="Arial" w:eastAsia="Arial" w:hAnsi="Arial"/>
                <w:sz w:val="20"/>
                <w:szCs w:val="20"/>
                <w:color w:val="auto"/>
              </w:rPr>
              <w:t>Investments in marketable securities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w:t>
            </w:r>
          </w:p>
        </w:tc>
      </w:tr>
      <w:tr>
        <w:trPr>
          <w:trHeight w:val="206"/>
        </w:trPr>
        <w:tc>
          <w:tcPr>
            <w:tcW w:w="20" w:type="dxa"/>
            <w:vAlign w:val="bottom"/>
          </w:tcPr>
          <w:p>
            <w:pPr>
              <w:spacing w:after="0"/>
              <w:rPr>
                <w:sz w:val="17"/>
                <w:szCs w:val="17"/>
                <w:color w:val="auto"/>
              </w:rPr>
            </w:pPr>
          </w:p>
        </w:tc>
        <w:tc>
          <w:tcPr>
            <w:tcW w:w="6940" w:type="dxa"/>
            <w:vAlign w:val="bottom"/>
            <w:tcBorders>
              <w:bottom w:val="single" w:sz="8" w:color="CCEEFF"/>
            </w:tcBorders>
            <w:gridSpan w:val="3"/>
          </w:tcPr>
          <w:p>
            <w:pPr>
              <w:ind w:left="220"/>
              <w:spacing w:after="0" w:line="196" w:lineRule="exact"/>
              <w:rPr>
                <w:sz w:val="20"/>
                <w:szCs w:val="20"/>
                <w:color w:val="auto"/>
              </w:rPr>
            </w:pPr>
            <w:r>
              <w:rPr>
                <w:rFonts w:ascii="Arial" w:cs="Arial" w:eastAsia="Arial" w:hAnsi="Arial"/>
                <w:sz w:val="20"/>
                <w:szCs w:val="20"/>
                <w:b w:val="1"/>
                <w:bCs w:val="1"/>
                <w:color w:val="auto"/>
              </w:rPr>
              <w:t>Total prepaid and other current assets</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2,281</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20"/>
                <w:szCs w:val="20"/>
                <w:b w:val="1"/>
                <w:bCs w:val="1"/>
                <w:color w:val="auto"/>
              </w:rPr>
              <w:t>2,668</w:t>
            </w: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Other non-current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80"/>
              <w:spacing w:after="0" w:line="216" w:lineRule="exact"/>
              <w:rPr>
                <w:sz w:val="20"/>
                <w:szCs w:val="20"/>
                <w:color w:val="auto"/>
              </w:rPr>
            </w:pPr>
            <w:r>
              <w:rPr>
                <w:rFonts w:ascii="Arial" w:cs="Arial" w:eastAsia="Arial" w:hAnsi="Arial"/>
                <w:sz w:val="20"/>
                <w:szCs w:val="20"/>
                <w:color w:val="auto"/>
              </w:rPr>
              <w:t>Other non-cinema and non-rental real estate assets</w:t>
            </w:r>
          </w:p>
        </w:tc>
        <w:tc>
          <w:tcPr>
            <w:tcW w:w="240" w:type="dxa"/>
            <w:vAlign w:val="bottom"/>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674</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674</w:t>
            </w: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80"/>
              <w:spacing w:after="0" w:line="216" w:lineRule="exact"/>
              <w:rPr>
                <w:sz w:val="20"/>
                <w:szCs w:val="20"/>
                <w:color w:val="auto"/>
              </w:rPr>
            </w:pPr>
            <w:r>
              <w:rPr>
                <w:rFonts w:ascii="Arial" w:cs="Arial" w:eastAsia="Arial" w:hAnsi="Arial"/>
                <w:sz w:val="20"/>
                <w:szCs w:val="20"/>
                <w:color w:val="auto"/>
              </w:rPr>
              <w:t>Investment in Reading International Trust I</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838</w:t>
            </w:r>
          </w:p>
        </w:tc>
      </w:tr>
      <w:tr>
        <w:trPr>
          <w:trHeight w:val="216"/>
        </w:trPr>
        <w:tc>
          <w:tcPr>
            <w:tcW w:w="20" w:type="dxa"/>
            <w:vAlign w:val="bottom"/>
          </w:tcPr>
          <w:p>
            <w:pPr>
              <w:spacing w:after="0"/>
              <w:rPr>
                <w:sz w:val="18"/>
                <w:szCs w:val="18"/>
                <w:color w:val="auto"/>
              </w:rPr>
            </w:pPr>
          </w:p>
        </w:tc>
        <w:tc>
          <w:tcPr>
            <w:tcW w:w="6940" w:type="dxa"/>
            <w:vAlign w:val="bottom"/>
            <w:gridSpan w:val="3"/>
          </w:tcPr>
          <w:p>
            <w:pPr>
              <w:ind w:left="80"/>
              <w:spacing w:after="0" w:line="216" w:lineRule="exact"/>
              <w:rPr>
                <w:sz w:val="20"/>
                <w:szCs w:val="20"/>
                <w:color w:val="auto"/>
              </w:rPr>
            </w:pPr>
            <w:r>
              <w:rPr>
                <w:rFonts w:ascii="Arial" w:cs="Arial" w:eastAsia="Arial" w:hAnsi="Arial"/>
                <w:sz w:val="20"/>
                <w:szCs w:val="20"/>
                <w:color w:val="auto"/>
              </w:rPr>
              <w:t>Straight-line rent asset</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11,499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7,279</w:t>
            </w: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80"/>
              <w:spacing w:after="0" w:line="216" w:lineRule="exact"/>
              <w:rPr>
                <w:sz w:val="20"/>
                <w:szCs w:val="20"/>
                <w:color w:val="auto"/>
              </w:rPr>
            </w:pPr>
            <w:r>
              <w:rPr>
                <w:rFonts w:ascii="Arial" w:cs="Arial" w:eastAsia="Arial" w:hAnsi="Arial"/>
                <w:sz w:val="20"/>
                <w:szCs w:val="20"/>
                <w:color w:val="auto"/>
              </w:rPr>
              <w:t>Long-term 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ind w:left="80"/>
              <w:spacing w:after="0" w:line="216" w:lineRule="exact"/>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399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r>
      <w:tr>
        <w:trPr>
          <w:trHeight w:val="226"/>
        </w:trPr>
        <w:tc>
          <w:tcPr>
            <w:tcW w:w="20" w:type="dxa"/>
            <w:vAlign w:val="bottom"/>
          </w:tcPr>
          <w:p>
            <w:pPr>
              <w:spacing w:after="0"/>
              <w:rPr>
                <w:sz w:val="19"/>
                <w:szCs w:val="19"/>
                <w:color w:val="auto"/>
              </w:rPr>
            </w:pPr>
          </w:p>
        </w:tc>
        <w:tc>
          <w:tcPr>
            <w:tcW w:w="6940" w:type="dxa"/>
            <w:vAlign w:val="bottom"/>
            <w:tcBorders>
              <w:bottom w:val="single" w:sz="8" w:color="CCEEFF"/>
            </w:tcBorders>
            <w:gridSpan w:val="3"/>
            <w:shd w:val="clear" w:color="auto" w:fill="CCEEFF"/>
          </w:tcPr>
          <w:p>
            <w:pPr>
              <w:ind w:left="220"/>
              <w:spacing w:after="0" w:line="216" w:lineRule="exact"/>
              <w:rPr>
                <w:sz w:val="20"/>
                <w:szCs w:val="20"/>
                <w:color w:val="auto"/>
              </w:rPr>
            </w:pPr>
            <w:r>
              <w:rPr>
                <w:rFonts w:ascii="Arial" w:cs="Arial" w:eastAsia="Arial" w:hAnsi="Arial"/>
                <w:sz w:val="20"/>
                <w:szCs w:val="20"/>
                <w:b w:val="1"/>
                <w:bCs w:val="1"/>
                <w:color w:val="auto"/>
              </w:rPr>
              <w:t>Total non-current assets</w:t>
            </w: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13,418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shd w:val="clear" w:color="auto" w:fill="CCEEFF"/>
              </w:rPr>
              <w:t>$</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8,799</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400"/>
          </w:cols>
          <w:pgMar w:left="1260" w:top="1440" w:right="1246" w:bottom="0" w:gutter="0" w:footer="0" w:header="0"/>
          <w:type w:val="continuous"/>
        </w:sectPr>
      </w:pPr>
    </w:p>
    <w:bookmarkStart w:id="120" w:name="page121"/>
    <w:bookmarkEnd w:id="120"/>
    <w:p>
      <w:pPr>
        <w:jc w:val="center"/>
        <w:ind w:right="6"/>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11</w:t>
      </w:r>
    </w:p>
    <w:p>
      <w:pPr>
        <w:sectPr>
          <w:pgSz w:w="11900" w:h="16838" w:orient="portrait"/>
          <w:cols w:equalWidth="0" w:num="1">
            <w:col w:w="9026"/>
          </w:cols>
          <w:pgMar w:left="1440" w:top="1251" w:right="144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u w:val="single" w:color="auto"/>
          <w:color w:val="auto"/>
        </w:rPr>
        <w:t>NOTE 12 - INCOME TAXES</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OBBBA does not have a material effect on the Company's consolidated financial statements for the year ending December 31, 2025.</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Income before income taxes includes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United States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(30,056)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shd w:val="clear" w:color="auto" w:fill="CCEEFF"/>
              </w:rPr>
              <w:t>(29,986)</w:t>
            </w:r>
          </w:p>
        </w:tc>
      </w:tr>
      <w:tr>
        <w:trPr>
          <w:trHeight w:val="226"/>
        </w:trPr>
        <w:tc>
          <w:tcPr>
            <w:tcW w:w="552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Foreign</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4,129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(4,974)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(1,065)</w:t>
            </w:r>
          </w:p>
        </w:tc>
      </w:tr>
      <w:tr>
        <w:trPr>
          <w:trHeight w:val="198"/>
        </w:trPr>
        <w:tc>
          <w:tcPr>
            <w:tcW w:w="5520" w:type="dxa"/>
            <w:vAlign w:val="bottom"/>
            <w:shd w:val="clear" w:color="auto" w:fill="CCEEFF"/>
          </w:tcPr>
          <w:p>
            <w:pPr>
              <w:spacing w:after="0" w:line="198" w:lineRule="exact"/>
              <w:rPr>
                <w:sz w:val="20"/>
                <w:szCs w:val="20"/>
                <w:color w:val="auto"/>
              </w:rPr>
            </w:pPr>
            <w:r>
              <w:rPr>
                <w:rFonts w:ascii="Arial" w:cs="Arial" w:eastAsia="Arial" w:hAnsi="Arial"/>
                <w:sz w:val="20"/>
                <w:szCs w:val="20"/>
                <w:b w:val="1"/>
                <w:bCs w:val="1"/>
                <w:color w:val="auto"/>
              </w:rPr>
              <w:t>Income (loss) before income taxes and equity earnings of</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5520" w:type="dxa"/>
            <w:vAlign w:val="bottom"/>
            <w:shd w:val="clear" w:color="auto" w:fill="CCEEFF"/>
          </w:tcPr>
          <w:p>
            <w:pPr>
              <w:spacing w:after="0" w:line="219" w:lineRule="exact"/>
              <w:rPr>
                <w:sz w:val="20"/>
                <w:szCs w:val="20"/>
                <w:color w:val="auto"/>
              </w:rPr>
            </w:pPr>
            <w:r>
              <w:rPr>
                <w:rFonts w:ascii="Arial" w:cs="Arial" w:eastAsia="Arial" w:hAnsi="Arial"/>
                <w:sz w:val="20"/>
                <w:szCs w:val="20"/>
                <w:b w:val="1"/>
                <w:bCs w:val="1"/>
                <w:color w:val="auto"/>
              </w:rPr>
              <w:t>unconsolidated joint ventures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0"/>
              <w:spacing w:after="0" w:line="219"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rPr>
              <w:t>(14,359)</w:t>
            </w:r>
          </w:p>
        </w:tc>
        <w:tc>
          <w:tcPr>
            <w:tcW w:w="28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rPr>
              <w:t>(35,030)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19"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rPr>
              <w:t>(31,051)</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i w:val="1"/>
                <w:iCs w:val="1"/>
                <w:color w:val="auto"/>
              </w:rPr>
              <w:t>Equity earnings of unconsolidated joint ventures</w:t>
            </w:r>
            <w:r>
              <w:rPr>
                <w:rFonts w:ascii="Arial" w:cs="Arial" w:eastAsia="Arial" w:hAnsi="Arial"/>
                <w:sz w:val="20"/>
                <w:szCs w:val="20"/>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52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United States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552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Foreign</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(387)</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456</w:t>
            </w:r>
          </w:p>
        </w:tc>
      </w:tr>
      <w:tr>
        <w:trPr>
          <w:trHeight w:val="226"/>
        </w:trPr>
        <w:tc>
          <w:tcPr>
            <w:tcW w:w="5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Income (loss)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(13,799)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(35,417)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shd w:val="clear" w:color="auto" w:fill="CCEEFF"/>
              </w:rPr>
              <w:t>(30,595)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provision for income taxes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16"/>
        </w:trPr>
        <w:tc>
          <w:tcPr>
            <w:tcW w:w="3840" w:type="dxa"/>
            <w:vAlign w:val="bottom"/>
          </w:tcPr>
          <w:p>
            <w:pPr>
              <w:spacing w:after="0" w:line="216" w:lineRule="exact"/>
              <w:rPr>
                <w:sz w:val="20"/>
                <w:szCs w:val="20"/>
                <w:color w:val="auto"/>
              </w:rPr>
            </w:pPr>
            <w:r>
              <w:rPr>
                <w:rFonts w:ascii="Arial" w:cs="Arial" w:eastAsia="Arial" w:hAnsi="Arial"/>
                <w:sz w:val="20"/>
                <w:szCs w:val="20"/>
                <w:b w:val="1"/>
                <w:bCs w:val="1"/>
                <w:color w:val="auto"/>
              </w:rPr>
              <w:t>Current income tax expense (benefit)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Federal</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(800)</w:t>
            </w:r>
          </w:p>
        </w:tc>
      </w:tr>
      <w:tr>
        <w:trPr>
          <w:trHeight w:val="216"/>
        </w:trPr>
        <w:tc>
          <w:tcPr>
            <w:tcW w:w="3840" w:type="dxa"/>
            <w:vAlign w:val="bottom"/>
          </w:tcPr>
          <w:p>
            <w:pPr>
              <w:ind w:left="100"/>
              <w:spacing w:after="0" w:line="216" w:lineRule="exact"/>
              <w:rPr>
                <w:sz w:val="20"/>
                <w:szCs w:val="20"/>
                <w:color w:val="auto"/>
              </w:rPr>
            </w:pPr>
            <w:r>
              <w:rPr>
                <w:rFonts w:ascii="Arial" w:cs="Arial" w:eastAsia="Arial" w:hAnsi="Arial"/>
                <w:sz w:val="20"/>
                <w:szCs w:val="20"/>
                <w:color w:val="auto"/>
              </w:rPr>
              <w:t>State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49</w:t>
            </w:r>
          </w:p>
        </w:tc>
      </w:tr>
      <w:tr>
        <w:trPr>
          <w:trHeight w:val="236"/>
        </w:trPr>
        <w:tc>
          <w:tcPr>
            <w:tcW w:w="3840" w:type="dxa"/>
            <w:vAlign w:val="bottom"/>
            <w:tcBorders>
              <w:bottom w:val="single" w:sz="8" w:color="CCEEFF"/>
            </w:tcBorders>
            <w:shd w:val="clear" w:color="auto" w:fill="CCEEFF"/>
          </w:tcPr>
          <w:p>
            <w:pPr>
              <w:ind w:left="100"/>
              <w:spacing w:after="0" w:line="216" w:lineRule="exact"/>
              <w:rPr>
                <w:sz w:val="20"/>
                <w:szCs w:val="20"/>
                <w:color w:val="auto"/>
              </w:rPr>
            </w:pPr>
            <w:r>
              <w:rPr>
                <w:rFonts w:ascii="Arial" w:cs="Arial" w:eastAsia="Arial" w:hAnsi="Arial"/>
                <w:sz w:val="20"/>
                <w:szCs w:val="20"/>
                <w:color w:val="auto"/>
              </w:rPr>
              <w:t>Foreign</w:t>
            </w:r>
          </w:p>
        </w:tc>
        <w:tc>
          <w:tcPr>
            <w:tcW w:w="16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2,396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1,441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927</w:t>
            </w:r>
          </w:p>
        </w:tc>
      </w:tr>
      <w:tr>
        <w:trPr>
          <w:trHeight w:val="196"/>
        </w:trPr>
        <w:tc>
          <w:tcPr>
            <w:tcW w:w="3840" w:type="dxa"/>
            <w:vAlign w:val="bottom"/>
            <w:tcBorders>
              <w:bottom w:val="single" w:sz="8" w:color="CCEEFF"/>
            </w:tcBorders>
          </w:tcPr>
          <w:p>
            <w:pPr>
              <w:ind w:left="240"/>
              <w:spacing w:after="0" w:line="196" w:lineRule="exact"/>
              <w:rPr>
                <w:sz w:val="20"/>
                <w:szCs w:val="20"/>
                <w:color w:val="auto"/>
              </w:rPr>
            </w:pPr>
            <w:r>
              <w:rPr>
                <w:rFonts w:ascii="Arial" w:cs="Arial" w:eastAsia="Arial" w:hAnsi="Arial"/>
                <w:sz w:val="20"/>
                <w:szCs w:val="20"/>
                <w:color w:val="auto"/>
              </w:rPr>
              <w:t>Total</w:t>
            </w:r>
          </w:p>
        </w:tc>
        <w:tc>
          <w:tcPr>
            <w:tcW w:w="1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2,436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1,483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176</w:t>
            </w:r>
          </w:p>
        </w:tc>
      </w:tr>
      <w:tr>
        <w:trPr>
          <w:trHeight w:val="216"/>
        </w:trPr>
        <w:tc>
          <w:tcPr>
            <w:tcW w:w="3840" w:type="dxa"/>
            <w:vAlign w:val="bottom"/>
            <w:shd w:val="clear" w:color="auto" w:fill="CCEEFF"/>
          </w:tcPr>
          <w:p>
            <w:pPr>
              <w:spacing w:after="0" w:line="210" w:lineRule="exact"/>
              <w:rPr>
                <w:sz w:val="20"/>
                <w:szCs w:val="20"/>
                <w:color w:val="auto"/>
              </w:rPr>
            </w:pPr>
            <w:r>
              <w:rPr>
                <w:rFonts w:ascii="Arial" w:cs="Arial" w:eastAsia="Arial" w:hAnsi="Arial"/>
                <w:sz w:val="20"/>
                <w:szCs w:val="20"/>
                <w:b w:val="1"/>
                <w:bCs w:val="1"/>
                <w:color w:val="auto"/>
              </w:rPr>
              <w:t>Deferred income tax expense (benefit)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40" w:type="dxa"/>
            <w:vAlign w:val="bottom"/>
          </w:tcPr>
          <w:p>
            <w:pPr>
              <w:ind w:left="100"/>
              <w:spacing w:after="0" w:line="216" w:lineRule="exact"/>
              <w:rPr>
                <w:sz w:val="20"/>
                <w:szCs w:val="20"/>
                <w:color w:val="auto"/>
              </w:rPr>
            </w:pPr>
            <w:r>
              <w:rPr>
                <w:rFonts w:ascii="Arial" w:cs="Arial" w:eastAsia="Arial" w:hAnsi="Arial"/>
                <w:sz w:val="20"/>
                <w:szCs w:val="20"/>
                <w:color w:val="auto"/>
              </w:rPr>
              <w:t>Federal</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2</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r>
      <w:tr>
        <w:trPr>
          <w:trHeight w:val="216"/>
        </w:trPr>
        <w:tc>
          <w:tcPr>
            <w:tcW w:w="38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State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w:t>
            </w:r>
          </w:p>
        </w:tc>
      </w:tr>
      <w:tr>
        <w:trPr>
          <w:trHeight w:val="216"/>
        </w:trPr>
        <w:tc>
          <w:tcPr>
            <w:tcW w:w="384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Foreign</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(1,004)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414</w:t>
            </w:r>
          </w:p>
        </w:tc>
      </w:tr>
      <w:tr>
        <w:trPr>
          <w:trHeight w:val="236"/>
        </w:trPr>
        <w:tc>
          <w:tcPr>
            <w:tcW w:w="3840" w:type="dxa"/>
            <w:vAlign w:val="bottom"/>
            <w:tcBorders>
              <w:bottom w:val="single" w:sz="8" w:color="CCEEFF"/>
            </w:tcBorders>
            <w:shd w:val="clear" w:color="auto" w:fill="CCEEFF"/>
          </w:tcPr>
          <w:p>
            <w:pPr>
              <w:ind w:left="240"/>
              <w:spacing w:after="0" w:line="210" w:lineRule="exact"/>
              <w:rPr>
                <w:sz w:val="20"/>
                <w:szCs w:val="20"/>
                <w:color w:val="auto"/>
              </w:rPr>
            </w:pPr>
            <w:r>
              <w:rPr>
                <w:rFonts w:ascii="Arial" w:cs="Arial" w:eastAsia="Arial" w:hAnsi="Arial"/>
                <w:sz w:val="20"/>
                <w:szCs w:val="20"/>
                <w:color w:val="auto"/>
              </w:rPr>
              <w:t>Total</w:t>
            </w:r>
          </w:p>
        </w:tc>
        <w:tc>
          <w:tcPr>
            <w:tcW w:w="16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(1,583)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(1,002)</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414</w:t>
            </w:r>
          </w:p>
        </w:tc>
      </w:tr>
      <w:tr>
        <w:trPr>
          <w:trHeight w:val="206"/>
        </w:trPr>
        <w:tc>
          <w:tcPr>
            <w:tcW w:w="3840" w:type="dxa"/>
            <w:vAlign w:val="bottom"/>
          </w:tcPr>
          <w:p>
            <w:pPr>
              <w:spacing w:after="0" w:line="196" w:lineRule="exact"/>
              <w:rPr>
                <w:sz w:val="20"/>
                <w:szCs w:val="20"/>
                <w:color w:val="auto"/>
              </w:rPr>
            </w:pPr>
            <w:r>
              <w:rPr>
                <w:rFonts w:ascii="Arial" w:cs="Arial" w:eastAsia="Arial" w:hAnsi="Arial"/>
                <w:sz w:val="20"/>
                <w:szCs w:val="20"/>
                <w:b w:val="1"/>
                <w:bCs w:val="1"/>
                <w:color w:val="auto"/>
              </w:rPr>
              <w:t>Total income tax expense (benefit)</w:t>
            </w:r>
          </w:p>
        </w:tc>
        <w:tc>
          <w:tcPr>
            <w:tcW w:w="184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853</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481</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590</w:t>
            </w:r>
          </w:p>
        </w:tc>
      </w:tr>
      <w:tr>
        <w:trPr>
          <w:trHeight w:val="433"/>
        </w:trPr>
        <w:tc>
          <w:tcPr>
            <w:tcW w:w="3840" w:type="dxa"/>
            <w:vAlign w:val="bottom"/>
          </w:tcPr>
          <w:p>
            <w:pPr>
              <w:spacing w:after="0"/>
              <w:rPr>
                <w:sz w:val="24"/>
                <w:szCs w:val="24"/>
                <w:color w:val="auto"/>
              </w:rPr>
            </w:pPr>
          </w:p>
        </w:tc>
        <w:tc>
          <w:tcPr>
            <w:tcW w:w="1680" w:type="dxa"/>
            <w:vAlign w:val="bottom"/>
          </w:tcPr>
          <w:p>
            <w:pPr>
              <w:jc w:val="right"/>
              <w:ind w:right="520"/>
              <w:spacing w:after="0"/>
              <w:rPr>
                <w:sz w:val="20"/>
                <w:szCs w:val="20"/>
                <w:color w:val="auto"/>
              </w:rPr>
            </w:pPr>
            <w:r>
              <w:rPr>
                <w:rFonts w:ascii="Arial" w:cs="Arial" w:eastAsia="Arial" w:hAnsi="Arial"/>
                <w:sz w:val="20"/>
                <w:szCs w:val="20"/>
                <w:color w:val="auto"/>
              </w:rPr>
              <w:t>- 76 -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9"/>
        </w:trPr>
        <w:tc>
          <w:tcPr>
            <w:tcW w:w="384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11</w:t>
      </w:r>
    </w:p>
    <w:p>
      <w:pPr>
        <w:sectPr>
          <w:pgSz w:w="11900" w:h="16838" w:orient="portrait"/>
          <w:cols w:equalWidth="0" w:num="1">
            <w:col w:w="9400"/>
          </w:cols>
          <w:pgMar w:left="1260" w:top="1121" w:right="1246" w:bottom="0" w:gutter="0" w:footer="0" w:header="0"/>
          <w:type w:val="continuous"/>
        </w:sectPr>
      </w:pPr>
    </w:p>
    <w:bookmarkStart w:id="122" w:name="page123"/>
    <w:bookmarkEnd w:id="122"/>
    <w:p>
      <w:pPr>
        <w:jc w:val="both"/>
        <w:ind w:right="60"/>
        <w:spacing w:after="0" w:line="238" w:lineRule="auto"/>
        <w:rPr>
          <w:sz w:val="20"/>
          <w:szCs w:val="20"/>
          <w:color w:val="auto"/>
        </w:rPr>
      </w:pPr>
      <w:r>
        <w:rPr>
          <w:rFonts w:ascii="Arial" w:cs="Arial" w:eastAsia="Arial" w:hAnsi="Arial"/>
          <w:sz w:val="19"/>
          <w:szCs w:val="19"/>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gridSpan w:val="3"/>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2"/>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1"/>
              <w:spacing w:after="0" w:line="173" w:lineRule="exact"/>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color w:val="auto"/>
              </w:rPr>
              <w:t>Deferred Tax Assets: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Net operating loss carry-forwards</w:t>
            </w: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39,979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Foreign Tax Credit</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3,743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Compensation and employee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2,906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Deferred revenue</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3,099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Accrued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32,442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Lease obligations</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36,245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39,477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Land and property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2"/>
          </w:tcPr>
          <w:p>
            <w:pPr>
              <w:ind w:left="80"/>
              <w:spacing w:after="0" w:line="216" w:lineRule="exact"/>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167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Total Deferred Tax Assets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119,749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91"/>
              </w:rPr>
              <w:t>112,882</w:t>
            </w:r>
          </w:p>
        </w:tc>
        <w:tc>
          <w:tcPr>
            <w:tcW w:w="0" w:type="dxa"/>
            <w:vAlign w:val="bottom"/>
          </w:tcPr>
          <w:p>
            <w:pPr>
              <w:spacing w:after="0"/>
              <w:rPr>
                <w:sz w:val="1"/>
                <w:szCs w:val="1"/>
                <w:color w:val="auto"/>
              </w:rPr>
            </w:pPr>
          </w:p>
        </w:tc>
      </w:tr>
      <w:tr>
        <w:trPr>
          <w:trHeight w:val="196"/>
        </w:trPr>
        <w:tc>
          <w:tcPr>
            <w:tcW w:w="6960" w:type="dxa"/>
            <w:vAlign w:val="bottom"/>
            <w:gridSpan w:val="3"/>
          </w:tcPr>
          <w:p>
            <w:pPr>
              <w:spacing w:after="0" w:line="196" w:lineRule="exact"/>
              <w:rPr>
                <w:sz w:val="20"/>
                <w:szCs w:val="20"/>
                <w:color w:val="auto"/>
              </w:rPr>
            </w:pPr>
            <w:r>
              <w:rPr>
                <w:rFonts w:ascii="Arial" w:cs="Arial" w:eastAsia="Arial" w:hAnsi="Arial"/>
                <w:sz w:val="20"/>
                <w:szCs w:val="20"/>
                <w:color w:val="auto"/>
              </w:rPr>
              <w:t>Deferred Tax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Lease liabilities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(46,074)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9"/>
              </w:rPr>
              <w:t>(44,363)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Accrued taxes</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(613)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Intangibles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(324)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80"/>
              <w:spacing w:after="0" w:line="216" w:lineRule="exact"/>
              <w:rPr>
                <w:sz w:val="20"/>
                <w:szCs w:val="20"/>
                <w:color w:val="auto"/>
              </w:rPr>
            </w:pPr>
            <w:r>
              <w:rPr>
                <w:rFonts w:ascii="Arial" w:cs="Arial" w:eastAsia="Arial" w:hAnsi="Arial"/>
                <w:sz w:val="20"/>
                <w:szCs w:val="20"/>
                <w:color w:val="auto"/>
              </w:rPr>
              <w:t>Other</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(47,011)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99"/>
              </w:rPr>
              <w:t>(45,401)</w:t>
            </w:r>
          </w:p>
        </w:tc>
        <w:tc>
          <w:tcPr>
            <w:tcW w:w="0" w:type="dxa"/>
            <w:vAlign w:val="bottom"/>
          </w:tcPr>
          <w:p>
            <w:pPr>
              <w:spacing w:after="0"/>
              <w:rPr>
                <w:sz w:val="1"/>
                <w:szCs w:val="1"/>
                <w:color w:val="auto"/>
              </w:rPr>
            </w:pPr>
          </w:p>
        </w:tc>
      </w:tr>
      <w:tr>
        <w:trPr>
          <w:trHeight w:val="196"/>
        </w:trPr>
        <w:tc>
          <w:tcPr>
            <w:tcW w:w="6960" w:type="dxa"/>
            <w:vAlign w:val="bottom"/>
            <w:gridSpan w:val="3"/>
          </w:tcPr>
          <w:p>
            <w:pPr>
              <w:spacing w:after="0" w:line="196" w:lineRule="exact"/>
              <w:rPr>
                <w:sz w:val="20"/>
                <w:szCs w:val="20"/>
                <w:color w:val="auto"/>
              </w:rPr>
            </w:pPr>
            <w:r>
              <w:rPr>
                <w:rFonts w:ascii="Arial" w:cs="Arial" w:eastAsia="Arial" w:hAnsi="Arial"/>
                <w:sz w:val="20"/>
                <w:szCs w:val="20"/>
                <w:color w:val="auto"/>
              </w:rPr>
              <w:t>Net deferred tax assets before valuation allowance</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20"/>
                <w:szCs w:val="20"/>
                <w:color w:val="auto"/>
              </w:rPr>
              <w:t>72,738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20"/>
                <w:szCs w:val="20"/>
                <w:color w:val="auto"/>
              </w:rPr>
              <w:t>67,481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20"/>
                <w:szCs w:val="20"/>
                <w:color w:val="auto"/>
              </w:rPr>
              <w:t>Valuation allowance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(70,119)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9"/>
              </w:rPr>
              <w:t>(66,528)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gridSpan w:val="3"/>
          </w:tcPr>
          <w:p>
            <w:pPr>
              <w:spacing w:after="0" w:line="196" w:lineRule="exact"/>
              <w:rPr>
                <w:sz w:val="20"/>
                <w:szCs w:val="20"/>
                <w:color w:val="auto"/>
              </w:rPr>
            </w:pPr>
            <w:r>
              <w:rPr>
                <w:rFonts w:ascii="Arial" w:cs="Arial" w:eastAsia="Arial" w:hAnsi="Arial"/>
                <w:sz w:val="20"/>
                <w:szCs w:val="20"/>
                <w:b w:val="1"/>
                <w:bCs w:val="1"/>
                <w:color w:val="auto"/>
              </w:rPr>
              <w:t>Net deferred tax asset</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2,619</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953</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2025, based on all available evidence, we believe the U.S., state, and New Zealand deferred tax assets do not support a conclusion of being more-likely-than-not to be realized. Accordingly, we</w:t>
      </w:r>
    </w:p>
    <w:p>
      <w:pPr>
        <w:spacing w:after="0"/>
        <w:tabs>
          <w:tab w:leader="none" w:pos="1520" w:val="left"/>
          <w:tab w:leader="none" w:pos="2560" w:val="left"/>
          <w:tab w:leader="none" w:pos="4080" w:val="left"/>
          <w:tab w:leader="none" w:pos="5080" w:val="left"/>
          <w:tab w:leader="none" w:pos="6680" w:val="left"/>
          <w:tab w:leader="none" w:pos="8360" w:val="left"/>
        </w:tabs>
        <w:rPr>
          <w:sz w:val="20"/>
          <w:szCs w:val="20"/>
          <w:color w:val="auto"/>
        </w:rPr>
      </w:pPr>
      <w:r>
        <w:rPr>
          <w:rFonts w:ascii="Arial" w:cs="Arial" w:eastAsia="Arial" w:hAnsi="Arial"/>
          <w:sz w:val="20"/>
          <w:szCs w:val="20"/>
          <w:color w:val="auto"/>
        </w:rPr>
        <w:t>recorded</w:t>
      </w:r>
      <w:r>
        <w:rPr>
          <w:sz w:val="20"/>
          <w:szCs w:val="20"/>
          <w:color w:val="auto"/>
        </w:rPr>
        <w:tab/>
      </w:r>
      <w:r>
        <w:rPr>
          <w:rFonts w:ascii="Arial" w:cs="Arial" w:eastAsia="Arial" w:hAnsi="Arial"/>
          <w:sz w:val="20"/>
          <w:szCs w:val="20"/>
          <w:color w:val="auto"/>
        </w:rPr>
        <w:t>an</w:t>
      </w:r>
      <w:r>
        <w:rPr>
          <w:sz w:val="20"/>
          <w:szCs w:val="20"/>
          <w:color w:val="auto"/>
        </w:rPr>
        <w:tab/>
      </w:r>
      <w:r>
        <w:rPr>
          <w:rFonts w:ascii="Arial" w:cs="Arial" w:eastAsia="Arial" w:hAnsi="Arial"/>
          <w:sz w:val="20"/>
          <w:szCs w:val="20"/>
          <w:color w:val="auto"/>
        </w:rPr>
        <w:t>increase</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valuation</w:t>
      </w:r>
      <w:r>
        <w:rPr>
          <w:sz w:val="20"/>
          <w:szCs w:val="20"/>
          <w:color w:val="auto"/>
        </w:rPr>
        <w:tab/>
      </w:r>
      <w:r>
        <w:rPr>
          <w:rFonts w:ascii="Arial" w:cs="Arial" w:eastAsia="Arial" w:hAnsi="Arial"/>
          <w:sz w:val="20"/>
          <w:szCs w:val="20"/>
          <w:color w:val="auto"/>
        </w:rPr>
        <w:t>allowance</w:t>
      </w:r>
      <w:r>
        <w:rPr>
          <w:sz w:val="20"/>
          <w:szCs w:val="20"/>
          <w:color w:val="auto"/>
        </w:rPr>
        <w:tab/>
      </w:r>
      <w:r>
        <w:rPr>
          <w:rFonts w:ascii="Arial" w:cs="Arial" w:eastAsia="Arial" w:hAnsi="Arial"/>
          <w:sz w:val="19"/>
          <w:szCs w:val="19"/>
          <w:color w:val="auto"/>
        </w:rPr>
        <w:t>of</w:t>
      </w:r>
    </w:p>
    <w:p>
      <w:pPr>
        <w:ind w:right="60"/>
        <w:spacing w:after="0" w:line="227" w:lineRule="auto"/>
        <w:rPr>
          <w:sz w:val="20"/>
          <w:szCs w:val="20"/>
          <w:color w:val="auto"/>
        </w:rPr>
      </w:pPr>
      <w:r>
        <w:rPr>
          <w:rFonts w:ascii="Arial" w:cs="Arial" w:eastAsia="Arial" w:hAnsi="Arial"/>
          <w:sz w:val="20"/>
          <w:szCs w:val="20"/>
          <w:color w:val="auto"/>
        </w:rPr>
        <w:t>$70.1 million. We reassess the valuation allowance quarterly and a tax benefit is recorded if future evidence allows for a partial or full release of the valuation allowance.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we had the following carry-forwards:</w:t>
      </w:r>
    </w:p>
    <w:p>
      <w:pPr>
        <w:spacing w:after="0" w:line="86" w:lineRule="exact"/>
        <w:rPr>
          <w:sz w:val="20"/>
          <w:szCs w:val="20"/>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$105.4 million in Federal loss carry-forwards with no expiration date;</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$77.3 million in California loss carry-forwards expiring in 2045;</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$42.8 million in Hawaii loss carry-forwards expiring in 2045;</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$4.7 million in New Jersey state loss carry-forwards expiring in 2045;</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$57.1 million in New York state loss carry-forwards expiring in 2045;</w:t>
      </w:r>
    </w:p>
    <w:p>
      <w:pPr>
        <w:spacing w:after="0" w:line="115" w:lineRule="exact"/>
        <w:rPr>
          <w:rFonts w:ascii="Wingdings" w:cs="Wingdings" w:eastAsia="Wingdings" w:hAnsi="Wingdings"/>
          <w:sz w:val="16"/>
          <w:szCs w:val="16"/>
          <w:color w:val="auto"/>
        </w:rPr>
      </w:pPr>
    </w:p>
    <w:p>
      <w:pPr>
        <w:ind w:left="720" w:hanging="366"/>
        <w:spacing w:after="0"/>
        <w:tabs>
          <w:tab w:leader="none" w:pos="720" w:val="left"/>
        </w:tabs>
        <w:numPr>
          <w:ilvl w:val="0"/>
          <w:numId w:val="53"/>
        </w:numPr>
        <w:rPr>
          <w:rFonts w:ascii="Wingdings" w:cs="Wingdings" w:eastAsia="Wingdings" w:hAnsi="Wingdings"/>
          <w:sz w:val="16"/>
          <w:szCs w:val="16"/>
          <w:color w:val="auto"/>
        </w:rPr>
      </w:pPr>
      <w:r>
        <w:rPr>
          <w:rFonts w:ascii="Arial" w:cs="Arial" w:eastAsia="Arial" w:hAnsi="Arial"/>
          <w:sz w:val="20"/>
          <w:szCs w:val="20"/>
          <w:color w:val="auto"/>
        </w:rPr>
        <w:t>approximately $48.8 million in New York city loss carry-forwards expiring in 2045; and,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We expect no substantial limitations on the future use of U.S. loss carry-forwards.</w:t>
      </w:r>
    </w:p>
    <w:p>
      <w:pPr>
        <w:spacing w:after="0" w:line="20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11</w:t>
      </w:r>
    </w:p>
    <w:p>
      <w:pPr>
        <w:sectPr>
          <w:pgSz w:w="11900" w:h="16838" w:orient="portrait"/>
          <w:cols w:equalWidth="0" w:num="1">
            <w:col w:w="9400"/>
          </w:cols>
          <w:pgMar w:left="1260" w:top="1347" w:right="1246" w:bottom="0" w:gutter="0" w:footer="0" w:header="0"/>
          <w:type w:val="continuous"/>
        </w:sectPr>
      </w:pPr>
    </w:p>
    <w:bookmarkStart w:id="123" w:name="page124"/>
    <w:bookmarkEnd w:id="123"/>
    <w:p>
      <w:pPr>
        <w:jc w:val="both"/>
        <w:ind w:right="80"/>
        <w:spacing w:after="0" w:line="226" w:lineRule="auto"/>
        <w:rPr>
          <w:sz w:val="20"/>
          <w:szCs w:val="20"/>
          <w:color w:val="auto"/>
        </w:rPr>
      </w:pPr>
      <w:r>
        <w:rPr>
          <w:rFonts w:ascii="Arial" w:cs="Arial" w:eastAsia="Arial" w:hAnsi="Arial"/>
          <w:sz w:val="20"/>
          <w:szCs w:val="20"/>
          <w:color w:val="auto"/>
        </w:rPr>
        <w:t>We adopted ASU 2023-09 Income Taxes (Topic 740): Improvements To Income Tax Disclosures on a prospective basis beginning with the year ended December 31, 2025. The following table presents required disclosure pursuant to ASU 2023-09 and reconciles the U.S. federal statutory tax amount and rate to our actual global effective amount and rate for the year ended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63"/>
              <w:spacing w:after="0"/>
              <w:rPr>
                <w:sz w:val="20"/>
                <w:szCs w:val="20"/>
                <w:color w:val="auto"/>
              </w:rPr>
            </w:pPr>
            <w:r>
              <w:rPr>
                <w:rFonts w:ascii="Arial" w:cs="Arial" w:eastAsia="Arial" w:hAnsi="Arial"/>
                <w:sz w:val="16"/>
                <w:szCs w:val="16"/>
                <w:b w:val="1"/>
                <w:bCs w:val="1"/>
                <w:color w:val="auto"/>
                <w:w w:val="98"/>
              </w:rPr>
              <w:t>% of pre-tax</w:t>
            </w:r>
          </w:p>
        </w:tc>
      </w:tr>
      <w:tr>
        <w:trPr>
          <w:trHeight w:val="185"/>
        </w:trPr>
        <w:tc>
          <w:tcPr>
            <w:tcW w:w="658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6"/>
                <w:szCs w:val="16"/>
                <w:color w:val="auto"/>
              </w:rPr>
            </w:pPr>
          </w:p>
        </w:tc>
        <w:tc>
          <w:tcPr>
            <w:tcW w:w="1160" w:type="dxa"/>
            <w:vAlign w:val="bottom"/>
          </w:tcPr>
          <w:p>
            <w:pPr>
              <w:jc w:val="right"/>
              <w:ind w:right="401"/>
              <w:spacing w:after="0" w:line="175"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43"/>
              <w:spacing w:after="0" w:line="175" w:lineRule="exact"/>
              <w:rPr>
                <w:sz w:val="20"/>
                <w:szCs w:val="20"/>
                <w:color w:val="auto"/>
              </w:rPr>
            </w:pPr>
            <w:r>
              <w:rPr>
                <w:rFonts w:ascii="Arial" w:cs="Arial" w:eastAsia="Arial" w:hAnsi="Arial"/>
                <w:sz w:val="16"/>
                <w:szCs w:val="16"/>
                <w:b w:val="1"/>
                <w:bCs w:val="1"/>
                <w:color w:val="auto"/>
              </w:rPr>
              <w:t>income</w:t>
            </w:r>
          </w:p>
        </w:tc>
      </w:tr>
      <w:tr>
        <w:trPr>
          <w:trHeight w:val="216"/>
        </w:trPr>
        <w:tc>
          <w:tcPr>
            <w:tcW w:w="64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U.S. Federal Statutory Tax Rate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(2,898)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21.0%</w:t>
            </w:r>
          </w:p>
        </w:tc>
      </w:tr>
      <w:tr>
        <w:trPr>
          <w:trHeight w:val="216"/>
        </w:trPr>
        <w:tc>
          <w:tcPr>
            <w:tcW w:w="6580" w:type="dxa"/>
            <w:vAlign w:val="bottom"/>
            <w:gridSpan w:val="2"/>
          </w:tcPr>
          <w:p>
            <w:pPr>
              <w:spacing w:after="0" w:line="216" w:lineRule="exact"/>
              <w:rPr>
                <w:sz w:val="20"/>
                <w:szCs w:val="20"/>
                <w:color w:val="auto"/>
              </w:rPr>
            </w:pPr>
            <w:r>
              <w:rPr>
                <w:rFonts w:ascii="Arial" w:cs="Arial" w:eastAsia="Arial" w:hAnsi="Arial"/>
                <w:sz w:val="20"/>
                <w:szCs w:val="20"/>
                <w:color w:val="auto"/>
              </w:rPr>
              <w:t>State and Local Income Taxes, Net of Federal Income Tax Effect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Foreign Tax Effects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(0.2)%</w:t>
            </w:r>
          </w:p>
        </w:tc>
      </w:tr>
      <w:tr>
        <w:trPr>
          <w:trHeight w:val="216"/>
        </w:trPr>
        <w:tc>
          <w:tcPr>
            <w:tcW w:w="6580" w:type="dxa"/>
            <w:vAlign w:val="bottom"/>
            <w:gridSpan w:val="2"/>
          </w:tcPr>
          <w:p>
            <w:pPr>
              <w:ind w:left="240"/>
              <w:spacing w:after="0" w:line="216" w:lineRule="exact"/>
              <w:rPr>
                <w:sz w:val="20"/>
                <w:szCs w:val="20"/>
                <w:color w:val="auto"/>
              </w:rPr>
            </w:pPr>
            <w:r>
              <w:rPr>
                <w:rFonts w:ascii="Arial" w:cs="Arial" w:eastAsia="Arial" w:hAnsi="Arial"/>
                <w:sz w:val="20"/>
                <w:szCs w:val="20"/>
                <w:color w:val="auto"/>
              </w:rPr>
              <w:t>Australia</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20"/>
                <w:szCs w:val="20"/>
                <w:color w:val="auto"/>
              </w:rPr>
              <w:t>Statutory tax rate difference between Australia and United States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w:t>
            </w:r>
          </w:p>
        </w:tc>
      </w:tr>
      <w:tr>
        <w:trPr>
          <w:trHeight w:val="216"/>
        </w:trPr>
        <w:tc>
          <w:tcPr>
            <w:tcW w:w="6580" w:type="dxa"/>
            <w:vAlign w:val="bottom"/>
            <w:gridSpan w:val="2"/>
          </w:tcPr>
          <w:p>
            <w:pPr>
              <w:ind w:left="240"/>
              <w:spacing w:after="0" w:line="216" w:lineRule="exact"/>
              <w:rPr>
                <w:sz w:val="20"/>
                <w:szCs w:val="20"/>
                <w:color w:val="auto"/>
              </w:rPr>
            </w:pPr>
            <w:r>
              <w:rPr>
                <w:rFonts w:ascii="Arial" w:cs="Arial" w:eastAsia="Arial" w:hAnsi="Arial"/>
                <w:sz w:val="20"/>
                <w:szCs w:val="20"/>
                <w:color w:val="auto"/>
              </w:rPr>
              <w:t>New Zealand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20"/>
                <w:szCs w:val="20"/>
                <w:color w:val="auto"/>
              </w:rPr>
              <w:t>Statutory tax rate difference between New Zealand and United States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w:t>
            </w:r>
          </w:p>
        </w:tc>
      </w:tr>
      <w:tr>
        <w:trPr>
          <w:trHeight w:val="216"/>
        </w:trPr>
        <w:tc>
          <w:tcPr>
            <w:tcW w:w="6580" w:type="dxa"/>
            <w:vAlign w:val="bottom"/>
            <w:gridSpan w:val="2"/>
          </w:tcPr>
          <w:p>
            <w:pPr>
              <w:ind w:left="360"/>
              <w:spacing w:after="0" w:line="216" w:lineRule="exact"/>
              <w:rPr>
                <w:sz w:val="20"/>
                <w:szCs w:val="20"/>
                <w:color w:val="auto"/>
              </w:rPr>
            </w:pPr>
            <w:r>
              <w:rPr>
                <w:rFonts w:ascii="Arial" w:cs="Arial" w:eastAsia="Arial" w:hAnsi="Arial"/>
                <w:sz w:val="20"/>
                <w:szCs w:val="20"/>
                <w:color w:val="auto"/>
              </w:rPr>
              <w:t>Change in Valuation Allowance</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(1,050)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7.6%</w:t>
            </w:r>
          </w:p>
        </w:tc>
      </w:tr>
      <w:tr>
        <w:trPr>
          <w:trHeight w:val="216"/>
        </w:trPr>
        <w:tc>
          <w:tcPr>
            <w:tcW w:w="65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Effect of Changes in Tax Laws or Rates Enacted in the Current Period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658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Effect of Cross-Border Tax Laws</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65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Tax Credits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658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Change in Valuation Allowance</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3,449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(25.0)%</w:t>
            </w:r>
          </w:p>
        </w:tc>
      </w:tr>
      <w:tr>
        <w:trPr>
          <w:trHeight w:val="216"/>
        </w:trPr>
        <w:tc>
          <w:tcPr>
            <w:tcW w:w="65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Nontaxable or Nondeductible Items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(4.0)%</w:t>
            </w:r>
          </w:p>
        </w:tc>
      </w:tr>
      <w:tr>
        <w:trPr>
          <w:trHeight w:val="216"/>
        </w:trPr>
        <w:tc>
          <w:tcPr>
            <w:tcW w:w="658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Change in Unrecognized Tax Benefits</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(1.8)%</w:t>
            </w:r>
          </w:p>
        </w:tc>
      </w:tr>
      <w:tr>
        <w:trPr>
          <w:trHeight w:val="236"/>
        </w:trPr>
        <w:tc>
          <w:tcPr>
            <w:tcW w:w="6580" w:type="dxa"/>
            <w:vAlign w:val="bottom"/>
            <w:tcBorders>
              <w:bottom w:val="single" w:sz="8" w:color="CCEEFF"/>
            </w:tcBorders>
            <w:gridSpan w:val="2"/>
            <w:shd w:val="clear" w:color="auto" w:fill="CCEEFF"/>
          </w:tcPr>
          <w:p>
            <w:pPr>
              <w:ind w:left="100"/>
              <w:spacing w:after="0" w:line="216" w:lineRule="exact"/>
              <w:rPr>
                <w:sz w:val="20"/>
                <w:szCs w:val="20"/>
                <w:color w:val="auto"/>
              </w:rPr>
            </w:pPr>
            <w:r>
              <w:rPr>
                <w:rFonts w:ascii="Arial" w:cs="Arial" w:eastAsia="Arial" w:hAnsi="Arial"/>
                <w:sz w:val="20"/>
                <w:szCs w:val="20"/>
                <w:color w:val="auto"/>
              </w:rPr>
              <w:t>Other Adjustments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160</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06"/>
        </w:trPr>
        <w:tc>
          <w:tcPr>
            <w:tcW w:w="6580" w:type="dxa"/>
            <w:vAlign w:val="bottom"/>
            <w:gridSpan w:val="2"/>
          </w:tcPr>
          <w:p>
            <w:pPr>
              <w:spacing w:after="0" w:line="196" w:lineRule="exact"/>
              <w:rPr>
                <w:sz w:val="20"/>
                <w:szCs w:val="20"/>
                <w:color w:val="auto"/>
              </w:rPr>
            </w:pPr>
            <w:r>
              <w:rPr>
                <w:rFonts w:ascii="Arial" w:cs="Arial" w:eastAsia="Arial" w:hAnsi="Arial"/>
                <w:sz w:val="20"/>
                <w:szCs w:val="20"/>
                <w:b w:val="1"/>
                <w:bCs w:val="1"/>
                <w:color w:val="auto"/>
              </w:rPr>
              <w:t>Total income tax expense (benefit)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853</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(6.2)%</w:t>
            </w:r>
          </w:p>
        </w:tc>
      </w:tr>
    </w:tbl>
    <w:p>
      <w:pPr>
        <w:spacing w:after="0" w:line="213"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The following table presents the require disclosure prior to our adoption of ASU 2023-09 and reconciles the U.S. federal statutory income tax rate to the actual global effective income tax rate for the years ended December 31, 2024 and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8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6"/>
                <w:szCs w:val="16"/>
                <w:color w:val="auto"/>
              </w:rPr>
            </w:pPr>
          </w:p>
        </w:tc>
        <w:tc>
          <w:tcPr>
            <w:tcW w:w="1160" w:type="dxa"/>
            <w:vAlign w:val="bottom"/>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r>
      <w:tr>
        <w:trPr>
          <w:trHeight w:val="216"/>
        </w:trPr>
        <w:tc>
          <w:tcPr>
            <w:tcW w:w="64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Expected tax provision (benefit)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1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(7,276)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(6,425)</w:t>
            </w:r>
          </w:p>
        </w:tc>
      </w:tr>
      <w:tr>
        <w:trPr>
          <w:trHeight w:val="216"/>
        </w:trPr>
        <w:tc>
          <w:tcPr>
            <w:tcW w:w="6580" w:type="dxa"/>
            <w:vAlign w:val="bottom"/>
            <w:gridSpan w:val="2"/>
          </w:tcPr>
          <w:p>
            <w:pPr>
              <w:spacing w:after="0" w:line="216" w:lineRule="exact"/>
              <w:rPr>
                <w:sz w:val="20"/>
                <w:szCs w:val="20"/>
                <w:color w:val="auto"/>
              </w:rPr>
            </w:pPr>
            <w:r>
              <w:rPr>
                <w:rFonts w:ascii="Arial" w:cs="Arial" w:eastAsia="Arial" w:hAnsi="Arial"/>
                <w:sz w:val="20"/>
                <w:szCs w:val="20"/>
                <w:color w:val="auto"/>
              </w:rPr>
              <w:t>Foreign tax rate differential</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(399)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30</w:t>
            </w:r>
          </w:p>
        </w:tc>
      </w:tr>
      <w:tr>
        <w:trPr>
          <w:trHeight w:val="216"/>
        </w:trPr>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Change in valuation allowance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6,572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6,781</w:t>
            </w:r>
          </w:p>
        </w:tc>
      </w:tr>
      <w:tr>
        <w:trPr>
          <w:trHeight w:val="216"/>
        </w:trPr>
        <w:tc>
          <w:tcPr>
            <w:tcW w:w="6580" w:type="dxa"/>
            <w:vAlign w:val="bottom"/>
            <w:gridSpan w:val="2"/>
          </w:tcPr>
          <w:p>
            <w:pPr>
              <w:spacing w:after="0" w:line="216" w:lineRule="exact"/>
              <w:rPr>
                <w:sz w:val="20"/>
                <w:szCs w:val="20"/>
                <w:color w:val="auto"/>
              </w:rPr>
            </w:pPr>
            <w:r>
              <w:rPr>
                <w:rFonts w:ascii="Arial" w:cs="Arial" w:eastAsia="Arial" w:hAnsi="Arial"/>
                <w:sz w:val="20"/>
                <w:szCs w:val="20"/>
                <w:color w:val="auto"/>
              </w:rPr>
              <w:t>State and local tax provision</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48</w:t>
            </w:r>
          </w:p>
        </w:tc>
      </w:tr>
      <w:tr>
        <w:trPr>
          <w:trHeight w:val="216"/>
        </w:trPr>
        <w:tc>
          <w:tcPr>
            <w:tcW w:w="658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Unrecognized tax benefits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(398)</w:t>
            </w:r>
          </w:p>
        </w:tc>
      </w:tr>
      <w:tr>
        <w:trPr>
          <w:trHeight w:val="216"/>
        </w:trPr>
        <w:tc>
          <w:tcPr>
            <w:tcW w:w="6580" w:type="dxa"/>
            <w:vAlign w:val="bottom"/>
            <w:gridSpan w:val="2"/>
          </w:tcPr>
          <w:p>
            <w:pPr>
              <w:spacing w:after="0" w:line="216" w:lineRule="exact"/>
              <w:rPr>
                <w:sz w:val="20"/>
                <w:szCs w:val="20"/>
                <w:color w:val="auto"/>
              </w:rPr>
            </w:pPr>
            <w:r>
              <w:rPr>
                <w:rFonts w:ascii="Arial" w:cs="Arial" w:eastAsia="Arial" w:hAnsi="Arial"/>
                <w:sz w:val="20"/>
                <w:szCs w:val="20"/>
                <w:color w:val="auto"/>
              </w:rPr>
              <w:t>Subpart F</w:t>
            </w:r>
          </w:p>
        </w:tc>
        <w:tc>
          <w:tcPr>
            <w:tcW w:w="16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1,049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36"/>
        </w:trPr>
        <w:tc>
          <w:tcPr>
            <w:tcW w:w="658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185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554</w:t>
            </w:r>
          </w:p>
        </w:tc>
      </w:tr>
      <w:tr>
        <w:trPr>
          <w:trHeight w:val="206"/>
        </w:trPr>
        <w:tc>
          <w:tcPr>
            <w:tcW w:w="6580" w:type="dxa"/>
            <w:vAlign w:val="bottom"/>
            <w:gridSpan w:val="2"/>
          </w:tcPr>
          <w:p>
            <w:pPr>
              <w:spacing w:after="0" w:line="196" w:lineRule="exact"/>
              <w:rPr>
                <w:sz w:val="20"/>
                <w:szCs w:val="20"/>
                <w:color w:val="auto"/>
              </w:rPr>
            </w:pPr>
            <w:r>
              <w:rPr>
                <w:rFonts w:ascii="Arial" w:cs="Arial" w:eastAsia="Arial" w:hAnsi="Arial"/>
                <w:sz w:val="20"/>
                <w:szCs w:val="20"/>
                <w:b w:val="1"/>
                <w:bCs w:val="1"/>
                <w:color w:val="auto"/>
              </w:rPr>
              <w:t>Total income tax expense (benefit)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481</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590</w:t>
            </w:r>
          </w:p>
        </w:tc>
      </w:tr>
    </w:tbl>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The undistributed earnings of the Company's Australian and New Zealand subsidiaries are not indefinitely reinvested. Due to the enactment of the Tax Cuts and Jobs Act of 2017, future repatriations of foreign earnings will generally not be subject to U.S. federal taxation but may incur minimal state taxes.</w:t>
      </w:r>
    </w:p>
    <w:p>
      <w:pPr>
        <w:spacing w:after="0" w:line="214"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The following table is a summary of the activity related to unrecognized tax benefits, excluding interest and penalties, for the years ended December 31, 2025, 2024, and 2023:</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Unrecognized tax benefits – gross beginning balance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11,114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11,454</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Gross increase (decrease) - prior year tax positions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(340)</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Gross increase (decrease) - current year tax positions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Settlements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26"/>
        </w:trPr>
        <w:tc>
          <w:tcPr>
            <w:tcW w:w="552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20"/>
                <w:szCs w:val="20"/>
                <w:b w:val="1"/>
                <w:bCs w:val="1"/>
                <w:color w:val="auto"/>
              </w:rPr>
              <w:t>Unrecognized tax benefits – gross ending balance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11,114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11,114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11,114</w:t>
            </w:r>
          </w:p>
        </w:tc>
      </w:tr>
    </w:tbl>
    <w:p>
      <w:pPr>
        <w:spacing w:after="0" w:line="213"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As of December 31, 2025 and 2024, if recognized, $11.1 million and $11.1 million respectively, of the unrecognized tax benefits would impact the Company’s effective tax rate.</w:t>
      </w:r>
    </w:p>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During the year ended December 31, 2025, we recorded an increase to tax interest of $245,000, resulting in a total $1.0 million in interest. During the year ended December 31, 2024, we recorded an increase to tax interest of $310,000, resulting in a total $801,000 in interest.</w:t>
      </w:r>
    </w:p>
    <w:p>
      <w:pPr>
        <w:spacing w:after="0" w:line="214"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2025, revaluation of current uncertain tax positions, and expiring statutes of limitations.</w:t>
      </w:r>
    </w:p>
    <w:p>
      <w:pPr>
        <w:sectPr>
          <w:pgSz w:w="11900" w:h="16838" w:orient="portrait"/>
          <w:cols w:equalWidth="0" w:num="1">
            <w:col w:w="9420"/>
          </w:cols>
          <w:pgMar w:left="1260" w:top="134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 / 11</w:t>
      </w:r>
    </w:p>
    <w:p>
      <w:pPr>
        <w:sectPr>
          <w:pgSz w:w="11900" w:h="16838" w:orient="portrait"/>
          <w:cols w:equalWidth="0" w:num="1">
            <w:col w:w="9420"/>
          </w:cols>
          <w:pgMar w:left="1260" w:top="1347" w:right="1226" w:bottom="0" w:gutter="0" w:footer="0" w:header="0"/>
          <w:type w:val="continuous"/>
        </w:sectPr>
      </w:pPr>
    </w:p>
    <w:bookmarkStart w:id="124" w:name="page125"/>
    <w:bookmarkEnd w:id="124"/>
    <w:p>
      <w:pPr>
        <w:jc w:val="center"/>
        <w:ind w:right="6"/>
        <w:spacing w:after="0"/>
        <w:rPr>
          <w:sz w:val="20"/>
          <w:szCs w:val="20"/>
          <w:color w:val="auto"/>
        </w:rPr>
      </w:pPr>
      <w:r>
        <w:rPr>
          <w:rFonts w:ascii="Arial" w:cs="Arial" w:eastAsia="Arial" w:hAnsi="Arial"/>
          <w:sz w:val="17"/>
          <w:szCs w:val="17"/>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11</w:t>
      </w:r>
    </w:p>
    <w:p>
      <w:pPr>
        <w:sectPr>
          <w:pgSz w:w="11900" w:h="16838" w:orient="portrait"/>
          <w:cols w:equalWidth="0" w:num="1">
            <w:col w:w="9026"/>
          </w:cols>
          <w:pgMar w:left="1440" w:top="1131" w:right="1440" w:bottom="0" w:gutter="0" w:footer="0" w:header="0"/>
          <w:type w:val="continuous"/>
        </w:sectPr>
      </w:pPr>
    </w:p>
    <w:bookmarkStart w:id="125" w:name="page126"/>
    <w:bookmarkEnd w:id="125"/>
    <w:p>
      <w:pPr>
        <w:jc w:val="both"/>
        <w:ind w:right="20"/>
        <w:spacing w:after="0" w:line="254" w:lineRule="auto"/>
        <w:rPr>
          <w:sz w:val="20"/>
          <w:szCs w:val="20"/>
          <w:color w:val="auto"/>
        </w:rPr>
      </w:pPr>
      <w:r>
        <w:rPr>
          <w:rFonts w:ascii="Arial" w:cs="Arial" w:eastAsia="Arial" w:hAnsi="Arial"/>
          <w:sz w:val="18"/>
          <w:szCs w:val="18"/>
          <w:color w:val="auto"/>
        </w:rPr>
        <w:t>As of December 31, 2025, federal income tax returns for 2022 and after are open for examination. California worldwide unitary income tax returns for 2021 and after are open for examination. The Company’s net operating loss carry-forwards are subject to examination until they are fully utilized or expired. Some of the tax years which the losses originated from are currently closed. Australia income tax returns for calendar years 2021 and after are open for examination. Generally, New Zealand returns for calendar years 2020 and after remain open for examination.</w:t>
      </w:r>
    </w:p>
    <w:p>
      <w:pPr>
        <w:spacing w:after="0" w:line="20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We adopted ASU 2023-09 on a prospective basis for the year ended December 31, 2025 and have included the following table as a result of our adoption, which presents income taxes paid (net of refunds received) for the year ended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2025</w:t>
            </w:r>
          </w:p>
        </w:tc>
      </w:tr>
      <w:tr>
        <w:trPr>
          <w:trHeight w:val="216"/>
        </w:trPr>
        <w:tc>
          <w:tcPr>
            <w:tcW w:w="762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Federal taxes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7620" w:type="dxa"/>
            <w:vAlign w:val="bottom"/>
          </w:tcPr>
          <w:p>
            <w:pPr>
              <w:ind w:left="100"/>
              <w:spacing w:after="0" w:line="216" w:lineRule="exact"/>
              <w:rPr>
                <w:sz w:val="20"/>
                <w:szCs w:val="20"/>
                <w:color w:val="auto"/>
              </w:rPr>
            </w:pPr>
            <w:r>
              <w:rPr>
                <w:rFonts w:ascii="Arial" w:cs="Arial" w:eastAsia="Arial" w:hAnsi="Arial"/>
                <w:sz w:val="20"/>
                <w:szCs w:val="20"/>
                <w:color w:val="auto"/>
              </w:rPr>
              <w:t>State taxes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762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Foreign taxes: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620" w:type="dxa"/>
            <w:vAlign w:val="bottom"/>
          </w:tcPr>
          <w:p>
            <w:pPr>
              <w:ind w:left="240"/>
              <w:spacing w:after="0" w:line="216" w:lineRule="exact"/>
              <w:rPr>
                <w:sz w:val="20"/>
                <w:szCs w:val="20"/>
                <w:color w:val="auto"/>
              </w:rPr>
            </w:pPr>
            <w:r>
              <w:rPr>
                <w:rFonts w:ascii="Arial" w:cs="Arial" w:eastAsia="Arial" w:hAnsi="Arial"/>
                <w:sz w:val="20"/>
                <w:szCs w:val="20"/>
                <w:color w:val="auto"/>
              </w:rPr>
              <w:t>Australia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2,446</w:t>
            </w:r>
          </w:p>
        </w:tc>
      </w:tr>
      <w:tr>
        <w:trPr>
          <w:trHeight w:val="236"/>
        </w:trPr>
        <w:tc>
          <w:tcPr>
            <w:tcW w:w="7620" w:type="dxa"/>
            <w:vAlign w:val="bottom"/>
            <w:tcBorders>
              <w:bottom w:val="single" w:sz="8" w:color="CCEEFF"/>
            </w:tcBorders>
            <w:shd w:val="clear" w:color="auto" w:fill="CCEEFF"/>
          </w:tcPr>
          <w:p>
            <w:pPr>
              <w:ind w:left="240"/>
              <w:spacing w:after="0" w:line="216" w:lineRule="exact"/>
              <w:rPr>
                <w:sz w:val="20"/>
                <w:szCs w:val="20"/>
                <w:color w:val="auto"/>
              </w:rPr>
            </w:pPr>
            <w:r>
              <w:rPr>
                <w:rFonts w:ascii="Arial" w:cs="Arial" w:eastAsia="Arial" w:hAnsi="Arial"/>
                <w:sz w:val="20"/>
                <w:szCs w:val="20"/>
                <w:color w:val="auto"/>
              </w:rPr>
              <w:t>New Zealand</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77</w:t>
            </w:r>
          </w:p>
        </w:tc>
      </w:tr>
      <w:tr>
        <w:trPr>
          <w:trHeight w:val="206"/>
        </w:trPr>
        <w:tc>
          <w:tcPr>
            <w:tcW w:w="7620" w:type="dxa"/>
            <w:vAlign w:val="bottom"/>
          </w:tcPr>
          <w:p>
            <w:pPr>
              <w:spacing w:after="0" w:line="196" w:lineRule="exact"/>
              <w:rPr>
                <w:sz w:val="20"/>
                <w:szCs w:val="20"/>
                <w:color w:val="auto"/>
              </w:rPr>
            </w:pPr>
            <w:r>
              <w:rPr>
                <w:rFonts w:ascii="Arial" w:cs="Arial" w:eastAsia="Arial" w:hAnsi="Arial"/>
                <w:sz w:val="20"/>
                <w:szCs w:val="20"/>
                <w:b w:val="1"/>
                <w:bCs w:val="1"/>
                <w:color w:val="auto"/>
              </w:rPr>
              <w:t>Total cash taxes paid</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2,552</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13 – BORROWINGS</w:t>
      </w:r>
    </w:p>
    <w:p>
      <w:pPr>
        <w:spacing w:after="0" w:line="212"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The Company’s borrowings at December 31, 2025 and 2024, net of deferred financing costs and incorporating the impact of interest rate swaps on our effective interest rates, are summarized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As of December 31, 2025</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Balance,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9"/>
              </w:rPr>
              <w:t>Effective</w:t>
            </w:r>
          </w:p>
        </w:tc>
        <w:tc>
          <w:tcPr>
            <w:tcW w:w="0" w:type="dxa"/>
            <w:vAlign w:val="bottom"/>
          </w:tcPr>
          <w:p>
            <w:pPr>
              <w:spacing w:after="0"/>
              <w:rPr>
                <w:sz w:val="1"/>
                <w:szCs w:val="1"/>
                <w:color w:val="auto"/>
              </w:rPr>
            </w:pPr>
          </w:p>
        </w:tc>
      </w:tr>
      <w:tr>
        <w:trPr>
          <w:trHeight w:val="115"/>
        </w:trPr>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right"/>
              <w:ind w:right="60"/>
              <w:spacing w:after="0" w:line="173" w:lineRule="exact"/>
              <w:rPr>
                <w:sz w:val="20"/>
                <w:szCs w:val="20"/>
                <w:color w:val="auto"/>
              </w:rPr>
            </w:pPr>
            <w:r>
              <w:rPr>
                <w:rFonts w:ascii="Arial" w:cs="Arial" w:eastAsia="Arial" w:hAnsi="Arial"/>
                <w:sz w:val="16"/>
                <w:szCs w:val="16"/>
                <w:b w:val="1"/>
                <w:bCs w:val="1"/>
                <w:color w:val="auto"/>
                <w:w w:val="96"/>
              </w:rPr>
              <w:t>Contractual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00"/>
              <w:spacing w:after="0" w:line="173" w:lineRule="exact"/>
              <w:rPr>
                <w:sz w:val="20"/>
                <w:szCs w:val="20"/>
                <w:color w:val="auto"/>
              </w:rPr>
            </w:pPr>
            <w:r>
              <w:rPr>
                <w:rFonts w:ascii="Arial" w:cs="Arial" w:eastAsia="Arial" w:hAnsi="Arial"/>
                <w:sz w:val="16"/>
                <w:szCs w:val="16"/>
                <w:b w:val="1"/>
                <w:bCs w:val="1"/>
                <w:color w:val="auto"/>
                <w:w w:val="94"/>
              </w:rPr>
              <w:t>Balance,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40" w:type="dxa"/>
            <w:vAlign w:val="bottom"/>
            <w:vMerge w:val="restart"/>
          </w:tcPr>
          <w:p>
            <w:pPr>
              <w:jc w:val="center"/>
              <w:spacing w:after="0" w:line="173" w:lineRule="exact"/>
              <w:rPr>
                <w:sz w:val="20"/>
                <w:szCs w:val="20"/>
                <w:color w:val="auto"/>
              </w:rPr>
            </w:pPr>
            <w:r>
              <w:rPr>
                <w:rFonts w:ascii="Arial" w:cs="Arial" w:eastAsia="Arial" w:hAnsi="Arial"/>
                <w:sz w:val="16"/>
                <w:szCs w:val="16"/>
                <w:b w:val="1"/>
                <w:bCs w:val="1"/>
                <w:color w:val="auto"/>
                <w:w w:val="85"/>
              </w:rPr>
              <w:t>Stated</w:t>
            </w:r>
          </w:p>
        </w:tc>
        <w:tc>
          <w:tcPr>
            <w:tcW w:w="80" w:type="dxa"/>
            <w:vAlign w:val="bottom"/>
          </w:tcPr>
          <w:p>
            <w:pPr>
              <w:spacing w:after="0"/>
              <w:rPr>
                <w:sz w:val="10"/>
                <w:szCs w:val="10"/>
                <w:color w:val="auto"/>
              </w:rPr>
            </w:pPr>
          </w:p>
        </w:tc>
        <w:tc>
          <w:tcPr>
            <w:tcW w:w="960" w:type="dxa"/>
            <w:vAlign w:val="bottom"/>
            <w:vMerge w:val="restart"/>
          </w:tcPr>
          <w:p>
            <w:pPr>
              <w:jc w:val="center"/>
              <w:spacing w:after="0" w:line="173" w:lineRule="exact"/>
              <w:rPr>
                <w:sz w:val="20"/>
                <w:szCs w:val="20"/>
                <w:color w:val="auto"/>
              </w:rPr>
            </w:pPr>
            <w:r>
              <w:rPr>
                <w:rFonts w:ascii="Arial" w:cs="Arial" w:eastAsia="Arial" w:hAnsi="Arial"/>
                <w:sz w:val="16"/>
                <w:szCs w:val="16"/>
                <w:b w:val="1"/>
                <w:bCs w:val="1"/>
                <w:color w:val="auto"/>
                <w:w w:val="89"/>
              </w:rPr>
              <w:t>Interest</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restart"/>
          </w:tcPr>
          <w:p>
            <w:pPr>
              <w:jc w:val="center"/>
              <w:ind w:right="200"/>
              <w:spacing w:after="0" w:line="232" w:lineRule="exact"/>
              <w:rPr>
                <w:sz w:val="20"/>
                <w:szCs w:val="20"/>
                <w:color w:val="auto"/>
              </w:rPr>
            </w:pPr>
            <w:r>
              <w:rPr>
                <w:rFonts w:ascii="Arial" w:cs="Arial" w:eastAsia="Arial" w:hAnsi="Arial"/>
                <w:sz w:val="26"/>
                <w:szCs w:val="26"/>
                <w:b w:val="1"/>
                <w:bCs w:val="1"/>
                <w:color w:val="auto"/>
                <w:w w:val="91"/>
                <w:vertAlign w:val="subscript"/>
              </w:rPr>
              <w:t>Net</w:t>
            </w:r>
            <w:r>
              <w:rPr>
                <w:rFonts w:ascii="Arial" w:cs="Arial" w:eastAsia="Arial" w:hAnsi="Arial"/>
                <w:sz w:val="13"/>
                <w:szCs w:val="13"/>
                <w:b w:val="1"/>
                <w:bCs w:val="1"/>
                <w:color w:val="auto"/>
                <w:w w:val="91"/>
              </w:rPr>
              <w:t>(1)</w:t>
            </w:r>
          </w:p>
        </w:tc>
        <w:tc>
          <w:tcPr>
            <w:tcW w:w="9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6"/>
                <w:szCs w:val="16"/>
                <w:color w:val="auto"/>
              </w:rPr>
            </w:pPr>
          </w:p>
        </w:tc>
        <w:tc>
          <w:tcPr>
            <w:tcW w:w="142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96"/>
              </w:rPr>
              <w:t>Maturity Date</w:t>
            </w:r>
          </w:p>
        </w:tc>
        <w:tc>
          <w:tcPr>
            <w:tcW w:w="140" w:type="dxa"/>
            <w:vAlign w:val="bottom"/>
          </w:tcPr>
          <w:p>
            <w:pPr>
              <w:spacing w:after="0"/>
              <w:rPr>
                <w:sz w:val="16"/>
                <w:szCs w:val="16"/>
                <w:color w:val="auto"/>
              </w:rPr>
            </w:pPr>
          </w:p>
        </w:tc>
        <w:tc>
          <w:tcPr>
            <w:tcW w:w="80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Facility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00"/>
              <w:spacing w:after="0" w:line="17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Interest Rate</w:t>
            </w:r>
          </w:p>
        </w:tc>
        <w:tc>
          <w:tcPr>
            <w:tcW w:w="80" w:type="dxa"/>
            <w:vAlign w:val="bottom"/>
          </w:tcPr>
          <w:p>
            <w:pPr>
              <w:spacing w:after="0"/>
              <w:rPr>
                <w:sz w:val="16"/>
                <w:szCs w:val="16"/>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Rate</w:t>
            </w:r>
          </w:p>
        </w:tc>
        <w:tc>
          <w:tcPr>
            <w:tcW w:w="0" w:type="dxa"/>
            <w:vAlign w:val="bottom"/>
          </w:tcPr>
          <w:p>
            <w:pPr>
              <w:spacing w:after="0"/>
              <w:rPr>
                <w:sz w:val="1"/>
                <w:szCs w:val="1"/>
                <w:color w:val="auto"/>
              </w:rPr>
            </w:pPr>
          </w:p>
        </w:tc>
      </w:tr>
      <w:tr>
        <w:trPr>
          <w:trHeight w:val="173"/>
        </w:trPr>
        <w:tc>
          <w:tcPr>
            <w:tcW w:w="290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rPr>
              <w:t>Denominated in USD</w:t>
            </w: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Trust Preferred Securities (US)</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5"/>
              </w:rPr>
              <w:t>April 30, 2027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27,913</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27,913</w:t>
            </w:r>
          </w:p>
        </w:tc>
        <w:tc>
          <w:tcPr>
            <w:tcW w:w="2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27,617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8.10%</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8.10%</w:t>
            </w: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rPr>
              <w:t>Bank of America Credit Facility (US)</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line="173" w:lineRule="exact"/>
              <w:rPr>
                <w:sz w:val="20"/>
                <w:szCs w:val="20"/>
                <w:color w:val="auto"/>
              </w:rPr>
            </w:pPr>
            <w:r>
              <w:rPr>
                <w:rFonts w:ascii="Arial" w:cs="Arial" w:eastAsia="Arial" w:hAnsi="Arial"/>
                <w:sz w:val="16"/>
                <w:szCs w:val="16"/>
                <w:color w:val="auto"/>
                <w:w w:val="88"/>
              </w:rPr>
              <w:t>September 18, 2026</w:t>
            </w:r>
          </w:p>
        </w:tc>
        <w:tc>
          <w:tcPr>
            <w:tcW w:w="1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6,200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6,200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6,200</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10.75%</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10.75%</w:t>
            </w: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Cinemas 1, 2, 3 Term Loan (US)</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line="173" w:lineRule="exact"/>
              <w:rPr>
                <w:sz w:val="20"/>
                <w:szCs w:val="20"/>
                <w:color w:val="auto"/>
              </w:rPr>
            </w:pPr>
            <w:r>
              <w:rPr>
                <w:rFonts w:ascii="Arial" w:cs="Arial" w:eastAsia="Arial" w:hAnsi="Arial"/>
                <w:sz w:val="16"/>
                <w:szCs w:val="16"/>
                <w:color w:val="auto"/>
                <w:w w:val="90"/>
              </w:rPr>
              <w:t>October 1, 2026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19,841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19,841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19,766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9.46%</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9.46%</w:t>
            </w: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w w:val="97"/>
              </w:rPr>
              <w:t>Minetta &amp; Orpheum Theatres Loan (US)</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88"/>
              </w:rPr>
              <w:t>June 1, 2026</w:t>
            </w:r>
          </w:p>
        </w:tc>
        <w:tc>
          <w:tcPr>
            <w:tcW w:w="1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6,829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6,829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6,819</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7.00%</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7.00%</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00"/>
              <w:spacing w:after="0" w:line="232" w:lineRule="exact"/>
              <w:rPr>
                <w:sz w:val="20"/>
                <w:szCs w:val="20"/>
                <w:color w:val="auto"/>
              </w:rPr>
            </w:pPr>
            <w:r>
              <w:rPr>
                <w:rFonts w:ascii="Arial" w:cs="Arial" w:eastAsia="Arial" w:hAnsi="Arial"/>
                <w:sz w:val="15"/>
                <w:szCs w:val="15"/>
                <w:color w:val="auto"/>
              </w:rPr>
              <w:t xml:space="preserve">Union Square Financing (US) </w:t>
            </w:r>
            <w:r>
              <w:rPr>
                <w:rFonts w:ascii="Arial" w:cs="Arial" w:eastAsia="Arial" w:hAnsi="Arial"/>
                <w:sz w:val="26"/>
                <w:szCs w:val="26"/>
                <w:color w:val="auto"/>
                <w:vertAlign w:val="superscript"/>
              </w:rPr>
              <w:t>(3)</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November 6, 2026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49,000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46,184</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10.87%</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8"/>
              </w:rPr>
              <w:t>10.87%</w:t>
            </w:r>
          </w:p>
        </w:tc>
        <w:tc>
          <w:tcPr>
            <w:tcW w:w="0" w:type="dxa"/>
            <w:vAlign w:val="bottom"/>
          </w:tcPr>
          <w:p>
            <w:pPr>
              <w:spacing w:after="0"/>
              <w:rPr>
                <w:sz w:val="1"/>
                <w:szCs w:val="1"/>
                <w:color w:val="auto"/>
              </w:rPr>
            </w:pPr>
          </w:p>
        </w:tc>
      </w:tr>
      <w:tr>
        <w:trPr>
          <w:trHeight w:val="233"/>
        </w:trPr>
        <w:tc>
          <w:tcPr>
            <w:tcW w:w="2900" w:type="dxa"/>
            <w:vAlign w:val="bottom"/>
          </w:tcPr>
          <w:p>
            <w:pPr>
              <w:ind w:left="100"/>
              <w:spacing w:after="0" w:line="232" w:lineRule="exact"/>
              <w:rPr>
                <w:sz w:val="20"/>
                <w:szCs w:val="20"/>
                <w:color w:val="auto"/>
              </w:rPr>
            </w:pPr>
            <w:r>
              <w:rPr>
                <w:rFonts w:ascii="Arial" w:cs="Arial" w:eastAsia="Arial" w:hAnsi="Arial"/>
                <w:sz w:val="15"/>
                <w:szCs w:val="15"/>
                <w:color w:val="auto"/>
              </w:rPr>
              <w:t xml:space="preserve">Nationwide Theaters Corp. (US) </w:t>
            </w:r>
            <w:r>
              <w:rPr>
                <w:rFonts w:ascii="Arial" w:cs="Arial" w:eastAsia="Arial" w:hAnsi="Arial"/>
                <w:sz w:val="26"/>
                <w:szCs w:val="26"/>
                <w:color w:val="auto"/>
                <w:vertAlign w:val="superscript"/>
              </w:rPr>
              <w:t>(4)</w:t>
            </w:r>
          </w:p>
        </w:tc>
        <w:tc>
          <w:tcPr>
            <w:tcW w:w="8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September 30, 2035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13,648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7,648</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4.75%</w:t>
            </w: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88"/>
              </w:rPr>
              <w:t>12.66%</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spacing w:after="0" w:line="232" w:lineRule="exact"/>
              <w:rPr>
                <w:sz w:val="20"/>
                <w:szCs w:val="20"/>
                <w:color w:val="auto"/>
              </w:rPr>
            </w:pPr>
            <w:r>
              <w:rPr>
                <w:rFonts w:ascii="Arial" w:cs="Arial" w:eastAsia="Arial" w:hAnsi="Arial"/>
                <w:sz w:val="15"/>
                <w:szCs w:val="15"/>
                <w:color w:val="auto"/>
              </w:rPr>
              <w:t xml:space="preserve">Denominated in foreign currency ("FC") </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rPr>
              <w:t>NAB Corporate Term Loan (AU)</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0"/>
              </w:rPr>
              <w:t>July 31, 2030</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64,019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64,019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63,732</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5.25%</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5.25%</w:t>
            </w:r>
          </w:p>
        </w:tc>
        <w:tc>
          <w:tcPr>
            <w:tcW w:w="0" w:type="dxa"/>
            <w:vAlign w:val="bottom"/>
          </w:tcPr>
          <w:p>
            <w:pPr>
              <w:spacing w:after="0"/>
              <w:rPr>
                <w:sz w:val="1"/>
                <w:szCs w:val="1"/>
                <w:color w:val="auto"/>
              </w:rPr>
            </w:pPr>
          </w:p>
        </w:tc>
      </w:tr>
      <w:tr>
        <w:trPr>
          <w:trHeight w:val="183"/>
        </w:trPr>
        <w:tc>
          <w:tcPr>
            <w:tcW w:w="29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187,450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185,091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177,966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20" w:hanging="366"/>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Net of deferred financing costs amounting to $1.1 million and debt discounts (4).</w:t>
      </w:r>
    </w:p>
    <w:p>
      <w:pPr>
        <w:ind w:left="720" w:right="440" w:hanging="366"/>
        <w:spacing w:after="0" w:line="225"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contractual facilities and outstanding balances of the FC-denominated borrowings were translated into U.S. dollars based on exchange rates as of December 31, 2025.</w:t>
      </w:r>
    </w:p>
    <w:p>
      <w:pPr>
        <w:ind w:left="720" w:hanging="366"/>
        <w:spacing w:after="0" w:line="225"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loan has an option to extend for one year, which is within our control and we intend to exercise.</w:t>
      </w:r>
    </w:p>
    <w:p>
      <w:pPr>
        <w:ind w:left="720" w:hanging="366"/>
        <w:spacing w:after="0" w:line="230"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debt is carried net of debt discounts of $6.0 million.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Balance,</w:t>
            </w:r>
          </w:p>
        </w:tc>
        <w:tc>
          <w:tcPr>
            <w:tcW w:w="9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5"/>
              </w:rPr>
              <w:t>Stated</w:t>
            </w:r>
          </w:p>
        </w:tc>
        <w:tc>
          <w:tcPr>
            <w:tcW w:w="80" w:type="dxa"/>
            <w:vAlign w:val="bottom"/>
          </w:tcPr>
          <w:p>
            <w:pPr>
              <w:spacing w:after="0"/>
              <w:rPr>
                <w:sz w:val="14"/>
                <w:szCs w:val="14"/>
                <w:color w:val="auto"/>
              </w:rPr>
            </w:pPr>
          </w:p>
        </w:tc>
        <w:tc>
          <w:tcPr>
            <w:tcW w:w="9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9"/>
              </w:rPr>
              <w:t>Effective</w:t>
            </w:r>
          </w:p>
        </w:tc>
        <w:tc>
          <w:tcPr>
            <w:tcW w:w="0" w:type="dxa"/>
            <w:vAlign w:val="bottom"/>
          </w:tcPr>
          <w:p>
            <w:pPr>
              <w:spacing w:after="0"/>
              <w:rPr>
                <w:sz w:val="1"/>
                <w:szCs w:val="1"/>
                <w:color w:val="auto"/>
              </w:rPr>
            </w:pPr>
          </w:p>
        </w:tc>
      </w:tr>
      <w:tr>
        <w:trPr>
          <w:trHeight w:val="115"/>
        </w:trPr>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spacing w:after="0" w:line="173" w:lineRule="exact"/>
              <w:rPr>
                <w:sz w:val="20"/>
                <w:szCs w:val="20"/>
                <w:color w:val="auto"/>
              </w:rPr>
            </w:pPr>
            <w:r>
              <w:rPr>
                <w:rFonts w:ascii="Arial" w:cs="Arial" w:eastAsia="Arial" w:hAnsi="Arial"/>
                <w:sz w:val="16"/>
                <w:szCs w:val="16"/>
                <w:b w:val="1"/>
                <w:bCs w:val="1"/>
                <w:color w:val="auto"/>
                <w:w w:val="96"/>
              </w:rPr>
              <w:t>Contractual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00"/>
              <w:spacing w:after="0" w:line="173" w:lineRule="exact"/>
              <w:rPr>
                <w:sz w:val="20"/>
                <w:szCs w:val="20"/>
                <w:color w:val="auto"/>
              </w:rPr>
            </w:pPr>
            <w:r>
              <w:rPr>
                <w:rFonts w:ascii="Arial" w:cs="Arial" w:eastAsia="Arial" w:hAnsi="Arial"/>
                <w:sz w:val="16"/>
                <w:szCs w:val="16"/>
                <w:b w:val="1"/>
                <w:bCs w:val="1"/>
                <w:color w:val="auto"/>
                <w:w w:val="94"/>
              </w:rPr>
              <w:t>Balance,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40" w:type="dxa"/>
            <w:vAlign w:val="bottom"/>
            <w:vMerge w:val="restart"/>
          </w:tcPr>
          <w:p>
            <w:pPr>
              <w:jc w:val="center"/>
              <w:spacing w:after="0" w:line="173" w:lineRule="exact"/>
              <w:rPr>
                <w:sz w:val="20"/>
                <w:szCs w:val="20"/>
                <w:color w:val="auto"/>
              </w:rPr>
            </w:pPr>
            <w:r>
              <w:rPr>
                <w:rFonts w:ascii="Arial" w:cs="Arial" w:eastAsia="Arial" w:hAnsi="Arial"/>
                <w:sz w:val="16"/>
                <w:szCs w:val="16"/>
                <w:b w:val="1"/>
                <w:bCs w:val="1"/>
                <w:color w:val="auto"/>
                <w:w w:val="93"/>
              </w:rPr>
              <w:t>Interest</w:t>
            </w:r>
          </w:p>
        </w:tc>
        <w:tc>
          <w:tcPr>
            <w:tcW w:w="80" w:type="dxa"/>
            <w:vAlign w:val="bottom"/>
          </w:tcPr>
          <w:p>
            <w:pPr>
              <w:spacing w:after="0"/>
              <w:rPr>
                <w:sz w:val="10"/>
                <w:szCs w:val="10"/>
                <w:color w:val="auto"/>
              </w:rPr>
            </w:pPr>
          </w:p>
        </w:tc>
        <w:tc>
          <w:tcPr>
            <w:tcW w:w="960" w:type="dxa"/>
            <w:vAlign w:val="bottom"/>
            <w:vMerge w:val="restart"/>
          </w:tcPr>
          <w:p>
            <w:pPr>
              <w:jc w:val="center"/>
              <w:spacing w:after="0" w:line="173" w:lineRule="exact"/>
              <w:rPr>
                <w:sz w:val="20"/>
                <w:szCs w:val="20"/>
                <w:color w:val="auto"/>
              </w:rPr>
            </w:pPr>
            <w:r>
              <w:rPr>
                <w:rFonts w:ascii="Arial" w:cs="Arial" w:eastAsia="Arial" w:hAnsi="Arial"/>
                <w:sz w:val="16"/>
                <w:szCs w:val="16"/>
                <w:b w:val="1"/>
                <w:bCs w:val="1"/>
                <w:color w:val="auto"/>
                <w:w w:val="89"/>
              </w:rPr>
              <w:t>Interest</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restart"/>
          </w:tcPr>
          <w:p>
            <w:pPr>
              <w:jc w:val="center"/>
              <w:ind w:right="200"/>
              <w:spacing w:after="0" w:line="232" w:lineRule="exact"/>
              <w:rPr>
                <w:sz w:val="20"/>
                <w:szCs w:val="20"/>
                <w:color w:val="auto"/>
              </w:rPr>
            </w:pPr>
            <w:r>
              <w:rPr>
                <w:rFonts w:ascii="Arial" w:cs="Arial" w:eastAsia="Arial" w:hAnsi="Arial"/>
                <w:sz w:val="15"/>
                <w:szCs w:val="15"/>
                <w:b w:val="1"/>
                <w:bCs w:val="1"/>
                <w:color w:val="auto"/>
                <w:w w:val="88"/>
              </w:rPr>
              <w:t>Net</w:t>
            </w:r>
            <w:r>
              <w:rPr>
                <w:rFonts w:ascii="Arial" w:cs="Arial" w:eastAsia="Arial" w:hAnsi="Arial"/>
                <w:sz w:val="26"/>
                <w:szCs w:val="26"/>
                <w:b w:val="1"/>
                <w:bCs w:val="1"/>
                <w:color w:val="auto"/>
                <w:w w:val="88"/>
                <w:vertAlign w:val="superscript"/>
              </w:rPr>
              <w:t>(1)</w:t>
            </w:r>
          </w:p>
        </w:tc>
        <w:tc>
          <w:tcPr>
            <w:tcW w:w="9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6"/>
                <w:szCs w:val="16"/>
                <w:color w:val="auto"/>
              </w:rPr>
            </w:pPr>
          </w:p>
        </w:tc>
        <w:tc>
          <w:tcPr>
            <w:tcW w:w="142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96"/>
              </w:rPr>
              <w:t>Maturity Date</w:t>
            </w:r>
          </w:p>
        </w:tc>
        <w:tc>
          <w:tcPr>
            <w:tcW w:w="140" w:type="dxa"/>
            <w:vAlign w:val="bottom"/>
          </w:tcPr>
          <w:p>
            <w:pPr>
              <w:spacing w:after="0"/>
              <w:rPr>
                <w:sz w:val="16"/>
                <w:szCs w:val="16"/>
                <w:color w:val="auto"/>
              </w:rPr>
            </w:pPr>
          </w:p>
        </w:tc>
        <w:tc>
          <w:tcPr>
            <w:tcW w:w="780" w:type="dxa"/>
            <w:vAlign w:val="bottom"/>
          </w:tcPr>
          <w:p>
            <w:pPr>
              <w:jc w:val="right"/>
              <w:ind w:right="120"/>
              <w:spacing w:after="0" w:line="175" w:lineRule="exact"/>
              <w:rPr>
                <w:sz w:val="20"/>
                <w:szCs w:val="20"/>
                <w:color w:val="auto"/>
              </w:rPr>
            </w:pPr>
            <w:r>
              <w:rPr>
                <w:rFonts w:ascii="Arial" w:cs="Arial" w:eastAsia="Arial" w:hAnsi="Arial"/>
                <w:sz w:val="16"/>
                <w:szCs w:val="16"/>
                <w:b w:val="1"/>
                <w:bCs w:val="1"/>
                <w:color w:val="auto"/>
              </w:rPr>
              <w:t>Facility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00"/>
              <w:spacing w:after="0" w:line="17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Rate</w:t>
            </w:r>
          </w:p>
        </w:tc>
        <w:tc>
          <w:tcPr>
            <w:tcW w:w="80" w:type="dxa"/>
            <w:vAlign w:val="bottom"/>
          </w:tcPr>
          <w:p>
            <w:pPr>
              <w:spacing w:after="0"/>
              <w:rPr>
                <w:sz w:val="16"/>
                <w:szCs w:val="16"/>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Rate</w:t>
            </w:r>
          </w:p>
        </w:tc>
        <w:tc>
          <w:tcPr>
            <w:tcW w:w="0" w:type="dxa"/>
            <w:vAlign w:val="bottom"/>
          </w:tcPr>
          <w:p>
            <w:pPr>
              <w:spacing w:after="0"/>
              <w:rPr>
                <w:sz w:val="1"/>
                <w:szCs w:val="1"/>
                <w:color w:val="auto"/>
              </w:rPr>
            </w:pPr>
          </w:p>
        </w:tc>
      </w:tr>
      <w:tr>
        <w:trPr>
          <w:trHeight w:val="173"/>
        </w:trPr>
        <w:tc>
          <w:tcPr>
            <w:tcW w:w="290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rPr>
              <w:t>Denominated in USD</w:t>
            </w: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Trust Preferred Securities (US)</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5"/>
              </w:rPr>
              <w:t>April 30, 2027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27,913</w:t>
            </w:r>
          </w:p>
        </w:tc>
        <w:tc>
          <w:tcPr>
            <w:tcW w:w="2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27,913</w:t>
            </w:r>
          </w:p>
        </w:tc>
        <w:tc>
          <w:tcPr>
            <w:tcW w:w="2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27,394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8.85%</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8.85%</w:t>
            </w: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rPr>
              <w:t>Bank of America Credit Facility (US)</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0"/>
              </w:rPr>
              <w:t>August 18, 2025</w:t>
            </w:r>
          </w:p>
        </w:tc>
        <w:tc>
          <w:tcPr>
            <w:tcW w:w="1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14,750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14,750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14,699</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10.50%</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10.50%</w:t>
            </w: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Cinemas 1, 2, 3 Term Loan (US)</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5"/>
              </w:rPr>
              <w:t>April 1, 2025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20,682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20,682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20,594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9.57%</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9.57%</w:t>
            </w: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w w:val="97"/>
              </w:rPr>
              <w:t>Minetta &amp; Orpheum Theatres Loan (US)</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88"/>
              </w:rPr>
              <w:t>June 1, 2025</w:t>
            </w:r>
          </w:p>
        </w:tc>
        <w:tc>
          <w:tcPr>
            <w:tcW w:w="1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7,464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7,464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7,446</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7.00%</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7.00%</w:t>
            </w: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Union Square Financing (US)</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3"/>
              </w:rPr>
              <w:t>May 6, 2025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47,141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47,049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11.78%</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11.78%</w:t>
            </w:r>
          </w:p>
        </w:tc>
        <w:tc>
          <w:tcPr>
            <w:tcW w:w="0" w:type="dxa"/>
            <w:vAlign w:val="bottom"/>
          </w:tcPr>
          <w:p>
            <w:pPr>
              <w:spacing w:after="0"/>
              <w:rPr>
                <w:sz w:val="1"/>
                <w:szCs w:val="1"/>
                <w:color w:val="auto"/>
              </w:rPr>
            </w:pPr>
          </w:p>
        </w:tc>
      </w:tr>
      <w:tr>
        <w:trPr>
          <w:trHeight w:val="233"/>
        </w:trPr>
        <w:tc>
          <w:tcPr>
            <w:tcW w:w="2900" w:type="dxa"/>
            <w:vAlign w:val="bottom"/>
          </w:tcPr>
          <w:p>
            <w:pPr>
              <w:spacing w:after="0" w:line="232" w:lineRule="exact"/>
              <w:rPr>
                <w:sz w:val="20"/>
                <w:szCs w:val="20"/>
                <w:color w:val="auto"/>
              </w:rPr>
            </w:pPr>
            <w:r>
              <w:rPr>
                <w:rFonts w:ascii="Arial" w:cs="Arial" w:eastAsia="Arial" w:hAnsi="Arial"/>
                <w:sz w:val="15"/>
                <w:szCs w:val="15"/>
                <w:color w:val="auto"/>
              </w:rPr>
              <w:t xml:space="preserve">Denominated in foreign currency ("FC") </w:t>
            </w:r>
            <w:r>
              <w:rPr>
                <w:rFonts w:ascii="Arial" w:cs="Arial" w:eastAsia="Arial" w:hAnsi="Arial"/>
                <w:sz w:val="26"/>
                <w:szCs w:val="26"/>
                <w:color w:val="auto"/>
                <w:vertAlign w:val="superscript"/>
              </w:rPr>
              <w:t>(2)</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rPr>
              <w:t>NAB Corporate Term Loan (AU)</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0"/>
              </w:rPr>
              <w:t>July 31, 2026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61,850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61,850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61,740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6.12%</w:t>
            </w:r>
          </w:p>
        </w:tc>
        <w:tc>
          <w:tcPr>
            <w:tcW w:w="10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6.12%</w:t>
            </w:r>
          </w:p>
        </w:tc>
        <w:tc>
          <w:tcPr>
            <w:tcW w:w="0" w:type="dxa"/>
            <w:vAlign w:val="bottom"/>
          </w:tcPr>
          <w:p>
            <w:pPr>
              <w:spacing w:after="0"/>
              <w:rPr>
                <w:sz w:val="1"/>
                <w:szCs w:val="1"/>
                <w:color w:val="auto"/>
              </w:rPr>
            </w:pPr>
          </w:p>
        </w:tc>
      </w:tr>
      <w:tr>
        <w:trPr>
          <w:trHeight w:val="173"/>
        </w:trPr>
        <w:tc>
          <w:tcPr>
            <w:tcW w:w="2900" w:type="dxa"/>
            <w:vAlign w:val="bottom"/>
          </w:tcPr>
          <w:p>
            <w:pPr>
              <w:ind w:left="100"/>
              <w:spacing w:after="0" w:line="173" w:lineRule="exact"/>
              <w:rPr>
                <w:sz w:val="20"/>
                <w:szCs w:val="20"/>
                <w:color w:val="auto"/>
              </w:rPr>
            </w:pPr>
            <w:r>
              <w:rPr>
                <w:rFonts w:ascii="Arial" w:cs="Arial" w:eastAsia="Arial" w:hAnsi="Arial"/>
                <w:sz w:val="16"/>
                <w:szCs w:val="16"/>
                <w:color w:val="auto"/>
              </w:rPr>
              <w:t>NAB Bridge Facility (AU)</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5"/>
              </w:rPr>
              <w:t>April 30, 2025</w:t>
            </w:r>
          </w:p>
        </w:tc>
        <w:tc>
          <w:tcPr>
            <w:tcW w:w="1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12,370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12,370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12,361</w:t>
            </w:r>
          </w:p>
        </w:tc>
        <w:tc>
          <w:tcPr>
            <w:tcW w:w="80" w:type="dxa"/>
            <w:vAlign w:val="bottom"/>
          </w:tcPr>
          <w:p>
            <w:pPr>
              <w:spacing w:after="0"/>
              <w:rPr>
                <w:sz w:val="15"/>
                <w:szCs w:val="15"/>
                <w:color w:val="auto"/>
              </w:rPr>
            </w:pP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w w:val="92"/>
              </w:rPr>
              <w:t>6.16%</w:t>
            </w:r>
          </w:p>
        </w:tc>
        <w:tc>
          <w:tcPr>
            <w:tcW w:w="104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8"/>
              </w:rPr>
              <w:t>6.16%</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CCEEFF"/>
            </w:tcBorders>
            <w:shd w:val="clear" w:color="auto" w:fill="CCEEFF"/>
          </w:tcPr>
          <w:p>
            <w:pPr>
              <w:ind w:left="100"/>
              <w:spacing w:after="0" w:line="173" w:lineRule="exact"/>
              <w:rPr>
                <w:sz w:val="20"/>
                <w:szCs w:val="20"/>
                <w:color w:val="auto"/>
              </w:rPr>
            </w:pPr>
            <w:r>
              <w:rPr>
                <w:rFonts w:ascii="Arial" w:cs="Arial" w:eastAsia="Arial" w:hAnsi="Arial"/>
                <w:sz w:val="16"/>
                <w:szCs w:val="16"/>
                <w:color w:val="auto"/>
              </w:rPr>
              <w:t>Westpac Bank Corporate (NZ)</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center"/>
              <w:ind w:right="80"/>
              <w:spacing w:after="0" w:line="173" w:lineRule="exact"/>
              <w:rPr>
                <w:sz w:val="20"/>
                <w:szCs w:val="20"/>
                <w:color w:val="auto"/>
              </w:rPr>
            </w:pPr>
            <w:r>
              <w:rPr>
                <w:rFonts w:ascii="Arial" w:cs="Arial" w:eastAsia="Arial" w:hAnsi="Arial"/>
                <w:sz w:val="16"/>
                <w:szCs w:val="16"/>
                <w:color w:val="auto"/>
                <w:w w:val="91"/>
              </w:rPr>
              <w:t>March 31, 2025</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10,543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10,543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10,543</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6.95%</w:t>
            </w:r>
          </w:p>
        </w:tc>
        <w:tc>
          <w:tcPr>
            <w:tcW w:w="1040" w:type="dxa"/>
            <w:vAlign w:val="bottom"/>
            <w:tcBorders>
              <w:bottom w:val="single" w:sz="8" w:color="CCEEFF"/>
            </w:tcBorders>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8"/>
              </w:rPr>
              <w:t>6.95%</w:t>
            </w:r>
          </w:p>
        </w:tc>
        <w:tc>
          <w:tcPr>
            <w:tcW w:w="0" w:type="dxa"/>
            <w:vAlign w:val="bottom"/>
          </w:tcPr>
          <w:p>
            <w:pPr>
              <w:spacing w:after="0"/>
              <w:rPr>
                <w:sz w:val="1"/>
                <w:szCs w:val="1"/>
                <w:color w:val="auto"/>
              </w:rPr>
            </w:pPr>
          </w:p>
        </w:tc>
      </w:tr>
      <w:tr>
        <w:trPr>
          <w:trHeight w:val="163"/>
        </w:trPr>
        <w:tc>
          <w:tcPr>
            <w:tcW w:w="2900" w:type="dxa"/>
            <w:vAlign w:val="bottom"/>
          </w:tcPr>
          <w:p>
            <w:pPr>
              <w:spacing w:after="0" w:line="153"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210,572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202,713</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201,826</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20" w:hanging="36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Net of deferred financing costs amounting to $0.9 million.</w:t>
      </w:r>
    </w:p>
    <w:p>
      <w:pPr>
        <w:ind w:left="720" w:right="440" w:hanging="366"/>
        <w:spacing w:after="0" w:line="227"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contractual facilities and outstanding balances of the FC-denominated borrowings were translated into U.S. dollars based on exchange rates as of December 31, 2024.</w:t>
      </w:r>
    </w:p>
    <w:p>
      <w:pPr>
        <w:spacing w:after="0" w:line="203" w:lineRule="exact"/>
        <w:rPr>
          <w:rFonts w:ascii="Arial" w:cs="Arial" w:eastAsia="Arial" w:hAnsi="Arial"/>
          <w:sz w:val="16"/>
          <w:szCs w:val="16"/>
          <w:color w:val="auto"/>
        </w:rPr>
      </w:pPr>
    </w:p>
    <w:p>
      <w:pPr>
        <w:ind w:left="4600" w:hanging="124"/>
        <w:spacing w:after="0"/>
        <w:tabs>
          <w:tab w:leader="none" w:pos="4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11</w:t>
      </w:r>
    </w:p>
    <w:p>
      <w:pPr>
        <w:sectPr>
          <w:pgSz w:w="11900" w:h="16838" w:orient="portrait"/>
          <w:cols w:equalWidth="0" w:num="1">
            <w:col w:w="9400"/>
          </w:cols>
          <w:pgMar w:left="1260" w:top="1347" w:right="1246" w:bottom="0" w:gutter="0" w:footer="0" w:header="0"/>
          <w:type w:val="continuous"/>
        </w:sectPr>
      </w:pPr>
    </w:p>
    <w:bookmarkStart w:id="126" w:name="page127"/>
    <w:bookmarkEnd w:id="126"/>
    <w:p>
      <w:pPr>
        <w:ind w:right="400"/>
        <w:spacing w:after="0" w:line="227" w:lineRule="auto"/>
        <w:rPr>
          <w:sz w:val="20"/>
          <w:szCs w:val="20"/>
          <w:color w:val="auto"/>
        </w:rPr>
      </w:pPr>
      <w:r>
        <w:rPr>
          <w:rFonts w:ascii="Arial" w:cs="Arial" w:eastAsia="Arial" w:hAnsi="Arial"/>
          <w:sz w:val="20"/>
          <w:szCs w:val="20"/>
          <w:color w:val="auto"/>
        </w:rPr>
        <w:t>Our loan arrangements are presented, net of the deferred financing costs, on the face of our consolidated balance sheet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5"/>
                <w:szCs w:val="15"/>
                <w:color w:val="auto"/>
              </w:rPr>
            </w:pPr>
          </w:p>
        </w:tc>
        <w:tc>
          <w:tcPr>
            <w:tcW w:w="900" w:type="dxa"/>
            <w:vAlign w:val="bottom"/>
          </w:tcPr>
          <w:p>
            <w:pPr>
              <w:jc w:val="right"/>
              <w:ind w:right="327"/>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Debt - current portion</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35,999</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69,193</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Debt - long-term portion</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114,350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w w:val="91"/>
              </w:rPr>
              <w:t>105,239</w:t>
            </w:r>
          </w:p>
        </w:tc>
      </w:tr>
      <w:tr>
        <w:trPr>
          <w:trHeight w:val="236"/>
        </w:trPr>
        <w:tc>
          <w:tcPr>
            <w:tcW w:w="69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Subordinated debt - long-term portion</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27,617</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27,394</w:t>
            </w:r>
          </w:p>
        </w:tc>
      </w:tr>
      <w:tr>
        <w:trPr>
          <w:trHeight w:val="206"/>
        </w:trPr>
        <w:tc>
          <w:tcPr>
            <w:tcW w:w="6960" w:type="dxa"/>
            <w:vAlign w:val="bottom"/>
            <w:gridSpan w:val="2"/>
          </w:tcPr>
          <w:p>
            <w:pPr>
              <w:spacing w:after="0" w:line="196" w:lineRule="exact"/>
              <w:rPr>
                <w:sz w:val="20"/>
                <w:szCs w:val="20"/>
                <w:color w:val="auto"/>
              </w:rPr>
            </w:pPr>
            <w:r>
              <w:rPr>
                <w:rFonts w:ascii="Arial" w:cs="Arial" w:eastAsia="Arial" w:hAnsi="Arial"/>
                <w:sz w:val="20"/>
                <w:szCs w:val="20"/>
                <w:b w:val="1"/>
                <w:bCs w:val="1"/>
                <w:color w:val="auto"/>
              </w:rPr>
              <w:t>Total borrowings</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177,966</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94"/>
              </w:rPr>
              <w:t>201,826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Debt denominated in USD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Trust Preferred Securities (“TPS”)</w:t>
      </w:r>
    </w:p>
    <w:p>
      <w:pPr>
        <w:ind w:right="60"/>
        <w:spacing w:after="0" w:line="251" w:lineRule="auto"/>
        <w:rPr>
          <w:sz w:val="20"/>
          <w:szCs w:val="20"/>
          <w:color w:val="auto"/>
        </w:rPr>
      </w:pPr>
      <w:r>
        <w:rPr>
          <w:rFonts w:ascii="Arial" w:cs="Arial" w:eastAsia="Arial" w:hAnsi="Arial"/>
          <w:sz w:val="18"/>
          <w:szCs w:val="18"/>
          <w:color w:val="auto"/>
        </w:rPr>
        <w:t>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waiver expired January 1, 2018, after which a further covenant waiver was secured on October 11, 2018 for the remaining term of the loan, in consideration of payments totaling $1.6 million, consisting of an initial payment of $1.1 million paid on October 31, 2018, and a further payment made of $270,000 in October 2021 and $225,000 made in October 2025.</w:t>
      </w:r>
    </w:p>
    <w:p>
      <w:pPr>
        <w:spacing w:after="0" w:line="20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During the first quarter of 2009, we took advantage of the then current market illiquidity for securities such as our TPS to repurchase $22.9 million in face value of those securities through an exchange of $ 11.5 million worth of marketable securities purchased during the period for the express purpose of executing this exchange transaction with the third-party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205"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During the year ended December 31, 2025, we paid preferred dividends on our outstanding TPS that are included in interest expense to unrelated investors of $2.4 million. We paid $2.6 million in 2024 and paid $2.5 million in 2023. At December 31, 2025 and 2024, we had preferred dividends payable on our TPS of $372,000 and $406,000, respectively. Interest payments for this loan are required every three months.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Arial" w:cs="Arial" w:eastAsia="Arial" w:hAnsi="Arial"/>
                <w:sz w:val="20"/>
                <w:szCs w:val="20"/>
                <w:u w:val="single" w:color="auto"/>
                <w:color w:val="auto"/>
                <w:w w:val="95"/>
              </w:rPr>
              <w:t>Bank of America Credit Facility</w:t>
            </w:r>
          </w:p>
        </w:tc>
        <w:tc>
          <w:tcPr>
            <w:tcW w:w="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20" w:type="dxa"/>
            <w:vAlign w:val="bottom"/>
          </w:tcPr>
          <w:p>
            <w:pPr>
              <w:spacing w:after="0" w:line="216" w:lineRule="exact"/>
              <w:rPr>
                <w:sz w:val="20"/>
                <w:szCs w:val="20"/>
                <w:color w:val="auto"/>
              </w:rPr>
            </w:pPr>
            <w:r>
              <w:rPr>
                <w:rFonts w:ascii="Arial" w:cs="Arial" w:eastAsia="Arial" w:hAnsi="Arial"/>
                <w:sz w:val="20"/>
                <w:szCs w:val="20"/>
                <w:color w:val="auto"/>
              </w:rPr>
              <w:t>On</w:t>
            </w:r>
          </w:p>
        </w:tc>
        <w:tc>
          <w:tcPr>
            <w:tcW w:w="1900" w:type="dxa"/>
            <w:vAlign w:val="bottom"/>
          </w:tcPr>
          <w:p>
            <w:pPr>
              <w:ind w:left="480"/>
              <w:spacing w:after="0" w:line="216" w:lineRule="exact"/>
              <w:rPr>
                <w:sz w:val="20"/>
                <w:szCs w:val="20"/>
                <w:color w:val="auto"/>
              </w:rPr>
            </w:pPr>
            <w:r>
              <w:rPr>
                <w:rFonts w:ascii="Arial" w:cs="Arial" w:eastAsia="Arial" w:hAnsi="Arial"/>
                <w:sz w:val="20"/>
                <w:szCs w:val="20"/>
                <w:color w:val="auto"/>
              </w:rPr>
              <w:t>March</w:t>
            </w:r>
          </w:p>
        </w:tc>
        <w:tc>
          <w:tcPr>
            <w:tcW w:w="780" w:type="dxa"/>
            <w:vAlign w:val="bottom"/>
          </w:tcPr>
          <w:p>
            <w:pPr>
              <w:jc w:val="right"/>
              <w:ind w:right="380"/>
              <w:spacing w:after="0" w:line="216" w:lineRule="exact"/>
              <w:rPr>
                <w:sz w:val="20"/>
                <w:szCs w:val="20"/>
                <w:color w:val="auto"/>
              </w:rPr>
            </w:pPr>
            <w:r>
              <w:rPr>
                <w:rFonts w:ascii="Arial" w:cs="Arial" w:eastAsia="Arial" w:hAnsi="Arial"/>
                <w:sz w:val="20"/>
                <w:szCs w:val="20"/>
                <w:color w:val="auto"/>
              </w:rPr>
              <w:t>27,</w:t>
            </w:r>
          </w:p>
        </w:tc>
        <w:tc>
          <w:tcPr>
            <w:tcW w:w="1420" w:type="dxa"/>
            <w:vAlign w:val="bottom"/>
          </w:tcPr>
          <w:p>
            <w:pPr>
              <w:jc w:val="right"/>
              <w:ind w:right="380"/>
              <w:spacing w:after="0" w:line="216" w:lineRule="exact"/>
              <w:rPr>
                <w:sz w:val="20"/>
                <w:szCs w:val="20"/>
                <w:color w:val="auto"/>
              </w:rPr>
            </w:pPr>
            <w:r>
              <w:rPr>
                <w:rFonts w:ascii="Arial" w:cs="Arial" w:eastAsia="Arial" w:hAnsi="Arial"/>
                <w:sz w:val="20"/>
                <w:szCs w:val="20"/>
                <w:color w:val="auto"/>
              </w:rPr>
              <w:t>2024,</w:t>
            </w:r>
          </w:p>
        </w:tc>
        <w:tc>
          <w:tcPr>
            <w:tcW w:w="1180" w:type="dxa"/>
            <w:vAlign w:val="bottom"/>
          </w:tcPr>
          <w:p>
            <w:pPr>
              <w:ind w:left="480"/>
              <w:spacing w:after="0" w:line="216" w:lineRule="exact"/>
              <w:rPr>
                <w:sz w:val="20"/>
                <w:szCs w:val="20"/>
                <w:color w:val="auto"/>
              </w:rPr>
            </w:pPr>
            <w:r>
              <w:rPr>
                <w:rFonts w:ascii="Arial" w:cs="Arial" w:eastAsia="Arial" w:hAnsi="Arial"/>
                <w:sz w:val="20"/>
                <w:szCs w:val="20"/>
                <w:color w:val="auto"/>
              </w:rPr>
              <w:t>we</w:t>
            </w:r>
          </w:p>
        </w:tc>
        <w:tc>
          <w:tcPr>
            <w:tcW w:w="1680" w:type="dxa"/>
            <w:vAlign w:val="bottom"/>
          </w:tcPr>
          <w:p>
            <w:pPr>
              <w:ind w:left="480"/>
              <w:spacing w:after="0" w:line="216" w:lineRule="exact"/>
              <w:rPr>
                <w:sz w:val="20"/>
                <w:szCs w:val="20"/>
                <w:color w:val="auto"/>
              </w:rPr>
            </w:pPr>
            <w:r>
              <w:rPr>
                <w:rFonts w:ascii="Arial" w:cs="Arial" w:eastAsia="Arial" w:hAnsi="Arial"/>
                <w:sz w:val="20"/>
                <w:szCs w:val="20"/>
                <w:color w:val="auto"/>
              </w:rPr>
              <w:t>amended</w:t>
            </w:r>
          </w:p>
        </w:tc>
        <w:tc>
          <w:tcPr>
            <w:tcW w:w="760" w:type="dxa"/>
            <w:vAlign w:val="bottom"/>
          </w:tcPr>
          <w:p>
            <w:pPr>
              <w:ind w:left="480"/>
              <w:spacing w:after="0" w:line="216" w:lineRule="exact"/>
              <w:rPr>
                <w:sz w:val="20"/>
                <w:szCs w:val="20"/>
                <w:color w:val="auto"/>
              </w:rPr>
            </w:pPr>
            <w:r>
              <w:rPr>
                <w:rFonts w:ascii="Arial" w:cs="Arial" w:eastAsia="Arial" w:hAnsi="Arial"/>
                <w:sz w:val="20"/>
                <w:szCs w:val="20"/>
                <w:color w:val="auto"/>
                <w:w w:val="89"/>
              </w:rPr>
              <w:t>our</w:t>
            </w:r>
          </w:p>
        </w:tc>
      </w:tr>
    </w:tbl>
    <w:p>
      <w:pPr>
        <w:jc w:val="both"/>
        <w:spacing w:after="0" w:line="250" w:lineRule="auto"/>
        <w:rPr>
          <w:sz w:val="20"/>
          <w:szCs w:val="20"/>
          <w:color w:val="auto"/>
        </w:rPr>
      </w:pPr>
      <w:r>
        <w:rPr>
          <w:rFonts w:ascii="Arial" w:cs="Arial" w:eastAsia="Arial" w:hAnsi="Arial"/>
          <w:sz w:val="18"/>
          <w:szCs w:val="18"/>
          <w:color w:val="auto"/>
        </w:rPr>
        <w:t>$6.7 million Bank of America facility to, among things, (i) extend the Maturity Date to August 18, 2025, (ii) require a $275,000 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w:t>
      </w:r>
    </w:p>
    <w:p>
      <w:pPr>
        <w:spacing w:after="0"/>
        <w:tabs>
          <w:tab w:leader="none" w:pos="1800" w:val="left"/>
          <w:tab w:leader="none" w:pos="3660" w:val="left"/>
          <w:tab w:leader="none" w:pos="5060" w:val="left"/>
          <w:tab w:leader="none" w:pos="6400" w:val="left"/>
          <w:tab w:leader="none" w:pos="7960" w:val="left"/>
        </w:tabs>
        <w:rPr>
          <w:sz w:val="20"/>
          <w:szCs w:val="20"/>
          <w:color w:val="auto"/>
        </w:rPr>
      </w:pPr>
      <w:r>
        <w:rPr>
          <w:rFonts w:ascii="Arial" w:cs="Arial" w:eastAsia="Arial" w:hAnsi="Arial"/>
          <w:sz w:val="20"/>
          <w:szCs w:val="20"/>
          <w:color w:val="auto"/>
        </w:rPr>
        <w:t>in-kind</w:t>
      </w:r>
      <w:r>
        <w:rPr>
          <w:sz w:val="20"/>
          <w:szCs w:val="20"/>
          <w:color w:val="auto"/>
        </w:rPr>
        <w:tab/>
      </w:r>
      <w:r>
        <w:rPr>
          <w:rFonts w:ascii="Arial" w:cs="Arial" w:eastAsia="Arial" w:hAnsi="Arial"/>
          <w:sz w:val="20"/>
          <w:szCs w:val="20"/>
          <w:color w:val="auto"/>
        </w:rPr>
        <w:t>interest</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rate</w:t>
      </w:r>
      <w:r>
        <w:rPr>
          <w:sz w:val="20"/>
          <w:szCs w:val="20"/>
          <w:color w:val="auto"/>
        </w:rPr>
        <w:tab/>
      </w:r>
      <w:r>
        <w:rPr>
          <w:rFonts w:ascii="Arial" w:cs="Arial" w:eastAsia="Arial" w:hAnsi="Arial"/>
          <w:sz w:val="19"/>
          <w:szCs w:val="19"/>
          <w:color w:val="auto"/>
        </w:rPr>
        <w:t>of</w:t>
      </w:r>
    </w:p>
    <w:p>
      <w:pPr>
        <w:jc w:val="both"/>
        <w:ind w:right="60"/>
        <w:spacing w:after="0" w:line="226" w:lineRule="auto"/>
        <w:rPr>
          <w:sz w:val="20"/>
          <w:szCs w:val="20"/>
          <w:color w:val="auto"/>
        </w:rPr>
      </w:pPr>
      <w:r>
        <w:rPr>
          <w:rFonts w:ascii="Arial" w:cs="Arial" w:eastAsia="Arial" w:hAnsi="Arial"/>
          <w:sz w:val="20"/>
          <w:szCs w:val="20"/>
          <w:color w:val="auto"/>
        </w:rPr>
        <w:t>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All deferred payments were made as contracted. Upon the sale of our Wellington Property assets including Courtenay Central, we repaid $6.1 million of this facility on February 5, 2025. Upon the sale of our Cannon Park property, we repaid $1.5 million of this facility.</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On April 3, 2025, we further amended the facility to defer certain scheduled pay downs, which were subsequently paid upon the sale of our Cannon Park property. On July 3, 2025, we extended the maturity date to May 18, 2026, and on December 29, 2025, further extended the maturity to September 18, 2026.</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11</w:t>
      </w:r>
    </w:p>
    <w:p>
      <w:pPr>
        <w:sectPr>
          <w:pgSz w:w="11900" w:h="16838" w:orient="portrait"/>
          <w:cols w:equalWidth="0" w:num="1">
            <w:col w:w="9400"/>
          </w:cols>
          <w:pgMar w:left="1260" w:top="1347" w:right="1246"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u w:val="single" w:color="auto"/>
          <w:color w:val="auto"/>
        </w:rPr>
        <w:t>Cinemas 1,2,3 Term Loan</w:t>
      </w:r>
    </w:p>
    <w:p>
      <w:pPr>
        <w:jc w:val="both"/>
        <w:spacing w:after="0" w:line="225" w:lineRule="auto"/>
        <w:rPr>
          <w:sz w:val="20"/>
          <w:szCs w:val="20"/>
          <w:color w:val="auto"/>
        </w:rPr>
      </w:pPr>
      <w:r>
        <w:rPr>
          <w:rFonts w:ascii="Arial" w:cs="Arial" w:eastAsia="Arial" w:hAnsi="Arial"/>
          <w:sz w:val="20"/>
          <w:szCs w:val="20"/>
          <w:color w:val="auto"/>
        </w:rPr>
        <w:t>Our $20.4 million Cinemas 1,2,3 Term Loan is held by Sutton Hill Properties LLC (“SHP). On February 26, 2025, we exercised the last of our extension options on this loan, extending the maturity to October 1, 2025. The loan is with Valley National Bank, which carries</w:t>
      </w:r>
    </w:p>
    <w:p>
      <w:pPr>
        <w:jc w:val="center"/>
        <w:ind w:right="-59"/>
        <w:spacing w:after="0" w:line="231" w:lineRule="auto"/>
        <w:rPr>
          <w:sz w:val="20"/>
          <w:szCs w:val="20"/>
          <w:color w:val="auto"/>
        </w:rPr>
      </w:pPr>
      <w:r>
        <w:rPr>
          <w:rFonts w:ascii="Arial" w:cs="Arial" w:eastAsia="Arial" w:hAnsi="Arial"/>
          <w:sz w:val="20"/>
          <w:szCs w:val="20"/>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1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11</w:t>
      </w:r>
    </w:p>
    <w:p>
      <w:pPr>
        <w:sectPr>
          <w:pgSz w:w="11900" w:h="16838" w:orient="portrait"/>
          <w:cols w:equalWidth="0" w:num="1">
            <w:col w:w="9340"/>
          </w:cols>
          <w:pgMar w:left="1260" w:top="1117" w:right="1306" w:bottom="0" w:gutter="0" w:footer="0" w:header="0"/>
          <w:type w:val="continuous"/>
        </w:sectPr>
      </w:pPr>
    </w:p>
    <w:bookmarkStart w:id="128" w:name="page129"/>
    <w:bookmarkEnd w:id="128"/>
    <w:p>
      <w:pPr>
        <w:jc w:val="both"/>
        <w:ind w:right="20"/>
        <w:spacing w:after="0" w:line="227" w:lineRule="auto"/>
        <w:rPr>
          <w:sz w:val="20"/>
          <w:szCs w:val="20"/>
          <w:color w:val="auto"/>
        </w:rPr>
      </w:pPr>
      <w:r>
        <w:rPr>
          <w:rFonts w:ascii="Arial" w:cs="Arial" w:eastAsia="Arial" w:hAnsi="Arial"/>
          <w:sz w:val="20"/>
          <w:szCs w:val="20"/>
          <w:color w:val="auto"/>
        </w:rPr>
        <w:t>an interest rate of 5.0% above monthly SOFR, with a floor of 7.50%. On November 13, 2025, we extended the maturity of this loan to October 1, 2026.</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Minetta and Orpheum Theatres Loan</w:t>
      </w:r>
    </w:p>
    <w:p>
      <w:pPr>
        <w:jc w:val="both"/>
        <w:spacing w:after="0" w:line="218" w:lineRule="auto"/>
        <w:rPr>
          <w:sz w:val="20"/>
          <w:szCs w:val="20"/>
          <w:color w:val="auto"/>
        </w:rPr>
      </w:pPr>
      <w:r>
        <w:rPr>
          <w:rFonts w:ascii="Arial" w:cs="Arial" w:eastAsia="Arial" w:hAnsi="Arial"/>
          <w:sz w:val="19"/>
          <w:szCs w:val="19"/>
          <w:color w:val="auto"/>
        </w:rPr>
        <w:t>Our $7.1 million loan with Santander Bank is secured by our Minetta and Orpheum Theatres. It had previously matured on June 1, 2025, required monthly principal and interest payments with a balloon payment of $7.7 million on maturity, and carried an interest rate of 7.0%. On July 18, 2025, we extended the maturity of this loan to June 1, 2026, with various paydowns throughout the year, and a final repayment upon maturity.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Union Square Financing</w:t>
      </w:r>
    </w:p>
    <w:p>
      <w:pPr>
        <w:jc w:val="both"/>
        <w:ind w:right="20"/>
        <w:spacing w:after="0" w:line="226" w:lineRule="auto"/>
        <w:rPr>
          <w:sz w:val="20"/>
          <w:szCs w:val="20"/>
          <w:color w:val="auto"/>
        </w:rPr>
      </w:pPr>
      <w:r>
        <w:rPr>
          <w:rFonts w:ascii="Arial" w:cs="Arial" w:eastAsia="Arial" w:hAnsi="Arial"/>
          <w:sz w:val="20"/>
          <w:szCs w:val="20"/>
          <w:color w:val="auto"/>
        </w:rPr>
        <w:t>Our $49.0 million loan facility, executed in 2021 with Emerald Creek Capital, is secured by our 44 Union Square property and certain limited guarantees. It bears a variable interest rate of term SOFR plus 6.9% and includes provisions for a prepaid interest and property tax reserve fund. On April 23, 2024, we executed the first twelve month extension on this loan, taking the maturity to May 6, 2025.</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On May 2, 2025, we extended the maturity date of this loan to November 6, 2026, with one option to extend further to May 6, 2027. The extension provided for principal payments of $500,000 on or before May 21, 2025, and on or before and February 6, 2026. This modification and a subsequent repayment reduced the facility limit from $55.0 million to $49.0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Nationwide Theaters Corp.</w:t>
      </w:r>
    </w:p>
    <w:p>
      <w:pPr>
        <w:ind w:right="80"/>
        <w:spacing w:after="0" w:line="250" w:lineRule="auto"/>
        <w:rPr>
          <w:sz w:val="20"/>
          <w:szCs w:val="20"/>
          <w:color w:val="auto"/>
        </w:rPr>
      </w:pPr>
      <w:r>
        <w:rPr>
          <w:rFonts w:ascii="Arial" w:cs="Arial" w:eastAsia="Arial" w:hAnsi="Arial"/>
          <w:sz w:val="18"/>
          <w:szCs w:val="18"/>
          <w:color w:val="auto"/>
        </w:rPr>
        <w:t xml:space="preserve">As part of the acquisition of Sutton Hill Associates detailed at </w:t>
      </w:r>
      <w:r>
        <w:rPr>
          <w:rFonts w:ascii="Arial" w:cs="Arial" w:eastAsia="Arial" w:hAnsi="Arial"/>
          <w:sz w:val="18"/>
          <w:szCs w:val="18"/>
          <w:i w:val="1"/>
          <w:iCs w:val="1"/>
          <w:color w:val="auto"/>
        </w:rPr>
        <w:t>Note 21 – Related Parties</w:t>
      </w:r>
      <w:r>
        <w:rPr>
          <w:rFonts w:ascii="Arial" w:cs="Arial" w:eastAsia="Arial" w:hAnsi="Arial"/>
          <w:sz w:val="18"/>
          <w:szCs w:val="18"/>
          <w:color w:val="auto"/>
        </w:rPr>
        <w:t>, we assumed $13.6 million of notes payable to Nationwide Theaters Corp. The notes are due in full on September 30, 2035, with interest of</w:t>
      </w:r>
    </w:p>
    <w:p>
      <w:pPr>
        <w:spacing w:after="0" w:line="1"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4.75% per annum paid on a quarterly basis. Acquired as part of the Sutton Hill Acquisition, we carry this debt at the calculated fair value of $7.6 million based on an effective interest rate of 12.66%.</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Debt denominated in foreign currencies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Australian NAB Corporate Loan Facility and Bridge Loan</w:t>
      </w:r>
    </w:p>
    <w:p>
      <w:pPr>
        <w:jc w:val="both"/>
        <w:spacing w:after="0" w:line="226" w:lineRule="auto"/>
        <w:rPr>
          <w:sz w:val="20"/>
          <w:szCs w:val="20"/>
          <w:color w:val="auto"/>
        </w:rPr>
      </w:pPr>
      <w:r>
        <w:rPr>
          <w:rFonts w:ascii="Arial" w:cs="Arial" w:eastAsia="Arial" w:hAnsi="Arial"/>
          <w:sz w:val="20"/>
          <w:szCs w:val="20"/>
          <w:color w:val="auto"/>
        </w:rPr>
        <w:t>Prior to March 31, 2024, our Revolving Corporate Markets Loan Facility with National Australia Bank (“NAB”) matured on July 31, 2025. It consisted of (i) an AU$100.0 million Corporate Loan facility at 1.75% above BBSY, of which AU $60.0 million was revolving and AU$40.0 million was core and (ii) a Bank Guarantee Facility of AU$5.0 million at a rate of 1.9% per annum.</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April 4, 2024, we amended this facility, which then had a maturity on July 31, 2026. As part of the amendment, we obtained an additional AU$20.0 million bridge facility (the “Bridge Loan”), which was repaid on May 21, 2025. We were also required, from March 31, 2025, to make quarterly repayments of AU$1.5 million against the AU$100.0 million Corporate Loan facility, until maturity date, representing permanent reductions in that facility’s ceiling. No other changes were made. On April 2, 2025, we executed an amendment that among other things, increased the bank guarantee facility from AU$3.0 million to AU$4.0 million.</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Effective June 28, 2024, we entered into an Interest Rate Hedging Agreement with NAB on AU$50.0 million of the Corporate Loan Facility with a termination date of July 31, 2026. The Interest Rate Collar transaction has a floor of 4.18% and a cap of 4.78%.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On November 12, 2025, we extended the maturity of this loan to July 31, 2030.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extinguished during 2025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NAB Bridge Facility</w:t>
      </w:r>
    </w:p>
    <w:p>
      <w:pPr>
        <w:spacing w:after="0" w:line="229" w:lineRule="auto"/>
        <w:rPr>
          <w:sz w:val="20"/>
          <w:szCs w:val="20"/>
          <w:color w:val="auto"/>
        </w:rPr>
      </w:pPr>
      <w:r>
        <w:rPr>
          <w:rFonts w:ascii="Arial" w:cs="Arial" w:eastAsia="Arial" w:hAnsi="Arial"/>
          <w:sz w:val="20"/>
          <w:szCs w:val="20"/>
          <w:color w:val="auto"/>
        </w:rPr>
        <w:t>On May 21, 2025, we repaid our AU$20.0 million NAB Bridge Facility.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 Zealand Westpac Bank Corporate Credit Facility</w:t>
      </w:r>
    </w:p>
    <w:p>
      <w:pPr>
        <w:spacing w:after="0" w:line="225" w:lineRule="auto"/>
        <w:rPr>
          <w:sz w:val="20"/>
          <w:szCs w:val="20"/>
          <w:color w:val="auto"/>
        </w:rPr>
      </w:pPr>
      <w:r>
        <w:rPr>
          <w:rFonts w:ascii="Arial" w:cs="Arial" w:eastAsia="Arial" w:hAnsi="Arial"/>
          <w:sz w:val="20"/>
          <w:szCs w:val="20"/>
          <w:color w:val="auto"/>
        </w:rPr>
        <w:t>On January 31, 2025, we repaid our Westpac Bank Corporate Credit.</w:t>
      </w:r>
    </w:p>
    <w:p>
      <w:pPr>
        <w:ind w:left="4480"/>
        <w:spacing w:after="0" w:line="230" w:lineRule="auto"/>
        <w:rPr>
          <w:sz w:val="20"/>
          <w:szCs w:val="20"/>
          <w:color w:val="auto"/>
        </w:rPr>
      </w:pPr>
      <w:r>
        <w:rPr>
          <w:rFonts w:ascii="Arial" w:cs="Arial" w:eastAsia="Arial" w:hAnsi="Arial"/>
          <w:sz w:val="20"/>
          <w:szCs w:val="20"/>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1"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11</w:t>
      </w:r>
    </w:p>
    <w:p>
      <w:pPr>
        <w:sectPr>
          <w:pgSz w:w="11900" w:h="16838" w:orient="portrait"/>
          <w:cols w:equalWidth="0" w:num="1">
            <w:col w:w="9340"/>
          </w:cols>
          <w:pgMar w:left="1260" w:top="1131" w:right="1306" w:bottom="0" w:gutter="0" w:footer="0" w:header="0"/>
          <w:type w:val="continuous"/>
        </w:sectPr>
      </w:pPr>
    </w:p>
    <w:bookmarkStart w:id="129" w:name="page130"/>
    <w:bookmarkEnd w:id="129"/>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 amount of future principal debt payments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our aggregate amount of future principal debt payments is estimated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84"/>
              <w:spacing w:after="0"/>
              <w:rPr>
                <w:sz w:val="20"/>
                <w:szCs w:val="20"/>
                <w:color w:val="auto"/>
              </w:rPr>
            </w:pPr>
            <w:r>
              <w:rPr>
                <w:rFonts w:ascii="Arial" w:cs="Arial" w:eastAsia="Arial" w:hAnsi="Arial"/>
                <w:sz w:val="16"/>
                <w:szCs w:val="16"/>
                <w:b w:val="1"/>
                <w:bCs w:val="1"/>
                <w:color w:val="auto"/>
                <w:w w:val="96"/>
              </w:rPr>
              <w:t>Future</w:t>
            </w:r>
          </w:p>
        </w:tc>
      </w:tr>
      <w:tr>
        <w:trPr>
          <w:trHeight w:val="173"/>
        </w:trPr>
        <w:tc>
          <w:tcPr>
            <w:tcW w:w="8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84"/>
              <w:spacing w:after="0" w:line="173" w:lineRule="exact"/>
              <w:rPr>
                <w:sz w:val="20"/>
                <w:szCs w:val="20"/>
                <w:color w:val="auto"/>
              </w:rPr>
            </w:pPr>
            <w:r>
              <w:rPr>
                <w:rFonts w:ascii="Arial" w:cs="Arial" w:eastAsia="Arial" w:hAnsi="Arial"/>
                <w:sz w:val="16"/>
                <w:szCs w:val="16"/>
                <w:b w:val="1"/>
                <w:bCs w:val="1"/>
                <w:color w:val="auto"/>
                <w:w w:val="94"/>
              </w:rPr>
              <w:t>Principal</w:t>
            </w:r>
          </w:p>
        </w:tc>
      </w:tr>
      <w:tr>
        <w:trPr>
          <w:trHeight w:val="185"/>
        </w:trPr>
        <w:tc>
          <w:tcPr>
            <w:tcW w:w="81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Debt Payments</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83,245</w:t>
            </w:r>
          </w:p>
        </w:tc>
      </w:tr>
      <w:tr>
        <w:trPr>
          <w:trHeight w:val="216"/>
        </w:trPr>
        <w:tc>
          <w:tcPr>
            <w:tcW w:w="8100" w:type="dxa"/>
            <w:vAlign w:val="bottom"/>
          </w:tcPr>
          <w:p>
            <w:pPr>
              <w:spacing w:after="0" w:line="216" w:lineRule="exact"/>
              <w:rPr>
                <w:sz w:val="20"/>
                <w:szCs w:val="20"/>
                <w:color w:val="auto"/>
              </w:rPr>
            </w:pPr>
            <w:r>
              <w:rPr>
                <w:rFonts w:ascii="Arial" w:cs="Arial" w:eastAsia="Arial" w:hAnsi="Arial"/>
                <w:sz w:val="20"/>
                <w:szCs w:val="20"/>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30,847</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2,934</w:t>
            </w:r>
          </w:p>
        </w:tc>
      </w:tr>
      <w:tr>
        <w:trPr>
          <w:trHeight w:val="216"/>
        </w:trPr>
        <w:tc>
          <w:tcPr>
            <w:tcW w:w="8100" w:type="dxa"/>
            <w:vAlign w:val="bottom"/>
          </w:tcPr>
          <w:p>
            <w:pPr>
              <w:spacing w:after="0" w:line="216" w:lineRule="exact"/>
              <w:rPr>
                <w:sz w:val="20"/>
                <w:szCs w:val="20"/>
                <w:color w:val="auto"/>
              </w:rPr>
            </w:pPr>
            <w:r>
              <w:rPr>
                <w:rFonts w:ascii="Arial" w:cs="Arial" w:eastAsia="Arial" w:hAnsi="Arial"/>
                <w:sz w:val="20"/>
                <w:szCs w:val="20"/>
                <w:color w:val="auto"/>
              </w:rPr>
              <w:t>2029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2,934</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51,485</w:t>
            </w:r>
          </w:p>
        </w:tc>
      </w:tr>
      <w:tr>
        <w:trPr>
          <w:trHeight w:val="216"/>
        </w:trPr>
        <w:tc>
          <w:tcPr>
            <w:tcW w:w="810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Thereafter</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13,646</w:t>
            </w:r>
          </w:p>
        </w:tc>
      </w:tr>
      <w:tr>
        <w:trPr>
          <w:trHeight w:val="226"/>
        </w:trPr>
        <w:tc>
          <w:tcPr>
            <w:tcW w:w="810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20"/>
                <w:szCs w:val="20"/>
                <w:b w:val="1"/>
                <w:bCs w:val="1"/>
                <w:color w:val="auto"/>
              </w:rPr>
              <w:t>Total future principal debt payments</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185,091</w:t>
            </w:r>
          </w:p>
        </w:tc>
      </w:tr>
    </w:tbl>
    <w:p>
      <w:pPr>
        <w:spacing w:after="0" w:line="213" w:lineRule="exact"/>
        <w:rPr>
          <w:sz w:val="20"/>
          <w:szCs w:val="20"/>
          <w:color w:val="auto"/>
        </w:rPr>
      </w:pPr>
    </w:p>
    <w:p>
      <w:pPr>
        <w:jc w:val="both"/>
        <w:ind w:right="60"/>
        <w:spacing w:after="0" w:line="238" w:lineRule="auto"/>
        <w:rPr>
          <w:sz w:val="20"/>
          <w:szCs w:val="20"/>
          <w:color w:val="auto"/>
        </w:rPr>
      </w:pPr>
      <w:r>
        <w:rPr>
          <w:rFonts w:ascii="Arial" w:cs="Arial" w:eastAsia="Arial" w:hAnsi="Arial"/>
          <w:sz w:val="19"/>
          <w:szCs w:val="19"/>
          <w:color w:val="auto"/>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spacing w:after="0" w:line="214" w:lineRule="exact"/>
        <w:rPr>
          <w:sz w:val="20"/>
          <w:szCs w:val="20"/>
          <w:color w:val="auto"/>
        </w:rPr>
      </w:pPr>
    </w:p>
    <w:p>
      <w:pPr>
        <w:ind w:right="4440"/>
        <w:spacing w:after="0" w:line="440" w:lineRule="auto"/>
        <w:rPr>
          <w:sz w:val="20"/>
          <w:szCs w:val="20"/>
          <w:color w:val="auto"/>
        </w:rPr>
      </w:pPr>
      <w:r>
        <w:rPr>
          <w:rFonts w:ascii="Arial" w:cs="Arial" w:eastAsia="Arial" w:hAnsi="Arial"/>
          <w:sz w:val="20"/>
          <w:szCs w:val="20"/>
          <w:b w:val="1"/>
          <w:bCs w:val="1"/>
          <w:u w:val="single" w:color="auto"/>
          <w:color w:val="auto"/>
        </w:rPr>
        <w:t xml:space="preserve">NOTE 14 – PENSION AND OTHER LIABILITIES </w:t>
      </w:r>
      <w:r>
        <w:rPr>
          <w:rFonts w:ascii="Arial" w:cs="Arial" w:eastAsia="Arial" w:hAnsi="Arial"/>
          <w:sz w:val="20"/>
          <w:szCs w:val="20"/>
          <w:color w:val="auto"/>
        </w:rPr>
        <w:t>Other liabilities including pension are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3"/>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3"/>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2"/>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b w:val="1"/>
                <w:bCs w:val="1"/>
                <w:color w:val="auto"/>
              </w:rPr>
              <w:t>Current liabilities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6940" w:type="dxa"/>
            <w:vAlign w:val="bottom"/>
            <w:gridSpan w:val="2"/>
            <w:shd w:val="clear" w:color="auto" w:fill="CCEEFF"/>
          </w:tcPr>
          <w:p>
            <w:pPr>
              <w:ind w:left="220"/>
              <w:spacing w:after="0" w:line="291" w:lineRule="exact"/>
              <w:rPr>
                <w:sz w:val="20"/>
                <w:szCs w:val="20"/>
                <w:color w:val="auto"/>
              </w:rPr>
            </w:pPr>
            <w:r>
              <w:rPr>
                <w:rFonts w:ascii="Arial" w:cs="Arial" w:eastAsia="Arial" w:hAnsi="Arial"/>
                <w:sz w:val="19"/>
                <w:szCs w:val="19"/>
                <w:color w:val="auto"/>
              </w:rPr>
              <w:t>Lease liability</w:t>
            </w:r>
            <w:r>
              <w:rPr>
                <w:rFonts w:ascii="Arial" w:cs="Arial" w:eastAsia="Arial" w:hAnsi="Arial"/>
                <w:sz w:val="33"/>
                <w:szCs w:val="33"/>
                <w:color w:val="auto"/>
                <w:vertAlign w:val="superscript"/>
              </w:rPr>
              <w:t>(2)</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5,900</w:t>
            </w:r>
          </w:p>
        </w:tc>
      </w:tr>
      <w:tr>
        <w:trPr>
          <w:trHeight w:val="291"/>
        </w:trPr>
        <w:tc>
          <w:tcPr>
            <w:tcW w:w="20" w:type="dxa"/>
            <w:vAlign w:val="bottom"/>
          </w:tcPr>
          <w:p>
            <w:pPr>
              <w:spacing w:after="0"/>
              <w:rPr>
                <w:sz w:val="24"/>
                <w:szCs w:val="24"/>
                <w:color w:val="auto"/>
              </w:rPr>
            </w:pPr>
          </w:p>
        </w:tc>
        <w:tc>
          <w:tcPr>
            <w:tcW w:w="6940" w:type="dxa"/>
            <w:vAlign w:val="bottom"/>
            <w:gridSpan w:val="2"/>
          </w:tcPr>
          <w:p>
            <w:pPr>
              <w:ind w:left="220"/>
              <w:spacing w:after="0" w:line="291" w:lineRule="exact"/>
              <w:rPr>
                <w:sz w:val="20"/>
                <w:szCs w:val="20"/>
                <w:color w:val="auto"/>
              </w:rPr>
            </w:pPr>
            <w:r>
              <w:rPr>
                <w:rFonts w:ascii="Arial" w:cs="Arial" w:eastAsia="Arial" w:hAnsi="Arial"/>
                <w:sz w:val="19"/>
                <w:szCs w:val="19"/>
                <w:color w:val="auto"/>
              </w:rPr>
              <w:t>Accrued pension</w:t>
            </w:r>
            <w:r>
              <w:rPr>
                <w:rFonts w:ascii="Arial" w:cs="Arial" w:eastAsia="Arial" w:hAnsi="Arial"/>
                <w:sz w:val="33"/>
                <w:szCs w:val="33"/>
                <w:color w:val="auto"/>
                <w:vertAlign w:val="superscript"/>
              </w:rPr>
              <w:t>(1)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575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500</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20"/>
                <w:szCs w:val="20"/>
                <w:color w:val="auto"/>
              </w:rPr>
              <w:t>Security deposit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117</w:t>
            </w: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line="216" w:lineRule="exact"/>
              <w:rPr>
                <w:sz w:val="20"/>
                <w:szCs w:val="20"/>
                <w:color w:val="auto"/>
              </w:rPr>
            </w:pPr>
            <w:r>
              <w:rPr>
                <w:rFonts w:ascii="Arial" w:cs="Arial" w:eastAsia="Arial" w:hAnsi="Arial"/>
                <w:sz w:val="20"/>
                <w:szCs w:val="20"/>
                <w:color w:val="auto"/>
              </w:rPr>
              <w:t>Finance lease liabilities</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r>
      <w:tr>
        <w:trPr>
          <w:trHeight w:val="236"/>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220"/>
              <w:spacing w:after="0" w:line="216" w:lineRule="exact"/>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06"/>
        </w:trPr>
        <w:tc>
          <w:tcPr>
            <w:tcW w:w="20" w:type="dxa"/>
            <w:vAlign w:val="bottom"/>
          </w:tcPr>
          <w:p>
            <w:pPr>
              <w:spacing w:after="0"/>
              <w:rPr>
                <w:sz w:val="17"/>
                <w:szCs w:val="17"/>
                <w:color w:val="auto"/>
              </w:rPr>
            </w:pPr>
          </w:p>
        </w:tc>
        <w:tc>
          <w:tcPr>
            <w:tcW w:w="694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20"/>
                <w:szCs w:val="20"/>
                <w:b w:val="1"/>
                <w:bCs w:val="1"/>
                <w:color w:val="auto"/>
              </w:rPr>
              <w:t>Other current liabilities</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774</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6,593</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Other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6940" w:type="dxa"/>
            <w:vAlign w:val="bottom"/>
            <w:gridSpan w:val="2"/>
          </w:tcPr>
          <w:p>
            <w:pPr>
              <w:ind w:left="220"/>
              <w:spacing w:after="0" w:line="291" w:lineRule="exact"/>
              <w:rPr>
                <w:sz w:val="20"/>
                <w:szCs w:val="20"/>
                <w:color w:val="auto"/>
              </w:rPr>
            </w:pPr>
            <w:r>
              <w:rPr>
                <w:rFonts w:ascii="Arial" w:cs="Arial" w:eastAsia="Arial" w:hAnsi="Arial"/>
                <w:sz w:val="19"/>
                <w:szCs w:val="19"/>
                <w:color w:val="auto"/>
              </w:rPr>
              <w:t>Accrued pension</w:t>
            </w:r>
            <w:r>
              <w:rPr>
                <w:rFonts w:ascii="Arial" w:cs="Arial" w:eastAsia="Arial" w:hAnsi="Arial"/>
                <w:sz w:val="33"/>
                <w:szCs w:val="33"/>
                <w:color w:val="auto"/>
                <w:vertAlign w:val="superscript"/>
              </w:rPr>
              <w:t>(1)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1,747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2,312</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20"/>
                <w:szCs w:val="20"/>
                <w:color w:val="auto"/>
              </w:rPr>
              <w:t>Lease make-good provision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6,284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5,908</w:t>
            </w: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line="216" w:lineRule="exact"/>
              <w:rPr>
                <w:sz w:val="20"/>
                <w:szCs w:val="20"/>
                <w:color w:val="auto"/>
              </w:rPr>
            </w:pPr>
            <w:r>
              <w:rPr>
                <w:rFonts w:ascii="Arial" w:cs="Arial" w:eastAsia="Arial" w:hAnsi="Arial"/>
                <w:sz w:val="20"/>
                <w:szCs w:val="20"/>
                <w:color w:val="auto"/>
              </w:rPr>
              <w:t>Deferred rent liability</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3,439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3,786</w:t>
            </w:r>
          </w:p>
        </w:tc>
      </w:tr>
      <w:tr>
        <w:trPr>
          <w:trHeight w:val="236"/>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220"/>
              <w:spacing w:after="0" w:line="216" w:lineRule="exact"/>
              <w:rPr>
                <w:sz w:val="20"/>
                <w:szCs w:val="20"/>
                <w:color w:val="auto"/>
              </w:rPr>
            </w:pPr>
            <w:r>
              <w:rPr>
                <w:rFonts w:ascii="Arial" w:cs="Arial" w:eastAsia="Arial" w:hAnsi="Arial"/>
                <w:sz w:val="20"/>
                <w:szCs w:val="20"/>
                <w:color w:val="auto"/>
              </w:rPr>
              <w:t>Environmental reserve</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1,656</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1,656</w:t>
            </w:r>
          </w:p>
        </w:tc>
      </w:tr>
      <w:tr>
        <w:trPr>
          <w:trHeight w:val="206"/>
        </w:trPr>
        <w:tc>
          <w:tcPr>
            <w:tcW w:w="20" w:type="dxa"/>
            <w:vAlign w:val="bottom"/>
          </w:tcPr>
          <w:p>
            <w:pPr>
              <w:spacing w:after="0"/>
              <w:rPr>
                <w:sz w:val="17"/>
                <w:szCs w:val="17"/>
                <w:color w:val="auto"/>
              </w:rPr>
            </w:pPr>
          </w:p>
        </w:tc>
        <w:tc>
          <w:tcPr>
            <w:tcW w:w="6940" w:type="dxa"/>
            <w:vAlign w:val="bottom"/>
            <w:gridSpan w:val="2"/>
          </w:tcPr>
          <w:p>
            <w:pPr>
              <w:ind w:left="220"/>
              <w:spacing w:after="0" w:line="196" w:lineRule="exact"/>
              <w:rPr>
                <w:sz w:val="20"/>
                <w:szCs w:val="20"/>
                <w:color w:val="auto"/>
              </w:rPr>
            </w:pPr>
            <w:r>
              <w:rPr>
                <w:rFonts w:ascii="Arial" w:cs="Arial" w:eastAsia="Arial" w:hAnsi="Arial"/>
                <w:sz w:val="20"/>
                <w:szCs w:val="20"/>
                <w:b w:val="1"/>
                <w:bCs w:val="1"/>
                <w:color w:val="auto"/>
              </w:rPr>
              <w:t>Other non-current liabilities</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13,126</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13,662</w:t>
            </w:r>
          </w:p>
        </w:tc>
      </w:tr>
    </w:tbl>
    <w:p>
      <w:pPr>
        <w:spacing w:after="0" w:line="203" w:lineRule="exact"/>
        <w:rPr>
          <w:sz w:val="20"/>
          <w:szCs w:val="20"/>
          <w:color w:val="auto"/>
        </w:rPr>
      </w:pPr>
    </w:p>
    <w:p>
      <w:pPr>
        <w:ind w:left="720" w:hanging="366"/>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pension liability associated with the Supplemental Executive Retirement Plan explained below.</w:t>
      </w:r>
    </w:p>
    <w:p>
      <w:pPr>
        <w:ind w:left="720" w:right="1200" w:hanging="366"/>
        <w:spacing w:after="0" w:line="227"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Represents the lease liability of the option associated with the ground lease purchase of the Village East Cinema. See </w:t>
      </w:r>
      <w:r>
        <w:rPr>
          <w:rFonts w:ascii="Arial" w:cs="Arial" w:eastAsia="Arial" w:hAnsi="Arial"/>
          <w:sz w:val="16"/>
          <w:szCs w:val="16"/>
          <w:i w:val="1"/>
          <w:iCs w:val="1"/>
          <w:color w:val="auto"/>
        </w:rPr>
        <w:t xml:space="preserve">Note 21 – Related Parties </w:t>
      </w:r>
      <w:r>
        <w:rPr>
          <w:rFonts w:ascii="Arial" w:cs="Arial" w:eastAsia="Arial" w:hAnsi="Arial"/>
          <w:sz w:val="16"/>
          <w:szCs w:val="16"/>
          <w:color w:val="auto"/>
        </w:rPr>
        <w:t>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Pension Liability – Supplemental Executive Retirement Plan</w:t>
      </w:r>
    </w:p>
    <w:p>
      <w:pPr>
        <w:spacing w:after="0" w:line="212"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$ 7.5 million. The valuation of the liability is based on the present value of $10.2 million discounted at 4.25% over a 15-year term, resulting in a monthly payment of $57,000 payable to the estate of Mr. James J. Cotter, Sr. The discounted value of $2.7 million (which is the difference between the estimated payout of $ 10.2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As a result of the above, included in our other current and non-current liabilities are accrued pension costs of</w:t>
      </w:r>
    </w:p>
    <w:p>
      <w:pPr>
        <w:spacing w:after="0"/>
        <w:tabs>
          <w:tab w:leader="none" w:pos="3060" w:val="left"/>
          <w:tab w:leader="none" w:pos="63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million</w:t>
      </w:r>
      <w:r>
        <w:rPr>
          <w:sz w:val="20"/>
          <w:szCs w:val="20"/>
          <w:color w:val="auto"/>
        </w:rPr>
        <w:tab/>
      </w:r>
      <w:r>
        <w:rPr>
          <w:rFonts w:ascii="Arial" w:cs="Arial" w:eastAsia="Arial" w:hAnsi="Arial"/>
          <w:sz w:val="16"/>
          <w:szCs w:val="16"/>
          <w:color w:val="auto"/>
        </w:rPr>
        <w:t>and</w:t>
      </w:r>
    </w:p>
    <w:p>
      <w:pPr>
        <w:jc w:val="both"/>
        <w:ind w:right="60"/>
        <w:spacing w:after="0" w:line="239" w:lineRule="auto"/>
        <w:rPr>
          <w:sz w:val="20"/>
          <w:szCs w:val="20"/>
          <w:color w:val="auto"/>
        </w:rPr>
      </w:pPr>
      <w:r>
        <w:rPr>
          <w:rFonts w:ascii="Arial" w:cs="Arial" w:eastAsia="Arial" w:hAnsi="Arial"/>
          <w:sz w:val="19"/>
          <w:szCs w:val="19"/>
          <w:color w:val="auto"/>
        </w:rPr>
        <w:t>$2.8 million as of December 31, 2025 and 2024, respectively. The benefits of our pension plans are fully vested and therefore no service costs were recognized in 2025 and 2024. Our pension plans are unfunded.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11</w:t>
      </w:r>
    </w:p>
    <w:p>
      <w:pPr>
        <w:sectPr>
          <w:pgSz w:w="11900" w:h="16838" w:orient="portrait"/>
          <w:cols w:equalWidth="0" w:num="1">
            <w:col w:w="9400"/>
          </w:cols>
          <w:pgMar w:left="1260" w:top="1440" w:right="1246"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color w:val="auto"/>
        </w:rPr>
        <w:t>The change in the SERP pension benefit obligation and the funded status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7"/>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Benefit obligation at January 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2,812</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3,330</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Service cost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20"/>
                <w:szCs w:val="20"/>
                <w:color w:val="auto"/>
              </w:rPr>
              <w:t>Interest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165</w:t>
            </w:r>
          </w:p>
        </w:tc>
      </w:tr>
      <w:tr>
        <w:trPr>
          <w:trHeight w:val="216"/>
        </w:trPr>
        <w:tc>
          <w:tcPr>
            <w:tcW w:w="6960" w:type="dxa"/>
            <w:vAlign w:val="bottom"/>
            <w:gridSpan w:val="2"/>
          </w:tcPr>
          <w:p>
            <w:pPr>
              <w:ind w:left="240"/>
              <w:spacing w:after="0" w:line="216" w:lineRule="exact"/>
              <w:rPr>
                <w:sz w:val="20"/>
                <w:szCs w:val="20"/>
                <w:color w:val="auto"/>
              </w:rPr>
            </w:pPr>
            <w:r>
              <w:rPr>
                <w:rFonts w:ascii="Arial" w:cs="Arial" w:eastAsia="Arial" w:hAnsi="Arial"/>
                <w:sz w:val="20"/>
                <w:szCs w:val="20"/>
                <w:color w:val="auto"/>
              </w:rPr>
              <w:t>Payments made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(683)</w:t>
            </w: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(683)</w:t>
            </w:r>
          </w:p>
        </w:tc>
      </w:tr>
      <w:tr>
        <w:trPr>
          <w:trHeight w:val="236"/>
        </w:trPr>
        <w:tc>
          <w:tcPr>
            <w:tcW w:w="696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Benefit obligation at December 31</w:t>
            </w: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2,322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2,812</w:t>
            </w:r>
          </w:p>
        </w:tc>
      </w:tr>
      <w:tr>
        <w:trPr>
          <w:trHeight w:val="216"/>
        </w:trPr>
        <w:tc>
          <w:tcPr>
            <w:tcW w:w="696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rPr>
              <w:t>Unfunded status at December 31</w:t>
            </w:r>
          </w:p>
        </w:tc>
        <w:tc>
          <w:tcPr>
            <w:tcW w:w="240" w:type="dxa"/>
            <w:vAlign w:val="bottom"/>
            <w:tcBorders>
              <w:bottom w:val="single" w:sz="8" w:color="auto"/>
            </w:tcBorders>
          </w:tcPr>
          <w:p>
            <w:pPr>
              <w:jc w:val="right"/>
              <w:ind w:right="40"/>
              <w:spacing w:after="0" w:line="20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(2,322)</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00"/>
              <w:spacing w:after="0" w:line="20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b w:val="1"/>
                <w:bCs w:val="1"/>
                <w:color w:val="auto"/>
              </w:rPr>
              <w:t>(2,812)</w:t>
            </w:r>
          </w:p>
        </w:tc>
      </w:tr>
      <w:tr>
        <w:trPr>
          <w:trHeight w:val="433"/>
        </w:trPr>
        <w:tc>
          <w:tcPr>
            <w:tcW w:w="6960" w:type="dxa"/>
            <w:vAlign w:val="bottom"/>
            <w:gridSpan w:val="2"/>
          </w:tcPr>
          <w:p>
            <w:pPr>
              <w:spacing w:after="0"/>
              <w:rPr>
                <w:sz w:val="20"/>
                <w:szCs w:val="20"/>
                <w:color w:val="auto"/>
              </w:rPr>
            </w:pPr>
            <w:r>
              <w:rPr>
                <w:rFonts w:ascii="Arial" w:cs="Arial" w:eastAsia="Arial" w:hAnsi="Arial"/>
                <w:sz w:val="20"/>
                <w:szCs w:val="20"/>
                <w:color w:val="auto"/>
              </w:rPr>
              <w:t>Amounts recognized in the balance sheet consists of:</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2"/>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7"/>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633</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547</w:t>
            </w:r>
          </w:p>
        </w:tc>
      </w:tr>
      <w:tr>
        <w:trPr>
          <w:trHeight w:val="216"/>
        </w:trPr>
        <w:tc>
          <w:tcPr>
            <w:tcW w:w="69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20"/>
                <w:szCs w:val="20"/>
                <w:color w:val="auto"/>
              </w:rPr>
              <w:t>Other liabilities - Non current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1,689</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2,265</w:t>
            </w:r>
          </w:p>
        </w:tc>
      </w:tr>
      <w:tr>
        <w:trPr>
          <w:trHeight w:val="226"/>
        </w:trPr>
        <w:tc>
          <w:tcPr>
            <w:tcW w:w="69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pension liability</w:t>
            </w:r>
          </w:p>
        </w:tc>
        <w:tc>
          <w:tcPr>
            <w:tcW w:w="240" w:type="dxa"/>
            <w:vAlign w:val="bottom"/>
            <w:tcBorders>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2,322</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2,812</w:t>
            </w:r>
          </w:p>
        </w:tc>
      </w:tr>
    </w:tbl>
    <w:p>
      <w:pPr>
        <w:spacing w:after="0" w:line="213"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The components of the net periodic benefit cost and other amounts recognized in other comprehensive income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gridSpan w:val="3"/>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6"/>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3"/>
              <w:spacing w:after="0" w:line="173" w:lineRule="exact"/>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b w:val="1"/>
                <w:bCs w:val="1"/>
                <w:color w:val="auto"/>
              </w:rPr>
              <w:t>Net periodic benefit cost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Interest cost</w:t>
            </w: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line="216" w:lineRule="exact"/>
              <w:rPr>
                <w:sz w:val="20"/>
                <w:szCs w:val="20"/>
                <w:color w:val="auto"/>
              </w:rPr>
            </w:pPr>
            <w:r>
              <w:rPr>
                <w:rFonts w:ascii="Arial" w:cs="Arial" w:eastAsia="Arial" w:hAnsi="Arial"/>
                <w:sz w:val="20"/>
                <w:szCs w:val="20"/>
                <w:color w:val="auto"/>
              </w:rPr>
              <w:t>Amortization of prior service costs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Amortization of net actuarial gain</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06"/>
        </w:trPr>
        <w:tc>
          <w:tcPr>
            <w:tcW w:w="6960" w:type="dxa"/>
            <w:vAlign w:val="bottom"/>
            <w:gridSpan w:val="3"/>
          </w:tcPr>
          <w:p>
            <w:pPr>
              <w:spacing w:after="0" w:line="196" w:lineRule="exact"/>
              <w:rPr>
                <w:sz w:val="20"/>
                <w:szCs w:val="20"/>
                <w:color w:val="auto"/>
              </w:rPr>
            </w:pPr>
            <w:r>
              <w:rPr>
                <w:rFonts w:ascii="Arial" w:cs="Arial" w:eastAsia="Arial" w:hAnsi="Arial"/>
                <w:sz w:val="20"/>
                <w:szCs w:val="20"/>
                <w:color w:val="auto"/>
              </w:rPr>
              <w:t>Net periodic benefit cost</w:t>
            </w:r>
          </w:p>
        </w:tc>
        <w:tc>
          <w:tcPr>
            <w:tcW w:w="240" w:type="dxa"/>
            <w:vAlign w:val="bottom"/>
          </w:tcPr>
          <w:p>
            <w:pPr>
              <w:jc w:val="right"/>
              <w:ind w:right="40"/>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20"/>
                <w:szCs w:val="20"/>
                <w:color w:val="auto"/>
              </w:rPr>
              <w:t>344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ind w:right="200"/>
              <w:spacing w:after="0" w:line="196" w:lineRule="exact"/>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20"/>
                <w:szCs w:val="20"/>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Items recognized in other comprehensive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line="216" w:lineRule="exact"/>
              <w:rPr>
                <w:sz w:val="20"/>
                <w:szCs w:val="20"/>
                <w:color w:val="auto"/>
              </w:rPr>
            </w:pPr>
            <w:r>
              <w:rPr>
                <w:rFonts w:ascii="Arial" w:cs="Arial" w:eastAsia="Arial" w:hAnsi="Arial"/>
                <w:sz w:val="20"/>
                <w:szCs w:val="20"/>
                <w:color w:val="auto"/>
              </w:rPr>
              <w:t>Net loss</w:t>
            </w:r>
          </w:p>
        </w:tc>
        <w:tc>
          <w:tcPr>
            <w:tcW w:w="240" w:type="dxa"/>
            <w:vAlign w:val="bottom"/>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gridSpan w:val="2"/>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400" w:type="dxa"/>
            <w:vAlign w:val="bottom"/>
          </w:tcPr>
          <w:p>
            <w:pPr>
              <w:jc w:val="right"/>
              <w:ind w:right="200"/>
              <w:spacing w:after="0" w:line="216" w:lineRule="exact"/>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Amortization of net loss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(151)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gridSpan w:val="3"/>
          </w:tcPr>
          <w:p>
            <w:pPr>
              <w:spacing w:after="0" w:line="196" w:lineRule="exact"/>
              <w:rPr>
                <w:sz w:val="20"/>
                <w:szCs w:val="20"/>
                <w:color w:val="auto"/>
              </w:rPr>
            </w:pPr>
            <w:r>
              <w:rPr>
                <w:rFonts w:ascii="Arial" w:cs="Arial" w:eastAsia="Arial" w:hAnsi="Arial"/>
                <w:sz w:val="20"/>
                <w:szCs w:val="20"/>
                <w:color w:val="auto"/>
              </w:rPr>
              <w:t>Total recognized in other comprehensive income</w:t>
            </w:r>
          </w:p>
        </w:tc>
        <w:tc>
          <w:tcPr>
            <w:tcW w:w="240" w:type="dxa"/>
            <w:vAlign w:val="bottom"/>
          </w:tcPr>
          <w:p>
            <w:pPr>
              <w:jc w:val="right"/>
              <w:ind w:right="40"/>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20"/>
                <w:szCs w:val="20"/>
                <w:color w:val="auto"/>
              </w:rPr>
              <w:t>(151)</w:t>
            </w: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0" w:type="dxa"/>
            <w:vAlign w:val="bottom"/>
          </w:tcPr>
          <w:p>
            <w:pPr>
              <w:jc w:val="right"/>
              <w:ind w:right="200"/>
              <w:spacing w:after="0" w:line="196" w:lineRule="exact"/>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40" w:type="dxa"/>
            <w:vAlign w:val="bottom"/>
            <w:tcBorders>
              <w:top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w w:val="93"/>
              </w:rPr>
              <w:t>Total recognized in net periodic benefit cost and other comprehensive income</w:t>
            </w: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165</w:t>
            </w:r>
          </w:p>
        </w:tc>
        <w:tc>
          <w:tcPr>
            <w:tcW w:w="0" w:type="dxa"/>
            <w:vAlign w:val="bottom"/>
          </w:tcPr>
          <w:p>
            <w:pPr>
              <w:spacing w:after="0"/>
              <w:rPr>
                <w:sz w:val="1"/>
                <w:szCs w:val="1"/>
                <w:color w:val="auto"/>
              </w:rPr>
            </w:pPr>
          </w:p>
        </w:tc>
      </w:tr>
      <w:tr>
        <w:trPr>
          <w:trHeight w:val="433"/>
        </w:trPr>
        <w:tc>
          <w:tcPr>
            <w:tcW w:w="8180" w:type="dxa"/>
            <w:vAlign w:val="bottom"/>
            <w:gridSpan w:val="6"/>
          </w:tcPr>
          <w:p>
            <w:pPr>
              <w:spacing w:after="0"/>
              <w:rPr>
                <w:sz w:val="20"/>
                <w:szCs w:val="20"/>
                <w:color w:val="auto"/>
              </w:rPr>
            </w:pPr>
            <w:r>
              <w:rPr>
                <w:rFonts w:ascii="Arial" w:cs="Arial" w:eastAsia="Arial" w:hAnsi="Arial"/>
                <w:sz w:val="20"/>
                <w:szCs w:val="20"/>
                <w:color w:val="auto"/>
                <w:w w:val="98"/>
              </w:rPr>
              <w:t>Items not yet recognized as a component of net periodic pension cost consist of the following:</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960" w:type="dxa"/>
            <w:vAlign w:val="bottom"/>
            <w:gridSpan w:val="3"/>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6"/>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3"/>
              <w:spacing w:after="0" w:line="173" w:lineRule="exact"/>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80" w:type="dxa"/>
            <w:vAlign w:val="bottom"/>
            <w:tcBorders>
              <w:top w:val="single" w:sz="8" w:color="auto"/>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Unamortized actuarial loss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1,346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1,497</w:t>
            </w:r>
          </w:p>
        </w:tc>
        <w:tc>
          <w:tcPr>
            <w:tcW w:w="0" w:type="dxa"/>
            <w:vAlign w:val="bottom"/>
          </w:tcPr>
          <w:p>
            <w:pPr>
              <w:spacing w:after="0"/>
              <w:rPr>
                <w:sz w:val="1"/>
                <w:szCs w:val="1"/>
                <w:color w:val="auto"/>
              </w:rPr>
            </w:pPr>
          </w:p>
        </w:tc>
      </w:tr>
      <w:tr>
        <w:trPr>
          <w:trHeight w:val="206"/>
        </w:trPr>
        <w:tc>
          <w:tcPr>
            <w:tcW w:w="6960" w:type="dxa"/>
            <w:vAlign w:val="bottom"/>
            <w:gridSpan w:val="3"/>
          </w:tcPr>
          <w:p>
            <w:pPr>
              <w:spacing w:after="0" w:line="196" w:lineRule="exact"/>
              <w:rPr>
                <w:sz w:val="20"/>
                <w:szCs w:val="20"/>
                <w:color w:val="auto"/>
              </w:rPr>
            </w:pPr>
            <w:r>
              <w:rPr>
                <w:rFonts w:ascii="Arial" w:cs="Arial" w:eastAsia="Arial" w:hAnsi="Arial"/>
                <w:sz w:val="20"/>
                <w:szCs w:val="20"/>
                <w:b w:val="1"/>
                <w:bCs w:val="1"/>
                <w:color w:val="auto"/>
              </w:rPr>
              <w:t>Accumulated other comprehensive income</w:t>
            </w:r>
          </w:p>
        </w:tc>
        <w:tc>
          <w:tcPr>
            <w:tcW w:w="24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1,346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1,497</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estimated future benefit payments for the next five years and thereafter as of</w:t>
      </w:r>
    </w:p>
    <w:p>
      <w:pPr>
        <w:spacing w:after="0" w:line="229" w:lineRule="auto"/>
        <w:rPr>
          <w:sz w:val="20"/>
          <w:szCs w:val="20"/>
          <w:color w:val="auto"/>
        </w:rPr>
      </w:pPr>
      <w:r>
        <w:rPr>
          <w:rFonts w:ascii="Arial" w:cs="Arial" w:eastAsia="Arial" w:hAnsi="Arial"/>
          <w:sz w:val="20"/>
          <w:szCs w:val="20"/>
          <w:color w:val="auto"/>
        </w:rPr>
        <w:t>December 31,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7"/>
              <w:spacing w:after="0"/>
              <w:rPr>
                <w:sz w:val="20"/>
                <w:szCs w:val="20"/>
                <w:color w:val="auto"/>
              </w:rPr>
            </w:pPr>
            <w:r>
              <w:rPr>
                <w:rFonts w:ascii="Arial" w:cs="Arial" w:eastAsia="Arial" w:hAnsi="Arial"/>
                <w:sz w:val="16"/>
                <w:szCs w:val="16"/>
                <w:b w:val="1"/>
                <w:bCs w:val="1"/>
                <w:color w:val="auto"/>
                <w:w w:val="91"/>
              </w:rPr>
              <w:t>Estimated</w:t>
            </w:r>
          </w:p>
        </w:tc>
      </w:tr>
      <w:tr>
        <w:trPr>
          <w:trHeight w:val="173"/>
        </w:trPr>
        <w:tc>
          <w:tcPr>
            <w:tcW w:w="8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67"/>
              <w:spacing w:after="0" w:line="173" w:lineRule="exact"/>
              <w:rPr>
                <w:sz w:val="20"/>
                <w:szCs w:val="20"/>
                <w:color w:val="auto"/>
              </w:rPr>
            </w:pPr>
            <w:r>
              <w:rPr>
                <w:rFonts w:ascii="Arial" w:cs="Arial" w:eastAsia="Arial" w:hAnsi="Arial"/>
                <w:sz w:val="16"/>
                <w:szCs w:val="16"/>
                <w:b w:val="1"/>
                <w:bCs w:val="1"/>
                <w:color w:val="auto"/>
                <w:w w:val="96"/>
              </w:rPr>
              <w:t>Future</w:t>
            </w:r>
          </w:p>
        </w:tc>
      </w:tr>
      <w:tr>
        <w:trPr>
          <w:trHeight w:val="173"/>
        </w:trPr>
        <w:tc>
          <w:tcPr>
            <w:tcW w:w="8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7"/>
              <w:spacing w:after="0" w:line="173" w:lineRule="exact"/>
              <w:rPr>
                <w:sz w:val="20"/>
                <w:szCs w:val="20"/>
                <w:color w:val="auto"/>
              </w:rPr>
            </w:pPr>
            <w:r>
              <w:rPr>
                <w:rFonts w:ascii="Arial" w:cs="Arial" w:eastAsia="Arial" w:hAnsi="Arial"/>
                <w:sz w:val="16"/>
                <w:szCs w:val="16"/>
                <w:b w:val="1"/>
                <w:bCs w:val="1"/>
                <w:color w:val="auto"/>
                <w:w w:val="86"/>
              </w:rPr>
              <w:t>Pension</w:t>
            </w:r>
          </w:p>
        </w:tc>
      </w:tr>
      <w:tr>
        <w:trPr>
          <w:trHeight w:val="185"/>
        </w:trPr>
        <w:tc>
          <w:tcPr>
            <w:tcW w:w="81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7"/>
              <w:spacing w:after="0" w:line="175" w:lineRule="exact"/>
              <w:rPr>
                <w:sz w:val="20"/>
                <w:szCs w:val="20"/>
                <w:color w:val="auto"/>
              </w:rPr>
            </w:pPr>
            <w:r>
              <w:rPr>
                <w:rFonts w:ascii="Arial" w:cs="Arial" w:eastAsia="Arial" w:hAnsi="Arial"/>
                <w:sz w:val="16"/>
                <w:szCs w:val="16"/>
                <w:b w:val="1"/>
                <w:bCs w:val="1"/>
                <w:color w:val="auto"/>
                <w:w w:val="87"/>
              </w:rPr>
              <w:t>Payments</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633</w:t>
            </w:r>
          </w:p>
        </w:tc>
      </w:tr>
      <w:tr>
        <w:trPr>
          <w:trHeight w:val="216"/>
        </w:trPr>
        <w:tc>
          <w:tcPr>
            <w:tcW w:w="8100" w:type="dxa"/>
            <w:vAlign w:val="bottom"/>
          </w:tcPr>
          <w:p>
            <w:pPr>
              <w:spacing w:after="0" w:line="216" w:lineRule="exact"/>
              <w:rPr>
                <w:sz w:val="20"/>
                <w:szCs w:val="20"/>
                <w:color w:val="auto"/>
              </w:rPr>
            </w:pPr>
            <w:r>
              <w:rPr>
                <w:rFonts w:ascii="Arial" w:cs="Arial" w:eastAsia="Arial" w:hAnsi="Arial"/>
                <w:sz w:val="20"/>
                <w:szCs w:val="20"/>
                <w:color w:val="auto"/>
              </w:rPr>
              <w:t>2027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607</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638</w:t>
            </w:r>
          </w:p>
        </w:tc>
      </w:tr>
      <w:tr>
        <w:trPr>
          <w:trHeight w:val="216"/>
        </w:trPr>
        <w:tc>
          <w:tcPr>
            <w:tcW w:w="8100" w:type="dxa"/>
            <w:vAlign w:val="bottom"/>
          </w:tcPr>
          <w:p>
            <w:pPr>
              <w:spacing w:after="0" w:line="216" w:lineRule="exact"/>
              <w:rPr>
                <w:sz w:val="20"/>
                <w:szCs w:val="20"/>
                <w:color w:val="auto"/>
              </w:rPr>
            </w:pPr>
            <w:r>
              <w:rPr>
                <w:rFonts w:ascii="Arial" w:cs="Arial" w:eastAsia="Arial" w:hAnsi="Arial"/>
                <w:sz w:val="20"/>
                <w:szCs w:val="20"/>
                <w:color w:val="auto"/>
              </w:rPr>
              <w:t>2029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444</w:t>
            </w:r>
          </w:p>
        </w:tc>
      </w:tr>
      <w:tr>
        <w:trPr>
          <w:trHeight w:val="216"/>
        </w:trPr>
        <w:tc>
          <w:tcPr>
            <w:tcW w:w="81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810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Thereafter</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r>
      <w:tr>
        <w:trPr>
          <w:trHeight w:val="246"/>
        </w:trPr>
        <w:tc>
          <w:tcPr>
            <w:tcW w:w="81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Total pension payments</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2,322</w:t>
            </w:r>
          </w:p>
        </w:tc>
      </w:tr>
    </w:tbl>
    <w:p>
      <w:pPr>
        <w:spacing w:after="0" w:line="200" w:lineRule="exact"/>
        <w:rPr>
          <w:sz w:val="20"/>
          <w:szCs w:val="20"/>
          <w:color w:val="auto"/>
        </w:rPr>
      </w:pP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11</w:t>
      </w:r>
    </w:p>
    <w:p>
      <w:pPr>
        <w:sectPr>
          <w:pgSz w:w="11900" w:h="16838" w:orient="portrait"/>
          <w:cols w:equalWidth="0" w:num="1">
            <w:col w:w="9400"/>
          </w:cols>
          <w:pgMar w:left="1260" w:top="1337" w:right="1246" w:bottom="0" w:gutter="0" w:footer="0" w:header="0"/>
          <w:type w:val="continuous"/>
        </w:sectPr>
      </w:pPr>
    </w:p>
    <w:bookmarkStart w:id="131" w:name="page132"/>
    <w:bookmarkEnd w:id="131"/>
    <w:p>
      <w:pPr>
        <w:jc w:val="center"/>
        <w:ind w:right="6"/>
        <w:spacing w:after="0"/>
        <w:rPr>
          <w:sz w:val="20"/>
          <w:szCs w:val="20"/>
          <w:color w:val="auto"/>
        </w:rPr>
      </w:pPr>
      <w:r>
        <w:rPr>
          <w:rFonts w:ascii="Arial" w:cs="Arial" w:eastAsia="Arial" w:hAnsi="Arial"/>
          <w:sz w:val="17"/>
          <w:szCs w:val="17"/>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12</w:t>
      </w:r>
    </w:p>
    <w:p>
      <w:pPr>
        <w:sectPr>
          <w:pgSz w:w="11900" w:h="16838" w:orient="portrait"/>
          <w:cols w:equalWidth="0" w:num="1">
            <w:col w:w="9026"/>
          </w:cols>
          <w:pgMar w:left="1440" w:top="1251" w:right="144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i w:val="1"/>
          <w:iCs w:val="1"/>
          <w:color w:val="auto"/>
        </w:rPr>
        <w:t>Lease Make-Good Provision</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214"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A reconciliation of the beginning and ending carrying amounts of the lease make-good provision is presented in the following table: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As of and for</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of and for</w:t>
            </w:r>
          </w:p>
        </w:tc>
      </w:tr>
      <w:tr>
        <w:trPr>
          <w:trHeight w:val="173"/>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160"/>
              <w:spacing w:after="0" w:line="173" w:lineRule="exact"/>
              <w:rPr>
                <w:sz w:val="20"/>
                <w:szCs w:val="20"/>
                <w:color w:val="auto"/>
              </w:rPr>
            </w:pPr>
            <w:r>
              <w:rPr>
                <w:rFonts w:ascii="Arial" w:cs="Arial" w:eastAsia="Arial" w:hAnsi="Arial"/>
                <w:sz w:val="16"/>
                <w:szCs w:val="16"/>
                <w:b w:val="1"/>
                <w:bCs w:val="1"/>
                <w:color w:val="auto"/>
                <w:w w:val="88"/>
              </w:rPr>
              <w:t>the year ended</w:t>
            </w:r>
          </w:p>
        </w:tc>
        <w:tc>
          <w:tcPr>
            <w:tcW w:w="1160" w:type="dxa"/>
            <w:vAlign w:val="bottom"/>
            <w:gridSpan w:val="3"/>
          </w:tcPr>
          <w:p>
            <w:pPr>
              <w:jc w:val="center"/>
              <w:spacing w:after="0" w:line="173" w:lineRule="exact"/>
              <w:rPr>
                <w:sz w:val="20"/>
                <w:szCs w:val="20"/>
                <w:color w:val="auto"/>
              </w:rPr>
            </w:pPr>
            <w:r>
              <w:rPr>
                <w:rFonts w:ascii="Arial" w:cs="Arial" w:eastAsia="Arial" w:hAnsi="Arial"/>
                <w:sz w:val="16"/>
                <w:szCs w:val="16"/>
                <w:b w:val="1"/>
                <w:bCs w:val="1"/>
                <w:color w:val="auto"/>
                <w:w w:val="88"/>
              </w:rPr>
              <w:t>the year ended</w:t>
            </w:r>
          </w:p>
        </w:tc>
      </w:tr>
      <w:tr>
        <w:trPr>
          <w:trHeight w:val="173"/>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73" w:lineRule="exact"/>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5"/>
                <w:szCs w:val="15"/>
                <w:color w:val="auto"/>
              </w:rPr>
            </w:pPr>
          </w:p>
        </w:tc>
        <w:tc>
          <w:tcPr>
            <w:tcW w:w="10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88"/>
              </w:rPr>
              <w:t>December 31,</w:t>
            </w:r>
          </w:p>
        </w:tc>
      </w:tr>
      <w:tr>
        <w:trPr>
          <w:trHeight w:val="185"/>
        </w:trPr>
        <w:tc>
          <w:tcPr>
            <w:tcW w:w="696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6"/>
                <w:szCs w:val="16"/>
                <w:color w:val="auto"/>
              </w:rPr>
            </w:pPr>
          </w:p>
        </w:tc>
        <w:tc>
          <w:tcPr>
            <w:tcW w:w="1040" w:type="dxa"/>
            <w:vAlign w:val="bottom"/>
          </w:tcPr>
          <w:p>
            <w:pPr>
              <w:jc w:val="center"/>
              <w:ind w:right="26"/>
              <w:spacing w:after="0" w:line="175" w:lineRule="exact"/>
              <w:rPr>
                <w:sz w:val="20"/>
                <w:szCs w:val="20"/>
                <w:color w:val="auto"/>
              </w:rPr>
            </w:pPr>
            <w:r>
              <w:rPr>
                <w:rFonts w:ascii="Arial" w:cs="Arial" w:eastAsia="Arial" w:hAnsi="Arial"/>
                <w:sz w:val="16"/>
                <w:szCs w:val="16"/>
                <w:b w:val="1"/>
                <w:bCs w:val="1"/>
                <w:color w:val="auto"/>
                <w:w w:val="89"/>
              </w:rPr>
              <w:t>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Lease make-good provision, at January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5,908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6,050</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Liabilities incurred during the year</w:t>
            </w:r>
          </w:p>
        </w:tc>
        <w:tc>
          <w:tcPr>
            <w:tcW w:w="1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20"/>
                <w:szCs w:val="20"/>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16"/>
        </w:trPr>
        <w:tc>
          <w:tcPr>
            <w:tcW w:w="69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Liabilities settled during the year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(213)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Liabilities remeasured during the year</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69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Accretion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266</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Effect of changes in foreign currency</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(396)</w:t>
            </w:r>
          </w:p>
        </w:tc>
      </w:tr>
      <w:tr>
        <w:trPr>
          <w:trHeight w:val="226"/>
        </w:trPr>
        <w:tc>
          <w:tcPr>
            <w:tcW w:w="696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Lease make-good provision, at December 31</w:t>
            </w:r>
          </w:p>
        </w:tc>
        <w:tc>
          <w:tcPr>
            <w:tcW w:w="1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6,284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5,908</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15 – COMMITMENTS AND CONTINGENCIES</w:t>
      </w:r>
    </w:p>
    <w:p>
      <w:pPr>
        <w:spacing w:after="0" w:line="21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 Matters</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We are currently involved in certain legal proceedings and, as required, have accrued estimates of probable and estimable losses for the resolution of these claims, including legal costs.</w:t>
      </w:r>
    </w:p>
    <w:p>
      <w:pPr>
        <w:spacing w:after="0" w:line="97" w:lineRule="exact"/>
        <w:rPr>
          <w:sz w:val="20"/>
          <w:szCs w:val="20"/>
          <w:color w:val="auto"/>
        </w:rPr>
      </w:pPr>
    </w:p>
    <w:p>
      <w:pPr>
        <w:ind w:left="720" w:hanging="366"/>
        <w:spacing w:after="0"/>
        <w:tabs>
          <w:tab w:leader="none" w:pos="720" w:val="left"/>
        </w:tabs>
        <w:numPr>
          <w:ilvl w:val="0"/>
          <w:numId w:val="57"/>
        </w:numPr>
        <w:rPr>
          <w:rFonts w:ascii="Wingdings" w:cs="Wingdings" w:eastAsia="Wingdings" w:hAnsi="Wingdings"/>
          <w:sz w:val="14"/>
          <w:szCs w:val="14"/>
          <w:color w:val="auto"/>
        </w:rPr>
      </w:pPr>
      <w:r>
        <w:rPr>
          <w:rFonts w:ascii="Arial" w:cs="Arial" w:eastAsia="Arial" w:hAnsi="Arial"/>
          <w:sz w:val="18"/>
          <w:szCs w:val="18"/>
          <w:color w:val="auto"/>
        </w:rPr>
        <w:t xml:space="preserve">Where we are the </w:t>
      </w:r>
      <w:r>
        <w:rPr>
          <w:rFonts w:ascii="Arial" w:cs="Arial" w:eastAsia="Arial" w:hAnsi="Arial"/>
          <w:sz w:val="18"/>
          <w:szCs w:val="18"/>
          <w:i w:val="1"/>
          <w:iCs w:val="1"/>
          <w:u w:val="single" w:color="auto"/>
          <w:color w:val="auto"/>
        </w:rPr>
        <w:t>plaintiffs</w:t>
      </w:r>
      <w:r>
        <w:rPr>
          <w:rFonts w:ascii="Arial" w:cs="Arial" w:eastAsia="Arial" w:hAnsi="Arial"/>
          <w:sz w:val="18"/>
          <w:szCs w:val="18"/>
          <w:color w:val="auto"/>
        </w:rPr>
        <w:t>, we accrue legal fees as incurred on an on-going basis and make no provision</w:t>
      </w:r>
    </w:p>
    <w:p>
      <w:pPr>
        <w:spacing w:after="0" w:line="38" w:lineRule="exact"/>
        <w:rPr>
          <w:rFonts w:ascii="Wingdings" w:cs="Wingdings" w:eastAsia="Wingdings" w:hAnsi="Wingdings"/>
          <w:sz w:val="14"/>
          <w:szCs w:val="14"/>
          <w:color w:val="auto"/>
        </w:rPr>
      </w:pPr>
    </w:p>
    <w:p>
      <w:pPr>
        <w:jc w:val="both"/>
        <w:ind w:left="720" w:right="60"/>
        <w:spacing w:after="0" w:line="243" w:lineRule="auto"/>
        <w:rPr>
          <w:rFonts w:ascii="Wingdings" w:cs="Wingdings" w:eastAsia="Wingdings" w:hAnsi="Wingdings"/>
          <w:sz w:val="14"/>
          <w:szCs w:val="14"/>
          <w:color w:val="auto"/>
        </w:rPr>
      </w:pPr>
      <w:r>
        <w:rPr>
          <w:rFonts w:ascii="Arial" w:cs="Arial" w:eastAsia="Arial" w:hAnsi="Arial"/>
          <w:sz w:val="20"/>
          <w:szCs w:val="20"/>
          <w:color w:val="auto"/>
        </w:rPr>
        <w:t>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05" w:lineRule="exact"/>
        <w:rPr>
          <w:sz w:val="20"/>
          <w:szCs w:val="20"/>
          <w:color w:val="auto"/>
        </w:rPr>
      </w:pPr>
    </w:p>
    <w:p>
      <w:pPr>
        <w:ind w:left="360"/>
        <w:spacing w:after="0"/>
        <w:tabs>
          <w:tab w:leader="none" w:pos="700" w:val="left"/>
          <w:tab w:leader="none" w:pos="3080" w:val="left"/>
          <w:tab w:leader="none" w:pos="5180" w:val="left"/>
          <w:tab w:leader="none" w:pos="7280" w:val="left"/>
        </w:tabs>
        <w:rPr>
          <w:sz w:val="20"/>
          <w:szCs w:val="20"/>
          <w:color w:val="auto"/>
        </w:rPr>
      </w:pPr>
      <w:r>
        <w:rPr>
          <w:rFonts w:ascii="Wingdings" w:cs="Wingdings" w:eastAsia="Wingdings" w:hAnsi="Wingdings"/>
          <w:sz w:val="16"/>
          <w:szCs w:val="16"/>
          <w:color w:val="auto"/>
        </w:rPr>
        <w:t></w:t>
      </w:r>
      <w:r>
        <w:rPr>
          <w:sz w:val="20"/>
          <w:szCs w:val="20"/>
          <w:color w:val="auto"/>
        </w:rPr>
        <w:tab/>
      </w:r>
      <w:r>
        <w:rPr>
          <w:rFonts w:ascii="Arial" w:cs="Arial" w:eastAsia="Arial" w:hAnsi="Arial"/>
          <w:sz w:val="20"/>
          <w:szCs w:val="20"/>
          <w:color w:val="auto"/>
        </w:rPr>
        <w:t>Where</w:t>
      </w:r>
      <w:r>
        <w:rPr>
          <w:sz w:val="20"/>
          <w:szCs w:val="20"/>
          <w:color w:val="auto"/>
        </w:rPr>
        <w:tab/>
      </w:r>
      <w:r>
        <w:rPr>
          <w:rFonts w:ascii="Arial" w:cs="Arial" w:eastAsia="Arial" w:hAnsi="Arial"/>
          <w:sz w:val="20"/>
          <w:szCs w:val="20"/>
          <w:color w:val="auto"/>
        </w:rPr>
        <w:t>we</w:t>
      </w:r>
      <w:r>
        <w:rPr>
          <w:sz w:val="20"/>
          <w:szCs w:val="20"/>
          <w:color w:val="auto"/>
        </w:rPr>
        <w:tab/>
      </w:r>
      <w:r>
        <w:rPr>
          <w:rFonts w:ascii="Arial" w:cs="Arial" w:eastAsia="Arial" w:hAnsi="Arial"/>
          <w:sz w:val="20"/>
          <w:szCs w:val="20"/>
          <w:color w:val="auto"/>
        </w:rPr>
        <w:t>are</w:t>
      </w:r>
      <w:r>
        <w:rPr>
          <w:sz w:val="20"/>
          <w:szCs w:val="20"/>
          <w:color w:val="auto"/>
        </w:rPr>
        <w:tab/>
      </w:r>
      <w:r>
        <w:rPr>
          <w:rFonts w:ascii="Arial" w:cs="Arial" w:eastAsia="Arial" w:hAnsi="Arial"/>
          <w:sz w:val="17"/>
          <w:szCs w:val="17"/>
          <w:color w:val="auto"/>
        </w:rPr>
        <w:t>the</w:t>
      </w:r>
    </w:p>
    <w:p>
      <w:pPr>
        <w:spacing w:after="0" w:line="25" w:lineRule="exact"/>
        <w:rPr>
          <w:sz w:val="20"/>
          <w:szCs w:val="20"/>
          <w:color w:val="auto"/>
        </w:rPr>
      </w:pPr>
    </w:p>
    <w:p>
      <w:pPr>
        <w:jc w:val="both"/>
        <w:ind w:left="720" w:right="40"/>
        <w:spacing w:after="0" w:line="275" w:lineRule="auto"/>
        <w:rPr>
          <w:sz w:val="20"/>
          <w:szCs w:val="20"/>
          <w:color w:val="auto"/>
        </w:rPr>
      </w:pPr>
      <w:r>
        <w:rPr>
          <w:rFonts w:ascii="Arial" w:cs="Arial" w:eastAsia="Arial" w:hAnsi="Arial"/>
          <w:sz w:val="18"/>
          <w:szCs w:val="18"/>
          <w:i w:val="1"/>
          <w:iCs w:val="1"/>
          <w:u w:val="single" w:color="auto"/>
          <w:color w:val="auto"/>
        </w:rPr>
        <w:t>defendants</w:t>
      </w:r>
      <w:r>
        <w:rPr>
          <w:rFonts w:ascii="Arial" w:cs="Arial" w:eastAsia="Arial" w:hAnsi="Arial"/>
          <w:sz w:val="18"/>
          <w:szCs w:val="18"/>
          <w:color w:val="auto"/>
        </w:rPr>
        <w:t>, we accrue for probable damages that insurance may not cover as they become known and can</w:t>
      </w:r>
      <w:r>
        <w:rPr>
          <w:rFonts w:ascii="Arial" w:cs="Arial" w:eastAsia="Arial" w:hAnsi="Arial"/>
          <w:sz w:val="18"/>
          <w:szCs w:val="18"/>
          <w:i w:val="1"/>
          <w:iCs w:val="1"/>
          <w:color w:val="auto"/>
        </w:rPr>
        <w:t xml:space="preserve"> </w:t>
      </w:r>
      <w:r>
        <w:rPr>
          <w:rFonts w:ascii="Arial" w:cs="Arial" w:eastAsia="Arial" w:hAnsi="Arial"/>
          <w:sz w:val="18"/>
          <w:szCs w:val="18"/>
          <w:color w:val="auto"/>
        </w:rPr>
        <w:t>be reasonably estimated, as permitted under ASC 450-20 Loss Contingencies.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Environmental and Asbestos Claims on Reading Legacy Operations</w:t>
      </w:r>
    </w:p>
    <w:p>
      <w:pPr>
        <w:spacing w:after="0" w:line="212"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12</w:t>
      </w:r>
    </w:p>
    <w:p>
      <w:pPr>
        <w:sectPr>
          <w:pgSz w:w="11900" w:h="16838" w:orient="portrait"/>
          <w:cols w:equalWidth="0" w:num="1">
            <w:col w:w="9400"/>
          </w:cols>
          <w:pgMar w:left="1260" w:top="1337" w:right="1246" w:bottom="0" w:gutter="0" w:footer="0" w:header="0"/>
          <w:type w:val="continuous"/>
        </w:sectPr>
      </w:pPr>
    </w:p>
    <w:bookmarkStart w:id="133" w:name="page134"/>
    <w:bookmarkEnd w:id="133"/>
    <w:p>
      <w:pPr>
        <w:jc w:val="both"/>
        <w:spacing w:after="0" w:line="237" w:lineRule="auto"/>
        <w:rPr>
          <w:sz w:val="20"/>
          <w:szCs w:val="20"/>
          <w:color w:val="auto"/>
        </w:rPr>
      </w:pPr>
      <w:r>
        <w:rPr>
          <w:rFonts w:ascii="Arial" w:cs="Arial" w:eastAsia="Arial" w:hAnsi="Arial"/>
          <w:sz w:val="19"/>
          <w:szCs w:val="19"/>
          <w:color w:val="auto"/>
        </w:rPr>
        <w:t>From time to time, there are claims brought against us relating to the exposure of former employees to asbestos and/ 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jc w:val="center"/>
        <w:spacing w:after="0" w:line="231" w:lineRule="auto"/>
        <w:rPr>
          <w:sz w:val="20"/>
          <w:szCs w:val="20"/>
          <w:color w:val="auto"/>
        </w:rPr>
      </w:pPr>
      <w:r>
        <w:rPr>
          <w:rFonts w:ascii="Arial" w:cs="Arial" w:eastAsia="Arial" w:hAnsi="Arial"/>
          <w:sz w:val="20"/>
          <w:szCs w:val="20"/>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12</w:t>
      </w:r>
    </w:p>
    <w:p>
      <w:pPr>
        <w:sectPr>
          <w:pgSz w:w="11900" w:h="16838" w:orient="portrait"/>
          <w:cols w:equalWidth="0" w:num="1">
            <w:col w:w="9380"/>
          </w:cols>
          <w:pgMar w:left="1260" w:top="1131" w:right="1266" w:bottom="0" w:gutter="0" w:footer="0" w:header="0"/>
          <w:type w:val="continuous"/>
        </w:sectPr>
      </w:pPr>
    </w:p>
    <w:bookmarkStart w:id="134" w:name="page135"/>
    <w:bookmarkEnd w:id="134"/>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Certain Civil Litigation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Putative Class Action Litigation</w:t>
      </w:r>
    </w:p>
    <w:p>
      <w:pPr>
        <w:ind w:right="60"/>
        <w:spacing w:after="0" w:line="252" w:lineRule="auto"/>
        <w:rPr>
          <w:sz w:val="20"/>
          <w:szCs w:val="20"/>
          <w:color w:val="auto"/>
        </w:rPr>
      </w:pPr>
      <w:r>
        <w:rPr>
          <w:rFonts w:ascii="Arial" w:cs="Arial" w:eastAsia="Arial" w:hAnsi="Arial"/>
          <w:sz w:val="18"/>
          <w:szCs w:val="18"/>
          <w:color w:val="auto"/>
        </w:rPr>
        <w:t xml:space="preserve">The Company is a defendant in two actions asserting putative class action claims under the Video Privacy Protection Act (the “VPPA”): Daniel Valentini and Dallace Butler v. Reading International, Inc (2:24-cv-00255-RFB-MDC (D. Nev.)) (“The Valentini Case”), and Berryman v. Reading International, Inc. (1:24-cv-00750-PAE (S.D.N.Y.)) (“The Berryman Case”). The plaintiffs in these cases allege that the Company is a video tape service provider and knowingly disclosed plaintiff’s movie purchase and video-viewing habits to third parties in violation of the VPPA. Valentini and Butler also allege violation of a parallel state statute (California Code section 1799.3, the “California Statute”). Berryman also asserts claims under a similar statute (New York General Business Law Section 671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“NY Statute”) and under the NY Arts and Cultural Affairs Law Section 25.07(4) (the “NY AC Statute”) which regulates the disclosure requirements applicable to ticketing service charges and provides a right to recover “actual damages or fifty dollars per violation, whichever is greater.”</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color w:val="auto"/>
        </w:rPr>
        <w:t>Only limited case law exists as to claims under VPPA, a federal statute enacted in 1988. We have not identified any U.S. case in which an adverse VPPA judgment has been entered against a motion picture exhibition company on facts substantially similar to those alleged it this case. Further, except as discussed below, the precedent that does exist suggests that theatres with websites selling tickets to cinema exhibitions are not video tape service providers under the statute, even if they operate websites to sell tickets.</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The Company has filed motions to dismiss the Valentini and the Berryman claims under Federal rule of Procedure 12(b)(6) for failure to state a claim for which relief can be provided. The Valentini motion is on hold, pending the outcome of an appeal to the Ninth Circuit of a trial court decision which the Company believes, if affirmed, will likely result in the dismissal of the Valentini case. In the Berryman Case, the District Court initially denied the Company’s previously filed motion to dismiss at the pleadings stage on the basis that all allegations in the complaint, including allegations as to knowledge, were required to be assumed true.</w:t>
      </w:r>
    </w:p>
    <w:p>
      <w:pPr>
        <w:spacing w:after="0" w:line="212" w:lineRule="exact"/>
        <w:rPr>
          <w:sz w:val="20"/>
          <w:szCs w:val="20"/>
          <w:color w:val="auto"/>
        </w:rPr>
      </w:pPr>
    </w:p>
    <w:p>
      <w:pPr>
        <w:ind w:right="120"/>
        <w:spacing w:after="0" w:line="226" w:lineRule="auto"/>
        <w:rPr>
          <w:sz w:val="20"/>
          <w:szCs w:val="20"/>
          <w:color w:val="auto"/>
        </w:rPr>
      </w:pPr>
      <w:r>
        <w:rPr>
          <w:rFonts w:ascii="Arial" w:cs="Arial" w:eastAsia="Arial" w:hAnsi="Arial"/>
          <w:sz w:val="20"/>
          <w:szCs w:val="20"/>
          <w:color w:val="auto"/>
        </w:rPr>
        <w:t>Following subsequent developments in applicable case law, including decisions by the Second Circuit clarifying the scope of “personally identifiable information” under VPPA, the Company filed a renewed motion to dismiss the VPPA claims and NY Statute claims included in the Berryman Case. By Opinion and Order dated March 12, 2026, the District Court granted the Company’s motion and dismissed the VPPA and NY Statute claims in their entirety, without leave to amend. As a result of the Court’s ruling, no VPPA or NY Statute claims remain pending against the Company in the Berryman action.</w:t>
      </w:r>
    </w:p>
    <w:p>
      <w:pPr>
        <w:spacing w:after="0" w:line="213" w:lineRule="exact"/>
        <w:rPr>
          <w:sz w:val="20"/>
          <w:szCs w:val="20"/>
          <w:color w:val="auto"/>
        </w:rPr>
      </w:pPr>
    </w:p>
    <w:p>
      <w:pPr>
        <w:ind w:right="240"/>
        <w:spacing w:after="0" w:line="238" w:lineRule="auto"/>
        <w:rPr>
          <w:sz w:val="20"/>
          <w:szCs w:val="20"/>
          <w:color w:val="auto"/>
        </w:rPr>
      </w:pPr>
      <w:r>
        <w:rPr>
          <w:rFonts w:ascii="Arial" w:cs="Arial" w:eastAsia="Arial" w:hAnsi="Arial"/>
          <w:sz w:val="19"/>
          <w:szCs w:val="19"/>
          <w:color w:val="auto"/>
        </w:rPr>
        <w:t>Berryman also asserts claims under the NY AC Statute alleging deficiencies in the disclosure provided by our Company with respect to service charges to residents of New York who purchased tickets online to our New York cinemas. These claims were not the subject of the Company’s renewed motion to dismiss and remain pending. The Company believes that its disclosure satisfied the requirements of the NY AC Statute.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Company believes that it has valid defenses to the Valentini Case VPPA claims.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Wellington Construction Damage Litigation</w:t>
      </w:r>
    </w:p>
    <w:p>
      <w:pPr>
        <w:spacing w:after="0" w:line="237" w:lineRule="auto"/>
        <w:rPr>
          <w:sz w:val="20"/>
          <w:szCs w:val="20"/>
          <w:color w:val="auto"/>
        </w:rPr>
      </w:pPr>
      <w:r>
        <w:rPr>
          <w:rFonts w:ascii="Arial" w:cs="Arial" w:eastAsia="Arial" w:hAnsi="Arial"/>
          <w:sz w:val="19"/>
          <w:szCs w:val="19"/>
          <w:color w:val="auto"/>
        </w:rPr>
        <w:t>A subsidiary of the Company is the defendant in litigation in Wellington, New Zealand titled (Body Corporate 78693 v. Courtenay Car Park Limited &amp; Ors CIV-2021-485-612 &amp; CIV-2023-485-67) which involves various claims related to the dropping of a concrete beam onto adjacent property by a construction subcontractor working for the general contractor engaged by such subsidiary to do demolition work on our subsidiary’s property. Trial was completed on July 25, 2025, and in March 2026, the Court has issued its findings that, while our subsidiary would be liable to the plaintiff’s under a theory of strict liability due to the inherently dangerous nature of the construction activity, our subsidiary is entitled to full indemnity from its general contractor under both contractual indemnity and breach of contract theories of recovery. To the extent our general contractor should for any reason fail to make good on its indemnity obligations to us, our subsidiary’s liability is fully covered by insurance. As of the date of this disclosure, we have no present obligation to settle any amounts in relation to this matter, as the Court has assessed that obligation on other defendants.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Philadelphia Code Violation Litigation</w:t>
      </w:r>
    </w:p>
    <w:p>
      <w:pPr>
        <w:ind w:right="120"/>
        <w:spacing w:after="0" w:line="268" w:lineRule="auto"/>
        <w:rPr>
          <w:sz w:val="20"/>
          <w:szCs w:val="20"/>
          <w:color w:val="auto"/>
        </w:rPr>
      </w:pPr>
      <w:r>
        <w:rPr>
          <w:rFonts w:ascii="Arial" w:cs="Arial" w:eastAsia="Arial" w:hAnsi="Arial"/>
          <w:sz w:val="17"/>
          <w:szCs w:val="17"/>
          <w:color w:val="auto"/>
        </w:rPr>
        <w:t>During the third quarter of 2025, the Company was served with a petition styled City of Philadelphia-Plaintiff vs. Reading International, Inc. Control Number 25074006 filed in the Court of Common Pleas under the City’s Code Enforcement Case Program, which among other things, (i) alleges violations of certain sections of the Philadelphia Code on property allegedly owned or under the control of Reading International in Philadelphia; (ii) seeks an order imposing statutory fines and reinspection fees and allowing the Department of Licenses and Inspections to enter the premises identified as 1120 Callowhill Street, Philadelphia Pennsylvania (the “Premises”) to conduct an interior inspection; and (iii) seeks an order compelling the Defendants to correct all alleged violations. The Company believes that it has a variety of defenses to the claims, including defenses based on the fact, among other things, that some of the alleged violations were timely cured, that other allegations were timely appealed at the administrative level and that Reading International Inc. did not own the property in question (such property is owned by 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12</w:t>
      </w:r>
    </w:p>
    <w:p>
      <w:pPr>
        <w:sectPr>
          <w:pgSz w:w="11900" w:h="16838" w:orient="portrait"/>
          <w:cols w:equalWidth="0" w:num="1">
            <w:col w:w="9400"/>
          </w:cols>
          <w:pgMar w:left="1260" w:top="1440" w:right="1246" w:bottom="0" w:gutter="0" w:footer="0" w:header="0"/>
          <w:type w:val="continuous"/>
        </w:sectPr>
      </w:pPr>
    </w:p>
    <w:bookmarkStart w:id="135" w:name="page136"/>
    <w:bookmarkEnd w:id="135"/>
    <w:p>
      <w:pPr>
        <w:spacing w:after="0" w:line="225" w:lineRule="auto"/>
        <w:rPr>
          <w:sz w:val="20"/>
          <w:szCs w:val="20"/>
          <w:color w:val="auto"/>
        </w:rPr>
      </w:pPr>
      <w:r>
        <w:rPr>
          <w:rFonts w:ascii="Arial" w:cs="Arial" w:eastAsia="Arial" w:hAnsi="Arial"/>
          <w:sz w:val="20"/>
          <w:szCs w:val="20"/>
          <w:color w:val="auto"/>
        </w:rPr>
        <w:t>subsidiary). The Company is in discussions with the City and is initiating measures including demolition of a building on the property and taking other actions to correct alleged violations through which we believe a resolution of the dispute will be accomplished. As the case was only recently filed, discovery</w:t>
      </w:r>
    </w:p>
    <w:p>
      <w:pPr>
        <w:jc w:val="center"/>
        <w:ind w:right="-99"/>
        <w:spacing w:after="0" w:line="231" w:lineRule="auto"/>
        <w:rPr>
          <w:sz w:val="20"/>
          <w:szCs w:val="20"/>
          <w:color w:val="auto"/>
        </w:rPr>
      </w:pPr>
      <w:r>
        <w:rPr>
          <w:rFonts w:ascii="Arial" w:cs="Arial" w:eastAsia="Arial" w:hAnsi="Arial"/>
          <w:sz w:val="20"/>
          <w:szCs w:val="20"/>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31"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 / 12</w:t>
      </w:r>
    </w:p>
    <w:p>
      <w:pPr>
        <w:sectPr>
          <w:pgSz w:w="11900" w:h="16838" w:orient="portrait"/>
          <w:cols w:equalWidth="0" w:num="1">
            <w:col w:w="9280"/>
          </w:cols>
          <w:pgMar w:left="1260" w:top="1131" w:right="1366" w:bottom="0" w:gutter="0" w:footer="0" w:header="0"/>
          <w:type w:val="continuous"/>
        </w:sectPr>
      </w:pPr>
    </w:p>
    <w:bookmarkStart w:id="136" w:name="page137"/>
    <w:bookmarkEnd w:id="136"/>
    <w:p>
      <w:pPr>
        <w:ind w:right="480"/>
        <w:spacing w:after="0" w:line="265" w:lineRule="auto"/>
        <w:rPr>
          <w:sz w:val="20"/>
          <w:szCs w:val="20"/>
          <w:color w:val="auto"/>
        </w:rPr>
      </w:pPr>
      <w:r>
        <w:rPr>
          <w:rFonts w:ascii="Arial" w:cs="Arial" w:eastAsia="Arial" w:hAnsi="Arial"/>
          <w:sz w:val="18"/>
          <w:szCs w:val="18"/>
          <w:color w:val="auto"/>
        </w:rPr>
        <w:t>has not yet begun, but based on our conversations with the City and our review of the facts, we do not currently believe that there is a reasonable likelihood that the litigation will result in a material liability to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16 – NON-CONTROLLING INTERESTS</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As of December 31, 2025, the non-controlling interests in our consolidated subsidiaries are comprised of the following:</w:t>
      </w:r>
    </w:p>
    <w:p>
      <w:pPr>
        <w:spacing w:after="0" w:line="97" w:lineRule="exact"/>
        <w:rPr>
          <w:sz w:val="20"/>
          <w:szCs w:val="20"/>
          <w:color w:val="auto"/>
        </w:rPr>
      </w:pPr>
    </w:p>
    <w:p>
      <w:pPr>
        <w:ind w:left="720" w:right="140" w:hanging="366"/>
        <w:spacing w:after="0" w:line="245" w:lineRule="auto"/>
        <w:tabs>
          <w:tab w:leader="none" w:pos="720" w:val="left"/>
        </w:tabs>
        <w:numPr>
          <w:ilvl w:val="0"/>
          <w:numId w:val="58"/>
        </w:numPr>
        <w:rPr>
          <w:rFonts w:ascii="Wingdings" w:cs="Wingdings" w:eastAsia="Wingdings" w:hAnsi="Wingdings"/>
          <w:sz w:val="16"/>
          <w:szCs w:val="16"/>
          <w:color w:val="auto"/>
        </w:rPr>
      </w:pPr>
      <w:r>
        <w:rPr>
          <w:rFonts w:ascii="Arial" w:cs="Arial" w:eastAsia="Arial" w:hAnsi="Arial"/>
          <w:sz w:val="20"/>
          <w:szCs w:val="20"/>
          <w:color w:val="auto"/>
        </w:rPr>
        <w:t>Australia Country Cinemas Pty Ltd. – 25% non-controlling interest owned by Panorama Group International Pty.;</w:t>
      </w:r>
    </w:p>
    <w:p>
      <w:pPr>
        <w:spacing w:after="0" w:line="111" w:lineRule="exact"/>
        <w:rPr>
          <w:rFonts w:ascii="Wingdings" w:cs="Wingdings" w:eastAsia="Wingdings" w:hAnsi="Wingdings"/>
          <w:sz w:val="16"/>
          <w:szCs w:val="16"/>
          <w:color w:val="auto"/>
        </w:rPr>
      </w:pPr>
    </w:p>
    <w:p>
      <w:pPr>
        <w:ind w:left="720" w:hanging="366"/>
        <w:spacing w:after="0"/>
        <w:tabs>
          <w:tab w:leader="none" w:pos="720" w:val="left"/>
        </w:tabs>
        <w:numPr>
          <w:ilvl w:val="0"/>
          <w:numId w:val="58"/>
        </w:numPr>
        <w:rPr>
          <w:rFonts w:ascii="Wingdings" w:cs="Wingdings" w:eastAsia="Wingdings" w:hAnsi="Wingdings"/>
          <w:sz w:val="15"/>
          <w:szCs w:val="15"/>
          <w:color w:val="auto"/>
        </w:rPr>
      </w:pPr>
      <w:r>
        <w:rPr>
          <w:rFonts w:ascii="Arial" w:cs="Arial" w:eastAsia="Arial" w:hAnsi="Arial"/>
          <w:sz w:val="19"/>
          <w:szCs w:val="19"/>
          <w:color w:val="auto"/>
        </w:rPr>
        <w:t>Shadow View Land and Farming, LLC – 50% non-controlling membership interest owned by either the</w:t>
      </w:r>
    </w:p>
    <w:p>
      <w:pPr>
        <w:spacing w:after="0" w:line="26" w:lineRule="exact"/>
        <w:rPr>
          <w:rFonts w:ascii="Wingdings" w:cs="Wingdings" w:eastAsia="Wingdings" w:hAnsi="Wingdings"/>
          <w:sz w:val="15"/>
          <w:szCs w:val="15"/>
          <w:color w:val="auto"/>
        </w:rPr>
      </w:pPr>
    </w:p>
    <w:p>
      <w:pPr>
        <w:ind w:left="720" w:right="60"/>
        <w:spacing w:after="0" w:line="237" w:lineRule="auto"/>
        <w:rPr>
          <w:rFonts w:ascii="Wingdings" w:cs="Wingdings" w:eastAsia="Wingdings" w:hAnsi="Wingdings"/>
          <w:sz w:val="15"/>
          <w:szCs w:val="15"/>
          <w:color w:val="auto"/>
        </w:rPr>
      </w:pPr>
      <w:r>
        <w:rPr>
          <w:rFonts w:ascii="Arial" w:cs="Arial" w:eastAsia="Arial" w:hAnsi="Arial"/>
          <w:sz w:val="20"/>
          <w:szCs w:val="20"/>
          <w:color w:val="auto"/>
        </w:rPr>
        <w:t>estate of Mr. James J. Cotter, Sr. (the “Cotter Estate”) or the James J. Cotter Sr. Living Trust (the “Cotter Trust”); and,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non-controlling interest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96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5"/>
                <w:szCs w:val="15"/>
                <w:color w:val="auto"/>
              </w:rPr>
            </w:pPr>
          </w:p>
        </w:tc>
        <w:tc>
          <w:tcPr>
            <w:tcW w:w="900" w:type="dxa"/>
            <w:vAlign w:val="bottom"/>
          </w:tcPr>
          <w:p>
            <w:pPr>
              <w:jc w:val="right"/>
              <w:ind w:right="327"/>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24"/>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16"/>
        </w:trPr>
        <w:tc>
          <w:tcPr>
            <w:tcW w:w="6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Australian Country Cinemas, Pty Ltd</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7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128</w:t>
            </w: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20"/>
                <w:szCs w:val="20"/>
                <w:color w:val="auto"/>
              </w:rPr>
              <w:t>Shadow View Land and Farming, LLC</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r>
      <w:tr>
        <w:trPr>
          <w:trHeight w:val="236"/>
        </w:trPr>
        <w:tc>
          <w:tcPr>
            <w:tcW w:w="696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Sutton Hill Properties, LLC</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(552)</w:t>
            </w:r>
          </w:p>
        </w:tc>
      </w:tr>
      <w:tr>
        <w:trPr>
          <w:trHeight w:val="206"/>
        </w:trPr>
        <w:tc>
          <w:tcPr>
            <w:tcW w:w="69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20"/>
                <w:szCs w:val="20"/>
                <w:b w:val="1"/>
                <w:bCs w:val="1"/>
                <w:color w:val="auto"/>
              </w:rPr>
              <w:t>Non-controlling interests in consolidated subsidiaries</w:t>
            </w:r>
          </w:p>
        </w:tc>
        <w:tc>
          <w:tcPr>
            <w:tcW w:w="240" w:type="dxa"/>
            <w:vAlign w:val="bottom"/>
            <w:tcBorders>
              <w:top w:val="single" w:sz="8" w:color="auto"/>
              <w:bottom w:val="single" w:sz="8" w:color="auto"/>
            </w:tcBorders>
          </w:tcPr>
          <w:p>
            <w:pPr>
              <w:jc w:val="right"/>
              <w:ind w:right="40"/>
              <w:spacing w:after="0" w:line="19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141</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00"/>
              <w:spacing w:after="0" w:line="196" w:lineRule="exact"/>
              <w:rPr>
                <w:sz w:val="20"/>
                <w:szCs w:val="20"/>
                <w:color w:val="auto"/>
              </w:rPr>
            </w:pPr>
            <w:r>
              <w:rPr>
                <w:rFonts w:ascii="Arial" w:cs="Arial" w:eastAsia="Arial" w:hAnsi="Arial"/>
                <w:sz w:val="20"/>
                <w:szCs w:val="20"/>
                <w:b w:val="1"/>
                <w:bCs w:val="1"/>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(426)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income/(loss) attributable to non-controlling interests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Australian Country Cinemas, Pty Ltd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Shadow View Land and Farming, LLC</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Sutton Hill Properties, LLC</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20"/>
                <w:szCs w:val="20"/>
                <w:color w:val="auto"/>
              </w:rPr>
              <w:t>(658)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(564)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line="204" w:lineRule="exact"/>
              <w:rPr>
                <w:sz w:val="20"/>
                <w:szCs w:val="20"/>
                <w:color w:val="auto"/>
              </w:rPr>
            </w:pPr>
            <w:r>
              <w:rPr>
                <w:rFonts w:ascii="Arial" w:cs="Arial" w:eastAsia="Arial" w:hAnsi="Arial"/>
                <w:sz w:val="20"/>
                <w:szCs w:val="20"/>
                <w:b w:val="1"/>
                <w:bCs w:val="1"/>
                <w:color w:val="auto"/>
                <w:w w:val="96"/>
              </w:rPr>
              <w:t>Net income (loss) attributable to non-controlling interests in</w:t>
            </w: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20"/>
                <w:szCs w:val="20"/>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(512)</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(597)</w:t>
            </w:r>
          </w:p>
        </w:tc>
        <w:tc>
          <w:tcPr>
            <w:tcW w:w="140" w:type="dxa"/>
            <w:vAlign w:val="bottom"/>
          </w:tcPr>
          <w:p>
            <w:pPr>
              <w:spacing w:after="0"/>
              <w:rPr>
                <w:sz w:val="15"/>
                <w:szCs w:val="15"/>
                <w:color w:val="auto"/>
              </w:rPr>
            </w:pPr>
          </w:p>
        </w:tc>
        <w:tc>
          <w:tcPr>
            <w:tcW w:w="260" w:type="dxa"/>
            <w:vAlign w:val="bottom"/>
            <w:vMerge w:val="restart"/>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(512)</w:t>
            </w:r>
          </w:p>
        </w:tc>
        <w:tc>
          <w:tcPr>
            <w:tcW w:w="0" w:type="dxa"/>
            <w:vAlign w:val="bottom"/>
          </w:tcPr>
          <w:p>
            <w:pPr>
              <w:spacing w:after="0"/>
              <w:rPr>
                <w:sz w:val="1"/>
                <w:szCs w:val="1"/>
                <w:color w:val="auto"/>
              </w:rPr>
            </w:pPr>
          </w:p>
        </w:tc>
      </w:tr>
      <w:tr>
        <w:trPr>
          <w:trHeight w:val="204"/>
        </w:trPr>
        <w:tc>
          <w:tcPr>
            <w:tcW w:w="5520" w:type="dxa"/>
            <w:vAlign w:val="bottom"/>
          </w:tcPr>
          <w:p>
            <w:pPr>
              <w:spacing w:after="0" w:line="204" w:lineRule="exact"/>
              <w:rPr>
                <w:sz w:val="20"/>
                <w:szCs w:val="20"/>
                <w:color w:val="auto"/>
              </w:rPr>
            </w:pPr>
            <w:r>
              <w:rPr>
                <w:rFonts w:ascii="Arial" w:cs="Arial" w:eastAsia="Arial" w:hAnsi="Arial"/>
                <w:sz w:val="20"/>
                <w:szCs w:val="20"/>
                <w:b w:val="1"/>
                <w:bCs w:val="1"/>
                <w:color w:val="auto"/>
              </w:rPr>
              <w:t>consolidated subsidiaries</w:t>
            </w:r>
          </w:p>
        </w:tc>
        <w:tc>
          <w:tcPr>
            <w:tcW w:w="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Sutton Hill Properties, LLC</w:t>
      </w:r>
    </w:p>
    <w:p>
      <w:pPr>
        <w:ind w:right="640"/>
        <w:spacing w:after="0" w:line="227" w:lineRule="auto"/>
        <w:rPr>
          <w:sz w:val="20"/>
          <w:szCs w:val="20"/>
          <w:color w:val="auto"/>
        </w:rPr>
      </w:pPr>
      <w:r>
        <w:rPr>
          <w:rFonts w:ascii="Arial" w:cs="Arial" w:eastAsia="Arial" w:hAnsi="Arial"/>
          <w:sz w:val="20"/>
          <w:szCs w:val="20"/>
          <w:color w:val="auto"/>
        </w:rPr>
        <w:t xml:space="preserve">In December 2025, we acquired the 25% interest in Sutton Hill Properties that we did not already own via the acquisition of Sutton Hill Associates. See </w:t>
      </w:r>
      <w:r>
        <w:rPr>
          <w:rFonts w:ascii="Arial" w:cs="Arial" w:eastAsia="Arial" w:hAnsi="Arial"/>
          <w:sz w:val="20"/>
          <w:szCs w:val="20"/>
          <w:i w:val="1"/>
          <w:iCs w:val="1"/>
          <w:color w:val="auto"/>
        </w:rPr>
        <w:t>Note 21 – Related Parties.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Shadow View Land and Farming, LLC</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On March 5, 2021, Shadow View Land and Farming, LLC, sold its only asset, being certain land holdings in Coachella, California, for $11.0 million and is currently in the process of winding up and liquidating.</w:t>
      </w:r>
    </w:p>
    <w:p>
      <w:pPr>
        <w:spacing w:after="0" w:line="213" w:lineRule="exact"/>
        <w:rPr>
          <w:sz w:val="20"/>
          <w:szCs w:val="20"/>
          <w:color w:val="auto"/>
        </w:rPr>
      </w:pPr>
    </w:p>
    <w:p>
      <w:pPr>
        <w:ind w:right="1940"/>
        <w:spacing w:after="0" w:line="440" w:lineRule="auto"/>
        <w:rPr>
          <w:sz w:val="20"/>
          <w:szCs w:val="20"/>
          <w:color w:val="auto"/>
        </w:rPr>
      </w:pPr>
      <w:r>
        <w:rPr>
          <w:rFonts w:ascii="Arial" w:cs="Arial" w:eastAsia="Arial" w:hAnsi="Arial"/>
          <w:sz w:val="20"/>
          <w:szCs w:val="20"/>
          <w:b w:val="1"/>
          <w:bCs w:val="1"/>
          <w:u w:val="single" w:color="auto"/>
          <w:color w:val="auto"/>
        </w:rPr>
        <w:t xml:space="preserve">NOTE 17 – SHARE-BASED COMPENSATION AND SHARE REPURCHASE PLANS </w:t>
      </w:r>
      <w:r>
        <w:rPr>
          <w:rFonts w:ascii="Arial" w:cs="Arial" w:eastAsia="Arial" w:hAnsi="Arial"/>
          <w:sz w:val="20"/>
          <w:szCs w:val="20"/>
          <w:b w:val="1"/>
          <w:bCs w:val="1"/>
          <w:i w:val="1"/>
          <w:iCs w:val="1"/>
          <w:color w:val="auto"/>
        </w:rPr>
        <w:t>2020 Stock Incentive Plan</w:t>
      </w:r>
    </w:p>
    <w:p>
      <w:pPr>
        <w:spacing w:after="0" w:line="21"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On December 5, 2024, the Company’s stockholders, upon recommendation of the Company’s board of directors, approved the Second Amendment to the 2020 Stock Incentive Plan, increasing the number of Class A Common Stock reserved for issuance under the 2020 Plan by an additional 3,500,000 shares.</w:t>
      </w:r>
    </w:p>
    <w:p>
      <w:pPr>
        <w:spacing w:after="0" w:line="214"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Under the 2020 Plan, the Company may grant stock options and other share-based payment awards of our Class A Common Stock to eligible employees, directors and consultants. At December 31, 2025, there were 870,833 shares of Class A Common Stock available for issuance under the 2020 Plan.</w:t>
      </w:r>
    </w:p>
    <w:p>
      <w:pPr>
        <w:spacing w:after="0" w:line="214"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Stock options are granted at exercise prices equal to the grant-date market prices and typically expire on either the fifth or tenth anniversary of the grant date, although the Company’s Compensation and Stock Options Committee (the “Compensation Committee”) may set different vesting times.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or options granted to management. At the time the options are exercised or RSUs vest and are settled, at the discretion of management, we may issue treasury shares or make a new issuance of shares to the option or RSU holder.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12</w:t>
      </w:r>
    </w:p>
    <w:p>
      <w:pPr>
        <w:sectPr>
          <w:pgSz w:w="11900" w:h="16838" w:orient="portrait"/>
          <w:cols w:equalWidth="0" w:num="1">
            <w:col w:w="9400"/>
          </w:cols>
          <w:pgMar w:left="1260" w:top="1131" w:right="1246"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u w:val="single" w:color="auto"/>
          <w:color w:val="auto"/>
        </w:rPr>
        <w:t>Stock Options</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We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213" w:lineRule="exact"/>
        <w:rPr>
          <w:sz w:val="20"/>
          <w:szCs w:val="20"/>
          <w:color w:val="auto"/>
        </w:rPr>
      </w:pPr>
    </w:p>
    <w:p>
      <w:pPr>
        <w:jc w:val="both"/>
        <w:ind w:right="40"/>
        <w:spacing w:after="0" w:line="225" w:lineRule="auto"/>
        <w:rPr>
          <w:sz w:val="20"/>
          <w:szCs w:val="20"/>
          <w:color w:val="auto"/>
        </w:rPr>
      </w:pPr>
      <w:r>
        <w:rPr>
          <w:rFonts w:ascii="Arial" w:cs="Arial" w:eastAsia="Arial" w:hAnsi="Arial"/>
          <w:sz w:val="20"/>
          <w:szCs w:val="20"/>
          <w:color w:val="auto"/>
        </w:rPr>
        <w:t>Stock options to purchase 308,823 shares of Class A Common Stock were issued to the non-employee members of the Board of Directors upon their re-election to the Board in December 2025 for their services for their 2026 term. No other stock options were granted in 2025 to directors. On June 11, 2025, we issued options to purchase 2,087,885 shares of Class A Common Stock to our senior executives. These options have a two-year vesting and a five-</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year term and were granted in lieu of cash bonuses which would otherwise have been paid under our Company's Incentive Compensation Program. No other stock options were granted during 2025 to employees.</w:t>
      </w:r>
    </w:p>
    <w:p>
      <w:pPr>
        <w:spacing w:after="0" w:line="21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The weighted average assumptions used in the option-valuation model for option grants for the years 2025, 2024 and 2023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Stock option exercise price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1.92</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Risk-free interest rate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4.26%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4.12%</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Expected dividend yield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20"/>
                <w:szCs w:val="20"/>
                <w:color w:val="auto"/>
              </w:rPr>
              <w:t>Expected option life in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5.50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5.50</w:t>
            </w:r>
          </w:p>
        </w:tc>
      </w:tr>
      <w:tr>
        <w:trPr>
          <w:trHeight w:val="216"/>
        </w:trPr>
        <w:tc>
          <w:tcPr>
            <w:tcW w:w="55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Expected volatility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50.51%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55.26%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53.20%</w:t>
            </w:r>
          </w:p>
        </w:tc>
      </w:tr>
      <w:tr>
        <w:trPr>
          <w:trHeight w:val="220"/>
        </w:trPr>
        <w:tc>
          <w:tcPr>
            <w:tcW w:w="5520" w:type="dxa"/>
            <w:vAlign w:val="bottom"/>
          </w:tcPr>
          <w:p>
            <w:pPr>
              <w:spacing w:after="0" w:line="220" w:lineRule="exact"/>
              <w:rPr>
                <w:sz w:val="20"/>
                <w:szCs w:val="20"/>
                <w:color w:val="auto"/>
              </w:rPr>
            </w:pPr>
            <w:r>
              <w:rPr>
                <w:rFonts w:ascii="Arial" w:cs="Arial" w:eastAsia="Arial" w:hAnsi="Arial"/>
                <w:sz w:val="20"/>
                <w:szCs w:val="20"/>
                <w:color w:val="auto"/>
              </w:rPr>
              <w:t>Weighted average fair value</w:t>
            </w:r>
          </w:p>
        </w:tc>
        <w:tc>
          <w:tcPr>
            <w:tcW w:w="160" w:type="dxa"/>
            <w:vAlign w:val="bottom"/>
          </w:tcPr>
          <w:p>
            <w:pPr>
              <w:spacing w:after="0"/>
              <w:rPr>
                <w:sz w:val="19"/>
                <w:szCs w:val="19"/>
                <w:color w:val="auto"/>
              </w:rPr>
            </w:pPr>
          </w:p>
        </w:tc>
        <w:tc>
          <w:tcPr>
            <w:tcW w:w="240" w:type="dxa"/>
            <w:vAlign w:val="bottom"/>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auto"/>
              </w:rPr>
              <w:t>0.57</w:t>
            </w:r>
          </w:p>
        </w:tc>
        <w:tc>
          <w:tcPr>
            <w:tcW w:w="2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color w:val="auto"/>
              </w:rPr>
              <w:t>0.81</w:t>
            </w:r>
          </w:p>
        </w:tc>
        <w:tc>
          <w:tcPr>
            <w:tcW w:w="140" w:type="dxa"/>
            <w:vAlign w:val="bottom"/>
          </w:tcPr>
          <w:p>
            <w:pPr>
              <w:spacing w:after="0"/>
              <w:rPr>
                <w:sz w:val="19"/>
                <w:szCs w:val="19"/>
                <w:color w:val="auto"/>
              </w:rPr>
            </w:pPr>
          </w:p>
        </w:tc>
        <w:tc>
          <w:tcPr>
            <w:tcW w:w="260" w:type="dxa"/>
            <w:vAlign w:val="bottom"/>
          </w:tcPr>
          <w:p>
            <w:pPr>
              <w:jc w:val="right"/>
              <w:ind w:right="60"/>
              <w:spacing w:after="0" w:line="220" w:lineRule="exact"/>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auto"/>
              </w:rPr>
              <w:t>1.01</w:t>
            </w:r>
          </w:p>
        </w:tc>
      </w:tr>
    </w:tbl>
    <w:p>
      <w:pPr>
        <w:spacing w:after="0" w:line="209"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We recorded stock-based compensation expense of $961,000, $783,000, and $50,000 for 2025, 2024, and 2023, respectively. At December 31, 2025, the total unrecognized estimated compensation cost related to non-vested stock options was $1.0 million which is expected to be recognized over a weighted average vesting period of 8.64 years. No cash was received from option exercises in 2025, 2024 or 2023.</w:t>
      </w:r>
    </w:p>
    <w:p>
      <w:pPr>
        <w:spacing w:after="0" w:line="214"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The following is a summary of the status of RDI’s outstanding stock options for the three years ended December 31, 2025:</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rPr>
              <w:t>Outstanding Stock Options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140"/>
              <w:spacing w:after="0" w:line="171" w:lineRule="exact"/>
              <w:rPr>
                <w:sz w:val="20"/>
                <w:szCs w:val="20"/>
                <w:color w:val="auto"/>
              </w:rPr>
            </w:pPr>
            <w:r>
              <w:rPr>
                <w:rFonts w:ascii="Arial" w:cs="Arial" w:eastAsia="Arial" w:hAnsi="Arial"/>
                <w:sz w:val="16"/>
                <w:szCs w:val="16"/>
                <w:b w:val="1"/>
                <w:bCs w:val="1"/>
                <w:color w:val="auto"/>
                <w:w w:val="88"/>
              </w:rPr>
              <w:t>Weighted Average</w:t>
            </w:r>
          </w:p>
        </w:tc>
        <w:tc>
          <w:tcPr>
            <w:tcW w:w="120" w:type="dxa"/>
            <w:vAlign w:val="bottom"/>
          </w:tcPr>
          <w:p>
            <w:pPr>
              <w:spacing w:after="0"/>
              <w:rPr>
                <w:sz w:val="14"/>
                <w:szCs w:val="14"/>
                <w:color w:val="auto"/>
              </w:rPr>
            </w:pPr>
          </w:p>
        </w:tc>
        <w:tc>
          <w:tcPr>
            <w:tcW w:w="880" w:type="dxa"/>
            <w:vAlign w:val="bottom"/>
          </w:tcPr>
          <w:p>
            <w:pPr>
              <w:jc w:val="center"/>
              <w:ind w:right="47"/>
              <w:spacing w:after="0" w:line="171"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760" w:type="dxa"/>
            <w:vAlign w:val="bottom"/>
            <w:gridSpan w:val="3"/>
          </w:tcPr>
          <w:p>
            <w:pPr>
              <w:ind w:left="500"/>
              <w:spacing w:after="0" w:line="173" w:lineRule="exact"/>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spacing w:after="0" w:line="173" w:lineRule="exact"/>
              <w:rPr>
                <w:sz w:val="20"/>
                <w:szCs w:val="20"/>
                <w:color w:val="auto"/>
              </w:rPr>
            </w:pPr>
            <w:r>
              <w:rPr>
                <w:rFonts w:ascii="Arial" w:cs="Arial" w:eastAsia="Arial" w:hAnsi="Arial"/>
                <w:sz w:val="16"/>
                <w:szCs w:val="16"/>
                <w:b w:val="1"/>
                <w:bCs w:val="1"/>
                <w:color w:val="auto"/>
              </w:rPr>
              <w:t>Weighted Average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140"/>
              <w:spacing w:after="0" w:line="173" w:lineRule="exact"/>
              <w:rPr>
                <w:sz w:val="20"/>
                <w:szCs w:val="20"/>
                <w:color w:val="auto"/>
              </w:rPr>
            </w:pPr>
            <w:r>
              <w:rPr>
                <w:rFonts w:ascii="Arial" w:cs="Arial" w:eastAsia="Arial" w:hAnsi="Arial"/>
                <w:sz w:val="16"/>
                <w:szCs w:val="16"/>
                <w:b w:val="1"/>
                <w:bCs w:val="1"/>
                <w:color w:val="auto"/>
                <w:w w:val="88"/>
              </w:rPr>
              <w:t>Remaining Years of</w:t>
            </w:r>
          </w:p>
        </w:tc>
        <w:tc>
          <w:tcPr>
            <w:tcW w:w="120" w:type="dxa"/>
            <w:vAlign w:val="bottom"/>
          </w:tcPr>
          <w:p>
            <w:pPr>
              <w:spacing w:after="0"/>
              <w:rPr>
                <w:sz w:val="15"/>
                <w:szCs w:val="15"/>
                <w:color w:val="auto"/>
              </w:rPr>
            </w:pPr>
          </w:p>
        </w:tc>
        <w:tc>
          <w:tcPr>
            <w:tcW w:w="880" w:type="dxa"/>
            <w:vAlign w:val="bottom"/>
          </w:tcPr>
          <w:p>
            <w:pPr>
              <w:jc w:val="center"/>
              <w:ind w:right="27"/>
              <w:spacing w:after="0" w:line="173"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1760" w:type="dxa"/>
            <w:vAlign w:val="bottom"/>
            <w:gridSpan w:val="3"/>
          </w:tcPr>
          <w:p>
            <w:pPr>
              <w:ind w:left="600"/>
              <w:spacing w:after="0" w:line="175" w:lineRule="exact"/>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320"/>
              <w:spacing w:after="0" w:line="175" w:lineRule="exact"/>
              <w:rPr>
                <w:sz w:val="20"/>
                <w:szCs w:val="20"/>
                <w:color w:val="auto"/>
              </w:rPr>
            </w:pPr>
            <w:r>
              <w:rPr>
                <w:rFonts w:ascii="Arial" w:cs="Arial" w:eastAsia="Arial" w:hAnsi="Arial"/>
                <w:sz w:val="16"/>
                <w:szCs w:val="16"/>
                <w:b w:val="1"/>
                <w:bCs w:val="1"/>
                <w:color w:val="auto"/>
              </w:rPr>
              <w:t>Exercise Price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93"/>
              </w:rPr>
              <w:t>Contractual Life</w:t>
            </w:r>
          </w:p>
        </w:tc>
        <w:tc>
          <w:tcPr>
            <w:tcW w:w="120" w:type="dxa"/>
            <w:vAlign w:val="bottom"/>
          </w:tcPr>
          <w:p>
            <w:pPr>
              <w:spacing w:after="0"/>
              <w:rPr>
                <w:sz w:val="16"/>
                <w:szCs w:val="16"/>
                <w:color w:val="auto"/>
              </w:rPr>
            </w:pPr>
          </w:p>
        </w:tc>
        <w:tc>
          <w:tcPr>
            <w:tcW w:w="880" w:type="dxa"/>
            <w:vAlign w:val="bottom"/>
          </w:tcPr>
          <w:p>
            <w:pPr>
              <w:jc w:val="center"/>
              <w:ind w:right="47"/>
              <w:spacing w:after="0" w:line="175" w:lineRule="exact"/>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940" w:type="dxa"/>
            <w:vAlign w:val="bottom"/>
            <w:tcBorders>
              <w:top w:val="single" w:sz="8" w:color="auto"/>
            </w:tcBorders>
            <w:gridSpan w:val="2"/>
          </w:tcPr>
          <w:p>
            <w:pPr>
              <w:ind w:left="140"/>
              <w:spacing w:after="0" w:line="173" w:lineRule="exact"/>
              <w:rPr>
                <w:sz w:val="20"/>
                <w:szCs w:val="20"/>
                <w:color w:val="auto"/>
              </w:rPr>
            </w:pPr>
            <w:r>
              <w:rPr>
                <w:rFonts w:ascii="Arial" w:cs="Arial" w:eastAsia="Arial" w:hAnsi="Arial"/>
                <w:sz w:val="16"/>
                <w:szCs w:val="16"/>
                <w:b w:val="1"/>
                <w:bCs w:val="1"/>
                <w:color w:val="auto"/>
              </w:rPr>
              <w:t>Class A</w:t>
            </w:r>
          </w:p>
        </w:tc>
        <w:tc>
          <w:tcPr>
            <w:tcW w:w="820" w:type="dxa"/>
            <w:vAlign w:val="bottom"/>
            <w:tcBorders>
              <w:top w:val="single" w:sz="8" w:color="auto"/>
            </w:tcBorders>
          </w:tcPr>
          <w:p>
            <w:pPr>
              <w:ind w:left="160"/>
              <w:spacing w:after="0" w:line="173" w:lineRule="exact"/>
              <w:rPr>
                <w:sz w:val="20"/>
                <w:szCs w:val="20"/>
                <w:color w:val="auto"/>
              </w:rPr>
            </w:pPr>
            <w:r>
              <w:rPr>
                <w:rFonts w:ascii="Arial" w:cs="Arial" w:eastAsia="Arial" w:hAnsi="Arial"/>
                <w:sz w:val="16"/>
                <w:szCs w:val="16"/>
                <w:b w:val="1"/>
                <w:bCs w:val="1"/>
                <w:color w:val="auto"/>
              </w:rPr>
              <w:t>Class B</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45"/>
              <w:spacing w:after="0" w:line="173" w:lineRule="exact"/>
              <w:rPr>
                <w:sz w:val="20"/>
                <w:szCs w:val="20"/>
                <w:color w:val="auto"/>
              </w:rPr>
            </w:pPr>
            <w:r>
              <w:rPr>
                <w:rFonts w:ascii="Arial" w:cs="Arial" w:eastAsia="Arial" w:hAnsi="Arial"/>
                <w:sz w:val="16"/>
                <w:szCs w:val="16"/>
                <w:b w:val="1"/>
                <w:bCs w:val="1"/>
                <w:color w:val="auto"/>
                <w:w w:val="91"/>
              </w:rPr>
              <w:t>Class A</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ind w:left="180"/>
              <w:spacing w:after="0" w:line="173" w:lineRule="exact"/>
              <w:rPr>
                <w:sz w:val="20"/>
                <w:szCs w:val="20"/>
                <w:color w:val="auto"/>
              </w:rPr>
            </w:pPr>
            <w:r>
              <w:rPr>
                <w:rFonts w:ascii="Arial" w:cs="Arial" w:eastAsia="Arial" w:hAnsi="Arial"/>
                <w:sz w:val="16"/>
                <w:szCs w:val="16"/>
                <w:b w:val="1"/>
                <w:bCs w:val="1"/>
                <w:color w:val="auto"/>
              </w:rPr>
              <w:t>Class B</w:t>
            </w:r>
          </w:p>
        </w:tc>
        <w:tc>
          <w:tcPr>
            <w:tcW w:w="140" w:type="dxa"/>
            <w:vAlign w:val="bottom"/>
          </w:tcPr>
          <w:p>
            <w:pPr>
              <w:spacing w:after="0"/>
              <w:rPr>
                <w:sz w:val="15"/>
                <w:szCs w:val="15"/>
                <w:color w:val="auto"/>
              </w:rPr>
            </w:pPr>
          </w:p>
        </w:tc>
        <w:tc>
          <w:tcPr>
            <w:tcW w:w="15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2"/>
              </w:rPr>
              <w:t>Class A&amp;B</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7"/>
              <w:spacing w:after="0" w:line="173" w:lineRule="exact"/>
              <w:rPr>
                <w:sz w:val="20"/>
                <w:szCs w:val="20"/>
                <w:color w:val="auto"/>
              </w:rPr>
            </w:pPr>
            <w:r>
              <w:rPr>
                <w:rFonts w:ascii="Arial" w:cs="Arial" w:eastAsia="Arial" w:hAnsi="Arial"/>
                <w:sz w:val="16"/>
                <w:szCs w:val="16"/>
                <w:b w:val="1"/>
                <w:bCs w:val="1"/>
                <w:color w:val="auto"/>
                <w:w w:val="92"/>
              </w:rPr>
              <w:t>Class A&amp;B</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20"/>
                <w:szCs w:val="20"/>
                <w:b w:val="1"/>
                <w:bCs w:val="1"/>
                <w:color w:val="auto"/>
                <w:w w:val="97"/>
              </w:rPr>
              <w:t>Outstanding - January 1, 2023</w:t>
            </w:r>
          </w:p>
        </w:tc>
        <w:tc>
          <w:tcPr>
            <w:tcW w:w="8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99"/>
              </w:rPr>
              <w:t>327,498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right w:val="single" w:sz="8" w:color="CCEEFF"/>
            </w:tcBorders>
            <w:shd w:val="clear" w:color="auto" w:fill="CCEEFF"/>
          </w:tcPr>
          <w:p>
            <w:pPr>
              <w:jc w:val="right"/>
              <w:ind w:right="45"/>
              <w:spacing w:after="0" w:line="216" w:lineRule="exact"/>
              <w:rPr>
                <w:sz w:val="20"/>
                <w:szCs w:val="20"/>
                <w:color w:val="auto"/>
              </w:rPr>
            </w:pPr>
            <w:r>
              <w:rPr>
                <w:rFonts w:ascii="Arial" w:cs="Arial" w:eastAsia="Arial" w:hAnsi="Arial"/>
                <w:sz w:val="20"/>
                <w:szCs w:val="20"/>
                <w:color w:val="auto"/>
              </w:rPr>
              <w:t>15.87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line="216" w:lineRule="exact"/>
              <w:rPr>
                <w:sz w:val="20"/>
                <w:szCs w:val="20"/>
                <w:color w:val="auto"/>
              </w:rPr>
            </w:pPr>
            <w:r>
              <w:rPr>
                <w:rFonts w:ascii="Arial" w:cs="Arial" w:eastAsia="Arial" w:hAnsi="Arial"/>
                <w:sz w:val="20"/>
                <w:szCs w:val="20"/>
                <w:color w:val="auto"/>
                <w:w w:val="71"/>
              </w:rPr>
              <w:t>$</w:t>
            </w:r>
          </w:p>
        </w:tc>
        <w:tc>
          <w:tcPr>
            <w:tcW w:w="30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240"/>
              <w:spacing w:after="0" w:line="216" w:lineRule="exact"/>
              <w:rPr>
                <w:sz w:val="20"/>
                <w:szCs w:val="20"/>
                <w:color w:val="auto"/>
              </w:rPr>
            </w:pPr>
            <w:r>
              <w:rPr>
                <w:rFonts w:ascii="Arial" w:cs="Arial" w:eastAsia="Arial" w:hAnsi="Arial"/>
                <w:sz w:val="20"/>
                <w:szCs w:val="20"/>
                <w:color w:val="auto"/>
              </w:rPr>
              <w:t>Granted</w:t>
            </w:r>
          </w:p>
        </w:tc>
        <w:tc>
          <w:tcPr>
            <w:tcW w:w="800" w:type="dxa"/>
            <w:vAlign w:val="bottom"/>
          </w:tcPr>
          <w:p>
            <w:pPr>
              <w:jc w:val="right"/>
              <w:spacing w:after="0" w:line="216" w:lineRule="exact"/>
              <w:rPr>
                <w:sz w:val="20"/>
                <w:szCs w:val="20"/>
                <w:color w:val="auto"/>
              </w:rPr>
            </w:pPr>
            <w:r>
              <w:rPr>
                <w:rFonts w:ascii="Arial" w:cs="Arial" w:eastAsia="Arial" w:hAnsi="Arial"/>
                <w:sz w:val="20"/>
                <w:szCs w:val="20"/>
                <w:color w:val="auto"/>
                <w:w w:val="99"/>
              </w:rPr>
              <w:t>207,657</w:t>
            </w:r>
          </w:p>
        </w:tc>
        <w:tc>
          <w:tcPr>
            <w:tcW w:w="140" w:type="dxa"/>
            <w:vAlign w:val="bottom"/>
          </w:tcPr>
          <w:p>
            <w:pPr>
              <w:spacing w:after="0"/>
              <w:rPr>
                <w:sz w:val="18"/>
                <w:szCs w:val="18"/>
                <w:color w:val="auto"/>
              </w:rPr>
            </w:pPr>
          </w:p>
        </w:tc>
        <w:tc>
          <w:tcPr>
            <w:tcW w:w="820" w:type="dxa"/>
            <w:vAlign w:val="bottom"/>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5"/>
              <w:spacing w:after="0" w:line="216" w:lineRule="exact"/>
              <w:rPr>
                <w:sz w:val="20"/>
                <w:szCs w:val="20"/>
                <w:color w:val="auto"/>
              </w:rPr>
            </w:pPr>
            <w:r>
              <w:rPr>
                <w:rFonts w:ascii="Arial" w:cs="Arial" w:eastAsia="Arial" w:hAnsi="Arial"/>
                <w:sz w:val="20"/>
                <w:szCs w:val="20"/>
                <w:color w:val="auto"/>
              </w:rPr>
              <w:t>1.92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Exercised</w:t>
            </w:r>
          </w:p>
        </w:tc>
        <w:tc>
          <w:tcPr>
            <w:tcW w:w="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45"/>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32"/>
        </w:trPr>
        <w:tc>
          <w:tcPr>
            <w:tcW w:w="2800" w:type="dxa"/>
            <w:vAlign w:val="bottom"/>
          </w:tcPr>
          <w:p>
            <w:pPr>
              <w:ind w:left="240"/>
              <w:spacing w:after="0"/>
              <w:rPr>
                <w:sz w:val="20"/>
                <w:szCs w:val="20"/>
                <w:color w:val="auto"/>
              </w:rPr>
            </w:pPr>
            <w:r>
              <w:rPr>
                <w:rFonts w:ascii="Arial" w:cs="Arial" w:eastAsia="Arial" w:hAnsi="Arial"/>
                <w:sz w:val="20"/>
                <w:szCs w:val="20"/>
                <w:color w:val="auto"/>
              </w:rPr>
              <w:t>Expired</w:t>
            </w: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w w:val="91"/>
              </w:rPr>
              <w:t>(122,376)</w:t>
            </w:r>
          </w:p>
        </w:tc>
        <w:tc>
          <w:tcPr>
            <w:tcW w:w="820" w:type="dxa"/>
            <w:vAlign w:val="bottom"/>
          </w:tcPr>
          <w:p>
            <w:pPr>
              <w:ind w:left="5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20"/>
                <w:szCs w:val="20"/>
                <w:b w:val="1"/>
                <w:bCs w:val="1"/>
                <w:color w:val="auto"/>
              </w:rPr>
              <w:t>Outstanding - December 31,</w:t>
            </w: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spacing w:after="0" w:line="219" w:lineRule="exact"/>
              <w:rPr>
                <w:sz w:val="20"/>
                <w:szCs w:val="20"/>
                <w:color w:val="auto"/>
              </w:rPr>
            </w:pPr>
            <w:r>
              <w:rPr>
                <w:rFonts w:ascii="Arial" w:cs="Arial" w:eastAsia="Arial" w:hAnsi="Arial"/>
                <w:sz w:val="20"/>
                <w:szCs w:val="20"/>
                <w:b w:val="1"/>
                <w:bCs w:val="1"/>
                <w:color w:val="auto"/>
              </w:rPr>
              <w:t>2023</w:t>
            </w:r>
          </w:p>
        </w:tc>
        <w:tc>
          <w:tcPr>
            <w:tcW w:w="80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w w:val="99"/>
              </w:rPr>
              <w:t>412,779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ind w:left="540"/>
              <w:spacing w:after="0" w:line="219" w:lineRule="exact"/>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20"/>
                <w:szCs w:val="20"/>
                <w:color w:val="auto"/>
              </w:rPr>
              <w:t>$</w:t>
            </w:r>
          </w:p>
        </w:tc>
        <w:tc>
          <w:tcPr>
            <w:tcW w:w="800" w:type="dxa"/>
            <w:vAlign w:val="bottom"/>
            <w:tcBorders>
              <w:right w:val="single" w:sz="8" w:color="CCEEFF"/>
            </w:tcBorders>
            <w:shd w:val="clear" w:color="auto" w:fill="CCEEFF"/>
          </w:tcPr>
          <w:p>
            <w:pPr>
              <w:jc w:val="right"/>
              <w:ind w:right="45"/>
              <w:spacing w:after="0" w:line="219" w:lineRule="exact"/>
              <w:rPr>
                <w:sz w:val="20"/>
                <w:szCs w:val="20"/>
                <w:color w:val="auto"/>
              </w:rPr>
            </w:pPr>
            <w:r>
              <w:rPr>
                <w:rFonts w:ascii="Arial" w:cs="Arial" w:eastAsia="Arial" w:hAnsi="Arial"/>
                <w:sz w:val="20"/>
                <w:szCs w:val="20"/>
                <w:color w:val="auto"/>
              </w:rPr>
              <w:t>14.19</w:t>
            </w:r>
          </w:p>
        </w:tc>
        <w:tc>
          <w:tcPr>
            <w:tcW w:w="660" w:type="dxa"/>
            <w:vAlign w:val="bottom"/>
            <w:gridSpan w:val="2"/>
            <w:shd w:val="clear" w:color="auto" w:fill="CCEEFF"/>
          </w:tcPr>
          <w:p>
            <w:pPr>
              <w:jc w:val="right"/>
              <w:ind w:right="390"/>
              <w:spacing w:after="0" w:line="219" w:lineRule="exact"/>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ind w:left="20"/>
              <w:spacing w:after="0" w:line="219" w:lineRule="exact"/>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20"/>
                <w:szCs w:val="20"/>
                <w:color w:val="auto"/>
              </w:rPr>
              <w:t>1.79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ind w:left="600"/>
              <w:spacing w:after="0" w:line="21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32"/>
        </w:trPr>
        <w:tc>
          <w:tcPr>
            <w:tcW w:w="2800" w:type="dxa"/>
            <w:vAlign w:val="bottom"/>
          </w:tcPr>
          <w:p>
            <w:pPr>
              <w:ind w:left="240"/>
              <w:spacing w:after="0"/>
              <w:rPr>
                <w:sz w:val="20"/>
                <w:szCs w:val="20"/>
                <w:color w:val="auto"/>
              </w:rPr>
            </w:pPr>
            <w:r>
              <w:rPr>
                <w:rFonts w:ascii="Arial" w:cs="Arial" w:eastAsia="Arial" w:hAnsi="Arial"/>
                <w:sz w:val="20"/>
                <w:szCs w:val="20"/>
                <w:color w:val="auto"/>
              </w:rPr>
              <w:t>Granted</w:t>
            </w:r>
          </w:p>
        </w:tc>
        <w:tc>
          <w:tcPr>
            <w:tcW w:w="800" w:type="dxa"/>
            <w:vAlign w:val="bottom"/>
          </w:tcPr>
          <w:p>
            <w:pPr>
              <w:spacing w:after="0"/>
              <w:rPr>
                <w:sz w:val="20"/>
                <w:szCs w:val="20"/>
                <w:color w:val="auto"/>
              </w:rPr>
            </w:pPr>
            <w:r>
              <w:rPr>
                <w:rFonts w:ascii="Arial" w:cs="Arial" w:eastAsia="Arial" w:hAnsi="Arial"/>
                <w:sz w:val="20"/>
                <w:szCs w:val="20"/>
                <w:color w:val="auto"/>
                <w:w w:val="87"/>
              </w:rPr>
              <w:t>1,499,755</w:t>
            </w:r>
          </w:p>
        </w:tc>
        <w:tc>
          <w:tcPr>
            <w:tcW w:w="14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5"/>
              <w:spacing w:after="0"/>
              <w:rPr>
                <w:sz w:val="20"/>
                <w:szCs w:val="20"/>
                <w:color w:val="auto"/>
              </w:rPr>
            </w:pPr>
            <w:r>
              <w:rPr>
                <w:rFonts w:ascii="Arial" w:cs="Arial" w:eastAsia="Arial" w:hAnsi="Arial"/>
                <w:sz w:val="20"/>
                <w:szCs w:val="20"/>
                <w:color w:val="auto"/>
              </w:rPr>
              <w:t>1.49</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Exercised</w:t>
            </w:r>
          </w:p>
        </w:tc>
        <w:tc>
          <w:tcPr>
            <w:tcW w:w="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45"/>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32"/>
        </w:trPr>
        <w:tc>
          <w:tcPr>
            <w:tcW w:w="2800" w:type="dxa"/>
            <w:vAlign w:val="bottom"/>
          </w:tcPr>
          <w:p>
            <w:pPr>
              <w:ind w:left="240"/>
              <w:spacing w:after="0"/>
              <w:rPr>
                <w:sz w:val="20"/>
                <w:szCs w:val="20"/>
                <w:color w:val="auto"/>
              </w:rPr>
            </w:pPr>
            <w:r>
              <w:rPr>
                <w:rFonts w:ascii="Arial" w:cs="Arial" w:eastAsia="Arial" w:hAnsi="Arial"/>
                <w:sz w:val="20"/>
                <w:szCs w:val="20"/>
                <w:color w:val="auto"/>
              </w:rPr>
              <w:t>Expired</w:t>
            </w: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w w:val="91"/>
              </w:rPr>
              <w:t>(205,122)</w:t>
            </w:r>
          </w:p>
        </w:tc>
        <w:tc>
          <w:tcPr>
            <w:tcW w:w="820" w:type="dxa"/>
            <w:vAlign w:val="bottom"/>
          </w:tcPr>
          <w:p>
            <w:pPr>
              <w:ind w:left="5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20"/>
                <w:szCs w:val="20"/>
                <w:b w:val="1"/>
                <w:bCs w:val="1"/>
                <w:color w:val="auto"/>
              </w:rPr>
              <w:t>Outstanding - December 31,</w:t>
            </w: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spacing w:after="0" w:line="219" w:lineRule="exact"/>
              <w:rPr>
                <w:sz w:val="20"/>
                <w:szCs w:val="20"/>
                <w:color w:val="auto"/>
              </w:rPr>
            </w:pPr>
            <w:r>
              <w:rPr>
                <w:rFonts w:ascii="Arial" w:cs="Arial" w:eastAsia="Arial" w:hAnsi="Arial"/>
                <w:sz w:val="20"/>
                <w:szCs w:val="20"/>
                <w:b w:val="1"/>
                <w:bCs w:val="1"/>
                <w:color w:val="auto"/>
              </w:rPr>
              <w:t>2024</w:t>
            </w:r>
          </w:p>
        </w:tc>
        <w:tc>
          <w:tcPr>
            <w:tcW w:w="800" w:type="dxa"/>
            <w:vAlign w:val="bottom"/>
            <w:shd w:val="clear" w:color="auto" w:fill="CCEEFF"/>
          </w:tcPr>
          <w:p>
            <w:pPr>
              <w:spacing w:after="0" w:line="219" w:lineRule="exact"/>
              <w:rPr>
                <w:sz w:val="20"/>
                <w:szCs w:val="20"/>
                <w:color w:val="auto"/>
              </w:rPr>
            </w:pPr>
            <w:r>
              <w:rPr>
                <w:rFonts w:ascii="Arial" w:cs="Arial" w:eastAsia="Arial" w:hAnsi="Arial"/>
                <w:sz w:val="20"/>
                <w:szCs w:val="20"/>
                <w:color w:val="auto"/>
                <w:w w:val="87"/>
              </w:rPr>
              <w:t>1,707,412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ind w:left="540"/>
              <w:spacing w:after="0" w:line="219" w:lineRule="exact"/>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20"/>
                <w:szCs w:val="20"/>
                <w:color w:val="auto"/>
              </w:rPr>
              <w:t>$</w:t>
            </w:r>
          </w:p>
        </w:tc>
        <w:tc>
          <w:tcPr>
            <w:tcW w:w="800" w:type="dxa"/>
            <w:vAlign w:val="bottom"/>
            <w:tcBorders>
              <w:right w:val="single" w:sz="8" w:color="CCEEFF"/>
            </w:tcBorders>
            <w:shd w:val="clear" w:color="auto" w:fill="CCEEFF"/>
          </w:tcPr>
          <w:p>
            <w:pPr>
              <w:jc w:val="right"/>
              <w:ind w:right="45"/>
              <w:spacing w:after="0" w:line="219" w:lineRule="exact"/>
              <w:rPr>
                <w:sz w:val="20"/>
                <w:szCs w:val="20"/>
                <w:color w:val="auto"/>
              </w:rPr>
            </w:pPr>
            <w:r>
              <w:rPr>
                <w:rFonts w:ascii="Arial" w:cs="Arial" w:eastAsia="Arial" w:hAnsi="Arial"/>
                <w:sz w:val="20"/>
                <w:szCs w:val="20"/>
                <w:color w:val="auto"/>
              </w:rPr>
              <w:t>1.63</w:t>
            </w:r>
          </w:p>
        </w:tc>
        <w:tc>
          <w:tcPr>
            <w:tcW w:w="660" w:type="dxa"/>
            <w:vAlign w:val="bottom"/>
            <w:gridSpan w:val="2"/>
            <w:shd w:val="clear" w:color="auto" w:fill="CCEEFF"/>
          </w:tcPr>
          <w:p>
            <w:pPr>
              <w:jc w:val="right"/>
              <w:ind w:right="390"/>
              <w:spacing w:after="0" w:line="219" w:lineRule="exact"/>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ind w:left="20"/>
              <w:spacing w:after="0" w:line="219" w:lineRule="exact"/>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20"/>
                <w:szCs w:val="20"/>
                <w:color w:val="auto"/>
              </w:rPr>
              <w:t>9.44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9"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ind w:left="600"/>
              <w:spacing w:after="0" w:line="21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32"/>
        </w:trPr>
        <w:tc>
          <w:tcPr>
            <w:tcW w:w="2800" w:type="dxa"/>
            <w:vAlign w:val="bottom"/>
          </w:tcPr>
          <w:p>
            <w:pPr>
              <w:ind w:left="240"/>
              <w:spacing w:after="0"/>
              <w:rPr>
                <w:sz w:val="20"/>
                <w:szCs w:val="20"/>
                <w:color w:val="auto"/>
              </w:rPr>
            </w:pPr>
            <w:r>
              <w:rPr>
                <w:rFonts w:ascii="Arial" w:cs="Arial" w:eastAsia="Arial" w:hAnsi="Arial"/>
                <w:sz w:val="20"/>
                <w:szCs w:val="20"/>
                <w:color w:val="auto"/>
              </w:rPr>
              <w:t>Granted</w:t>
            </w:r>
          </w:p>
        </w:tc>
        <w:tc>
          <w:tcPr>
            <w:tcW w:w="940" w:type="dxa"/>
            <w:vAlign w:val="bottom"/>
            <w:gridSpan w:val="2"/>
          </w:tcPr>
          <w:p>
            <w:pPr>
              <w:spacing w:after="0"/>
              <w:rPr>
                <w:sz w:val="20"/>
                <w:szCs w:val="20"/>
                <w:color w:val="auto"/>
              </w:rPr>
            </w:pPr>
            <w:r>
              <w:rPr>
                <w:rFonts w:ascii="Arial" w:cs="Arial" w:eastAsia="Arial" w:hAnsi="Arial"/>
                <w:sz w:val="20"/>
                <w:szCs w:val="20"/>
                <w:color w:val="auto"/>
              </w:rPr>
              <w:t>2,396,708</w:t>
            </w:r>
          </w:p>
        </w:tc>
        <w:tc>
          <w:tcPr>
            <w:tcW w:w="820" w:type="dxa"/>
            <w:vAlign w:val="bottom"/>
          </w:tcPr>
          <w:p>
            <w:pPr>
              <w:ind w:left="5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Exercised</w:t>
            </w:r>
          </w:p>
        </w:tc>
        <w:tc>
          <w:tcPr>
            <w:tcW w:w="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45"/>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240"/>
              <w:spacing w:after="0" w:line="216" w:lineRule="exact"/>
              <w:rPr>
                <w:sz w:val="20"/>
                <w:szCs w:val="20"/>
                <w:color w:val="auto"/>
              </w:rPr>
            </w:pPr>
            <w:r>
              <w:rPr>
                <w:rFonts w:ascii="Arial" w:cs="Arial" w:eastAsia="Arial" w:hAnsi="Arial"/>
                <w:sz w:val="20"/>
                <w:szCs w:val="20"/>
                <w:color w:val="auto"/>
              </w:rPr>
              <w:t>Expired</w:t>
            </w:r>
          </w:p>
        </w:tc>
        <w:tc>
          <w:tcPr>
            <w:tcW w:w="940" w:type="dxa"/>
            <w:vAlign w:val="bottom"/>
            <w:gridSpan w:val="2"/>
          </w:tcPr>
          <w:p>
            <w:pPr>
              <w:ind w:left="600"/>
              <w:spacing w:after="0" w:line="216" w:lineRule="exact"/>
              <w:rPr>
                <w:sz w:val="20"/>
                <w:szCs w:val="20"/>
                <w:color w:val="auto"/>
              </w:rPr>
            </w:pPr>
            <w:r>
              <w:rPr>
                <w:rFonts w:ascii="Arial" w:cs="Arial" w:eastAsia="Arial" w:hAnsi="Arial"/>
                <w:sz w:val="20"/>
                <w:szCs w:val="20"/>
                <w:color w:val="auto"/>
              </w:rPr>
              <w:t>—</w:t>
            </w:r>
          </w:p>
        </w:tc>
        <w:tc>
          <w:tcPr>
            <w:tcW w:w="820" w:type="dxa"/>
            <w:vAlign w:val="bottom"/>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5"/>
              <w:spacing w:after="0" w:line="216"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ind w:left="2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Arial" w:cs="Arial" w:eastAsia="Arial" w:hAnsi="Arial"/>
                <w:sz w:val="20"/>
                <w:szCs w:val="20"/>
                <w:b w:val="1"/>
                <w:bCs w:val="1"/>
                <w:color w:val="auto"/>
              </w:rPr>
              <w:t>Outstanding - December 31,</w:t>
            </w: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00" w:type="dxa"/>
            <w:vAlign w:val="bottom"/>
            <w:vMerge w:val="continue"/>
            <w:shd w:val="clear" w:color="auto" w:fill="CCEEFF"/>
          </w:tcPr>
          <w:p>
            <w:pPr>
              <w:spacing w:after="0"/>
              <w:rPr>
                <w:sz w:val="19"/>
                <w:szCs w:val="19"/>
                <w:color w:val="auto"/>
              </w:rPr>
            </w:pPr>
          </w:p>
        </w:tc>
        <w:tc>
          <w:tcPr>
            <w:tcW w:w="940" w:type="dxa"/>
            <w:vAlign w:val="bottom"/>
            <w:gridSpan w:val="2"/>
            <w:vMerge w:val="restart"/>
            <w:shd w:val="clear" w:color="auto" w:fill="CCEEFF"/>
          </w:tcPr>
          <w:p>
            <w:pPr>
              <w:spacing w:after="0"/>
              <w:rPr>
                <w:sz w:val="20"/>
                <w:szCs w:val="20"/>
                <w:color w:val="auto"/>
              </w:rPr>
            </w:pPr>
            <w:r>
              <w:rPr>
                <w:rFonts w:ascii="Arial" w:cs="Arial" w:eastAsia="Arial" w:hAnsi="Arial"/>
                <w:sz w:val="20"/>
                <w:szCs w:val="20"/>
                <w:color w:val="auto"/>
              </w:rPr>
              <w:t>4,104,120</w:t>
            </w:r>
          </w:p>
        </w:tc>
        <w:tc>
          <w:tcPr>
            <w:tcW w:w="820" w:type="dxa"/>
            <w:vAlign w:val="bottom"/>
            <w:vMerge w:val="restart"/>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1.49</w:t>
            </w:r>
          </w:p>
        </w:tc>
        <w:tc>
          <w:tcPr>
            <w:tcW w:w="660" w:type="dxa"/>
            <w:vAlign w:val="bottom"/>
            <w:gridSpan w:val="2"/>
            <w:vMerge w:val="restart"/>
            <w:shd w:val="clear" w:color="auto" w:fill="CCEEFF"/>
          </w:tcPr>
          <w:p>
            <w:pPr>
              <w:jc w:val="right"/>
              <w:ind w:right="390"/>
              <w:spacing w:after="0"/>
              <w:rPr>
                <w:sz w:val="20"/>
                <w:szCs w:val="20"/>
                <w:color w:val="auto"/>
              </w:rPr>
            </w:pPr>
            <w:r>
              <w:rPr>
                <w:rFonts w:ascii="Arial" w:cs="Arial" w:eastAsia="Arial" w:hAnsi="Arial"/>
                <w:sz w:val="20"/>
                <w:szCs w:val="20"/>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6.52</w:t>
            </w:r>
          </w:p>
        </w:tc>
        <w:tc>
          <w:tcPr>
            <w:tcW w:w="14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spacing w:after="0" w:line="204" w:lineRule="exact"/>
              <w:rPr>
                <w:sz w:val="20"/>
                <w:szCs w:val="20"/>
                <w:color w:val="auto"/>
              </w:rPr>
            </w:pPr>
            <w:r>
              <w:rPr>
                <w:rFonts w:ascii="Arial" w:cs="Arial" w:eastAsia="Arial" w:hAnsi="Arial"/>
                <w:sz w:val="20"/>
                <w:szCs w:val="20"/>
                <w:b w:val="1"/>
                <w:bCs w:val="1"/>
                <w:color w:val="auto"/>
              </w:rPr>
              <w:t>2025</w:t>
            </w:r>
          </w:p>
        </w:tc>
        <w:tc>
          <w:tcPr>
            <w:tcW w:w="9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00" w:type="dxa"/>
            <w:vAlign w:val="bottom"/>
            <w:tcBorders>
              <w:right w:val="single" w:sz="8" w:color="CCEEFF"/>
            </w:tcBorders>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8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tcBorders>
              <w:right w:val="single" w:sz="8" w:color="CCEEFF"/>
            </w:tcBorders>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4"/>
          </w:tcPr>
          <w:p>
            <w:pPr>
              <w:jc w:val="right"/>
              <w:ind w:right="645"/>
              <w:spacing w:after="0"/>
              <w:rPr>
                <w:sz w:val="20"/>
                <w:szCs w:val="20"/>
                <w:color w:val="auto"/>
              </w:rPr>
            </w:pPr>
            <w:r>
              <w:rPr>
                <w:rFonts w:ascii="Arial" w:cs="Arial" w:eastAsia="Arial" w:hAnsi="Arial"/>
                <w:sz w:val="20"/>
                <w:szCs w:val="20"/>
                <w:color w:val="auto"/>
              </w:rPr>
              <w:t>- 87 -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12</w:t>
      </w:r>
    </w:p>
    <w:p>
      <w:pPr>
        <w:sectPr>
          <w:pgSz w:w="11900" w:h="16838" w:orient="portrait"/>
          <w:cols w:equalWidth="0" w:num="1">
            <w:col w:w="9400"/>
          </w:cols>
          <w:pgMar w:left="1260" w:top="1337" w:right="1246" w:bottom="0" w:gutter="0" w:footer="0" w:header="0"/>
          <w:type w:val="continuous"/>
        </w:sectPr>
      </w:pPr>
    </w:p>
    <w:bookmarkStart w:id="138" w:name="page139"/>
    <w:bookmarkEnd w:id="138"/>
    <w:p>
      <w:pPr>
        <w:jc w:val="both"/>
        <w:ind w:right="60"/>
        <w:spacing w:after="0" w:line="227" w:lineRule="auto"/>
        <w:rPr>
          <w:sz w:val="20"/>
          <w:szCs w:val="20"/>
          <w:color w:val="auto"/>
        </w:rPr>
      </w:pPr>
      <w:r>
        <w:rPr>
          <w:rFonts w:ascii="Arial" w:cs="Arial" w:eastAsia="Arial" w:hAnsi="Arial"/>
          <w:sz w:val="20"/>
          <w:szCs w:val="20"/>
          <w:color w:val="auto"/>
        </w:rPr>
        <w:t>The following is a summary of the status of RDI’s vested and unvested stock options as of December 31, 2025, 2024 and 2023:</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6"/>
                <w:szCs w:val="16"/>
                <w:b w:val="1"/>
                <w:bCs w:val="1"/>
                <w:color w:val="auto"/>
                <w:w w:val="88"/>
              </w:rPr>
              <w:t>Vested and Unvested Stock Options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71"/>
        </w:trPr>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8"/>
              <w:spacing w:after="0" w:line="171" w:lineRule="exact"/>
              <w:rPr>
                <w:sz w:val="20"/>
                <w:szCs w:val="20"/>
                <w:color w:val="auto"/>
              </w:rPr>
            </w:pPr>
            <w:r>
              <w:rPr>
                <w:rFonts w:ascii="Arial" w:cs="Arial" w:eastAsia="Arial" w:hAnsi="Arial"/>
                <w:sz w:val="16"/>
                <w:szCs w:val="16"/>
                <w:b w:val="1"/>
                <w:bCs w:val="1"/>
                <w:color w:val="auto"/>
                <w:w w:val="88"/>
              </w:rPr>
              <w:t>Aggregate</w:t>
            </w:r>
          </w:p>
        </w:tc>
      </w:tr>
      <w:tr>
        <w:trPr>
          <w:trHeight w:val="173"/>
        </w:trPr>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60" w:type="dxa"/>
            <w:vAlign w:val="bottom"/>
            <w:gridSpan w:val="3"/>
          </w:tcPr>
          <w:p>
            <w:pPr>
              <w:jc w:val="center"/>
              <w:spacing w:after="0" w:line="173" w:lineRule="exact"/>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center"/>
              <w:ind w:right="63"/>
              <w:spacing w:after="0" w:line="173" w:lineRule="exact"/>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5"/>
                <w:szCs w:val="15"/>
                <w:color w:val="auto"/>
              </w:rPr>
            </w:pPr>
          </w:p>
        </w:tc>
        <w:tc>
          <w:tcPr>
            <w:tcW w:w="15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8"/>
              </w:rPr>
              <w:t>Remaining Years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8"/>
              <w:spacing w:after="0" w:line="173" w:lineRule="exact"/>
              <w:rPr>
                <w:sz w:val="20"/>
                <w:szCs w:val="20"/>
                <w:color w:val="auto"/>
              </w:rPr>
            </w:pPr>
            <w:r>
              <w:rPr>
                <w:rFonts w:ascii="Arial" w:cs="Arial" w:eastAsia="Arial" w:hAnsi="Arial"/>
                <w:sz w:val="16"/>
                <w:szCs w:val="16"/>
                <w:b w:val="1"/>
                <w:bCs w:val="1"/>
                <w:color w:val="auto"/>
                <w:w w:val="96"/>
              </w:rPr>
              <w:t>Intrinsic</w:t>
            </w:r>
          </w:p>
        </w:tc>
      </w:tr>
      <w:tr>
        <w:trPr>
          <w:trHeight w:val="185"/>
        </w:trPr>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60" w:type="dxa"/>
            <w:vAlign w:val="bottom"/>
            <w:tcBorders>
              <w:bottom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43"/>
              <w:spacing w:after="0" w:line="175" w:lineRule="exact"/>
              <w:rPr>
                <w:sz w:val="20"/>
                <w:szCs w:val="20"/>
                <w:color w:val="auto"/>
              </w:rPr>
            </w:pPr>
            <w:r>
              <w:rPr>
                <w:rFonts w:ascii="Arial" w:cs="Arial" w:eastAsia="Arial" w:hAnsi="Arial"/>
                <w:sz w:val="16"/>
                <w:szCs w:val="16"/>
                <w:b w:val="1"/>
                <w:bCs w:val="1"/>
                <w:color w:val="auto"/>
                <w:w w:val="89"/>
              </w:rPr>
              <w:t>Exercise Price</w:t>
            </w:r>
          </w:p>
        </w:tc>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3"/>
              </w:rPr>
              <w:t>Contractual Life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line="175" w:lineRule="exact"/>
              <w:rPr>
                <w:sz w:val="20"/>
                <w:szCs w:val="20"/>
                <w:color w:val="auto"/>
              </w:rPr>
            </w:pPr>
            <w:r>
              <w:rPr>
                <w:rFonts w:ascii="Arial" w:cs="Arial" w:eastAsia="Arial" w:hAnsi="Arial"/>
                <w:sz w:val="16"/>
                <w:szCs w:val="16"/>
                <w:b w:val="1"/>
                <w:bCs w:val="1"/>
                <w:color w:val="auto"/>
                <w:w w:val="88"/>
              </w:rPr>
              <w:t>Value</w:t>
            </w:r>
          </w:p>
        </w:tc>
      </w:tr>
      <w:tr>
        <w:trPr>
          <w:trHeight w:val="183"/>
        </w:trPr>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88"/>
              </w:rPr>
              <w:t>Class A</w:t>
            </w:r>
          </w:p>
        </w:tc>
        <w:tc>
          <w:tcPr>
            <w:tcW w:w="140" w:type="dxa"/>
            <w:vAlign w:val="bottom"/>
          </w:tcPr>
          <w:p>
            <w:pPr>
              <w:spacing w:after="0"/>
              <w:rPr>
                <w:sz w:val="15"/>
                <w:szCs w:val="15"/>
                <w:color w:val="auto"/>
              </w:rPr>
            </w:pPr>
          </w:p>
        </w:tc>
        <w:tc>
          <w:tcPr>
            <w:tcW w:w="820" w:type="dxa"/>
            <w:vAlign w:val="bottom"/>
            <w:tcBorders>
              <w:bottom w:val="single" w:sz="8" w:color="auto"/>
            </w:tcBorders>
          </w:tcPr>
          <w:p>
            <w:pPr>
              <w:ind w:left="160"/>
              <w:spacing w:after="0" w:line="173" w:lineRule="exact"/>
              <w:rPr>
                <w:sz w:val="20"/>
                <w:szCs w:val="20"/>
                <w:color w:val="auto"/>
              </w:rPr>
            </w:pPr>
            <w:r>
              <w:rPr>
                <w:rFonts w:ascii="Arial" w:cs="Arial" w:eastAsia="Arial" w:hAnsi="Arial"/>
                <w:sz w:val="16"/>
                <w:szCs w:val="16"/>
                <w:b w:val="1"/>
                <w:bCs w:val="1"/>
                <w:color w:val="auto"/>
              </w:rPr>
              <w:t>Class B</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line="173" w:lineRule="exact"/>
              <w:rPr>
                <w:sz w:val="20"/>
                <w:szCs w:val="20"/>
                <w:color w:val="auto"/>
              </w:rPr>
            </w:pPr>
            <w:r>
              <w:rPr>
                <w:rFonts w:ascii="Arial" w:cs="Arial" w:eastAsia="Arial" w:hAnsi="Arial"/>
                <w:sz w:val="16"/>
                <w:szCs w:val="16"/>
                <w:b w:val="1"/>
                <w:bCs w:val="1"/>
                <w:color w:val="auto"/>
                <w:w w:val="91"/>
              </w:rPr>
              <w:t>Class A</w:t>
            </w:r>
          </w:p>
        </w:tc>
        <w:tc>
          <w:tcPr>
            <w:tcW w:w="280" w:type="dxa"/>
            <w:vAlign w:val="bottom"/>
          </w:tcPr>
          <w:p>
            <w:pPr>
              <w:spacing w:after="0"/>
              <w:rPr>
                <w:sz w:val="15"/>
                <w:szCs w:val="15"/>
                <w:color w:val="auto"/>
              </w:rPr>
            </w:pPr>
          </w:p>
        </w:tc>
        <w:tc>
          <w:tcPr>
            <w:tcW w:w="740" w:type="dxa"/>
            <w:vAlign w:val="bottom"/>
            <w:tcBorders>
              <w:bottom w:val="single" w:sz="8" w:color="auto"/>
            </w:tcBorders>
          </w:tcPr>
          <w:p>
            <w:pPr>
              <w:ind w:left="120"/>
              <w:spacing w:after="0" w:line="173" w:lineRule="exact"/>
              <w:rPr>
                <w:sz w:val="20"/>
                <w:szCs w:val="20"/>
                <w:color w:val="auto"/>
              </w:rPr>
            </w:pPr>
            <w:r>
              <w:rPr>
                <w:rFonts w:ascii="Arial" w:cs="Arial" w:eastAsia="Arial" w:hAnsi="Arial"/>
                <w:sz w:val="16"/>
                <w:szCs w:val="16"/>
                <w:b w:val="1"/>
                <w:bCs w:val="1"/>
                <w:color w:val="auto"/>
              </w:rPr>
              <w:t>Class B</w:t>
            </w: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2"/>
              </w:rPr>
              <w:t>Class A&amp;B</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
              <w:spacing w:after="0" w:line="173" w:lineRule="exact"/>
              <w:rPr>
                <w:sz w:val="20"/>
                <w:szCs w:val="20"/>
                <w:color w:val="auto"/>
              </w:rPr>
            </w:pPr>
            <w:r>
              <w:rPr>
                <w:rFonts w:ascii="Arial" w:cs="Arial" w:eastAsia="Arial" w:hAnsi="Arial"/>
                <w:sz w:val="16"/>
                <w:szCs w:val="16"/>
                <w:b w:val="1"/>
                <w:bCs w:val="1"/>
                <w:color w:val="auto"/>
                <w:w w:val="92"/>
              </w:rPr>
              <w:t>Class A&amp;B</w:t>
            </w:r>
          </w:p>
        </w:tc>
      </w:tr>
      <w:tr>
        <w:trPr>
          <w:trHeight w:val="197"/>
        </w:trPr>
        <w:tc>
          <w:tcPr>
            <w:tcW w:w="560" w:type="dxa"/>
            <w:vAlign w:val="bottom"/>
            <w:tcBorders>
              <w:bottom w:val="single" w:sz="8" w:color="auto"/>
            </w:tcBorders>
          </w:tcPr>
          <w:p>
            <w:pPr>
              <w:spacing w:after="0" w:line="197" w:lineRule="exact"/>
              <w:rPr>
                <w:sz w:val="20"/>
                <w:szCs w:val="20"/>
                <w:color w:val="auto"/>
              </w:rPr>
            </w:pPr>
            <w:r>
              <w:rPr>
                <w:rFonts w:ascii="Arial" w:cs="Arial" w:eastAsia="Arial" w:hAnsi="Arial"/>
                <w:sz w:val="20"/>
                <w:szCs w:val="20"/>
                <w:b w:val="1"/>
                <w:bCs w:val="1"/>
                <w:color w:val="auto"/>
                <w:w w:val="82"/>
              </w:rPr>
              <w:t>Vested</w:t>
            </w:r>
          </w:p>
        </w:tc>
        <w:tc>
          <w:tcPr>
            <w:tcW w:w="2240" w:type="dxa"/>
            <w:vAlign w:val="bottom"/>
            <w:tcBorders>
              <w:bottom w:val="single" w:sz="8" w:color="CCEEFF"/>
            </w:tcBorders>
            <w:gridSpan w:val="2"/>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431"/>
        </w:trPr>
        <w:tc>
          <w:tcPr>
            <w:tcW w:w="2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December 31, 2025</w:t>
            </w:r>
          </w:p>
        </w:tc>
        <w:tc>
          <w:tcPr>
            <w:tcW w:w="8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1,915,069</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8.39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w:t>
            </w:r>
          </w:p>
        </w:tc>
      </w:tr>
      <w:tr>
        <w:trPr>
          <w:trHeight w:val="216"/>
        </w:trPr>
        <w:tc>
          <w:tcPr>
            <w:tcW w:w="2800" w:type="dxa"/>
            <w:vAlign w:val="bottom"/>
            <w:gridSpan w:val="3"/>
          </w:tcPr>
          <w:p>
            <w:pPr>
              <w:spacing w:after="0" w:line="216" w:lineRule="exact"/>
              <w:rPr>
                <w:sz w:val="20"/>
                <w:szCs w:val="20"/>
                <w:color w:val="auto"/>
              </w:rPr>
            </w:pPr>
            <w:r>
              <w:rPr>
                <w:rFonts w:ascii="Arial" w:cs="Arial" w:eastAsia="Arial" w:hAnsi="Arial"/>
                <w:sz w:val="20"/>
                <w:szCs w:val="20"/>
                <w:color w:val="auto"/>
              </w:rPr>
              <w:t>December 31, 2024</w:t>
            </w:r>
          </w:p>
        </w:tc>
        <w:tc>
          <w:tcPr>
            <w:tcW w:w="800" w:type="dxa"/>
            <w:vAlign w:val="bottom"/>
          </w:tcPr>
          <w:p>
            <w:pPr>
              <w:jc w:val="center"/>
              <w:spacing w:after="0" w:line="216" w:lineRule="exact"/>
              <w:rPr>
                <w:sz w:val="20"/>
                <w:szCs w:val="20"/>
                <w:color w:val="auto"/>
              </w:rPr>
            </w:pPr>
            <w:r>
              <w:rPr>
                <w:rFonts w:ascii="Arial" w:cs="Arial" w:eastAsia="Arial" w:hAnsi="Arial"/>
                <w:sz w:val="20"/>
                <w:szCs w:val="20"/>
                <w:color w:val="auto"/>
                <w:w w:val="91"/>
              </w:rPr>
              <w:t>207,657</w:t>
            </w:r>
          </w:p>
        </w:tc>
        <w:tc>
          <w:tcPr>
            <w:tcW w:w="140" w:type="dxa"/>
            <w:vAlign w:val="bottom"/>
          </w:tcPr>
          <w:p>
            <w:pPr>
              <w:spacing w:after="0"/>
              <w:rPr>
                <w:sz w:val="18"/>
                <w:szCs w:val="18"/>
                <w:color w:val="auto"/>
              </w:rPr>
            </w:pPr>
          </w:p>
        </w:tc>
        <w:tc>
          <w:tcPr>
            <w:tcW w:w="820" w:type="dxa"/>
            <w:vAlign w:val="bottom"/>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20"/>
                <w:szCs w:val="20"/>
                <w:color w:val="auto"/>
              </w:rPr>
              <w:t>0.48</w:t>
            </w:r>
          </w:p>
        </w:tc>
        <w:tc>
          <w:tcPr>
            <w:tcW w:w="280" w:type="dxa"/>
            <w:vAlign w:val="bottom"/>
          </w:tcPr>
          <w:p>
            <w:pPr>
              <w:spacing w:after="0"/>
              <w:rPr>
                <w:sz w:val="18"/>
                <w:szCs w:val="18"/>
                <w:color w:val="auto"/>
              </w:rPr>
            </w:pPr>
          </w:p>
        </w:tc>
        <w:tc>
          <w:tcPr>
            <w:tcW w:w="740" w:type="dxa"/>
            <w:vAlign w:val="bottom"/>
          </w:tcPr>
          <w:p>
            <w:pPr>
              <w:ind w:left="460"/>
              <w:spacing w:after="0" w:line="216" w:lineRule="exact"/>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00"/>
              <w:spacing w:after="0" w:line="216" w:lineRule="exact"/>
              <w:rPr>
                <w:sz w:val="20"/>
                <w:szCs w:val="20"/>
                <w:color w:val="auto"/>
              </w:rPr>
            </w:pPr>
            <w:r>
              <w:rPr>
                <w:rFonts w:ascii="Arial" w:cs="Arial" w:eastAsia="Arial" w:hAnsi="Arial"/>
                <w:sz w:val="20"/>
                <w:szCs w:val="20"/>
                <w:color w:val="auto"/>
              </w:rPr>
              <w:t>—</w:t>
            </w:r>
          </w:p>
        </w:tc>
      </w:tr>
      <w:tr>
        <w:trPr>
          <w:trHeight w:val="216"/>
        </w:trPr>
        <w:tc>
          <w:tcPr>
            <w:tcW w:w="28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December 31, 2023</w:t>
            </w:r>
          </w:p>
        </w:tc>
        <w:tc>
          <w:tcPr>
            <w:tcW w:w="8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205,122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15.92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line="216" w:lineRule="exact"/>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0.56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r>
      <w:tr>
        <w:trPr>
          <w:trHeight w:val="197"/>
        </w:trPr>
        <w:tc>
          <w:tcPr>
            <w:tcW w:w="2800" w:type="dxa"/>
            <w:vAlign w:val="bottom"/>
            <w:gridSpan w:val="3"/>
          </w:tcPr>
          <w:p>
            <w:pPr>
              <w:spacing w:after="0" w:line="197" w:lineRule="exact"/>
              <w:rPr>
                <w:sz w:val="20"/>
                <w:szCs w:val="20"/>
                <w:color w:val="auto"/>
              </w:rPr>
            </w:pPr>
            <w:r>
              <w:rPr>
                <w:rFonts w:ascii="Arial" w:cs="Arial" w:eastAsia="Arial" w:hAnsi="Arial"/>
                <w:sz w:val="20"/>
                <w:szCs w:val="20"/>
                <w:b w:val="1"/>
                <w:bCs w:val="1"/>
                <w:color w:val="auto"/>
              </w:rPr>
              <w:t>Unvested</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6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r>
        <w:trPr>
          <w:trHeight w:val="431"/>
        </w:trPr>
        <w:tc>
          <w:tcPr>
            <w:tcW w:w="2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December 31, 2025</w:t>
            </w:r>
          </w:p>
        </w:tc>
        <w:tc>
          <w:tcPr>
            <w:tcW w:w="8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2,189,051</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6.52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w:t>
            </w:r>
          </w:p>
        </w:tc>
      </w:tr>
      <w:tr>
        <w:trPr>
          <w:trHeight w:val="432"/>
        </w:trPr>
        <w:tc>
          <w:tcPr>
            <w:tcW w:w="2800" w:type="dxa"/>
            <w:vAlign w:val="bottom"/>
            <w:gridSpan w:val="3"/>
          </w:tcPr>
          <w:p>
            <w:pPr>
              <w:spacing w:after="0"/>
              <w:rPr>
                <w:sz w:val="20"/>
                <w:szCs w:val="20"/>
                <w:color w:val="auto"/>
              </w:rPr>
            </w:pPr>
            <w:r>
              <w:rPr>
                <w:rFonts w:ascii="Arial" w:cs="Arial" w:eastAsia="Arial" w:hAnsi="Arial"/>
                <w:sz w:val="20"/>
                <w:szCs w:val="20"/>
                <w:color w:val="auto"/>
              </w:rPr>
              <w:t>December 31, 2024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1,499,755</w:t>
            </w:r>
          </w:p>
        </w:tc>
        <w:tc>
          <w:tcPr>
            <w:tcW w:w="14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1.62</w:t>
            </w:r>
          </w:p>
        </w:tc>
        <w:tc>
          <w:tcPr>
            <w:tcW w:w="28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9.44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Arial" w:cs="Arial" w:eastAsia="Arial" w:hAnsi="Arial"/>
                <w:sz w:val="20"/>
                <w:szCs w:val="20"/>
                <w:color w:val="auto"/>
              </w:rPr>
              <w:t>—</w:t>
            </w:r>
          </w:p>
        </w:tc>
      </w:tr>
      <w:tr>
        <w:trPr>
          <w:trHeight w:val="216"/>
        </w:trPr>
        <w:tc>
          <w:tcPr>
            <w:tcW w:w="280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December 31, 2023</w:t>
            </w:r>
          </w:p>
        </w:tc>
        <w:tc>
          <w:tcPr>
            <w:tcW w:w="8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1"/>
              </w:rPr>
              <w:t>207,657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4.54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line="216" w:lineRule="exact"/>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line="216" w:lineRule="exact"/>
              <w:rPr>
                <w:sz w:val="20"/>
                <w:szCs w:val="20"/>
                <w:color w:val="auto"/>
              </w:rPr>
            </w:pPr>
            <w:r>
              <w:rPr>
                <w:rFonts w:ascii="Arial" w:cs="Arial" w:eastAsia="Arial" w:hAnsi="Arial"/>
                <w:sz w:val="20"/>
                <w:szCs w:val="20"/>
                <w:color w:val="auto"/>
              </w:rPr>
              <w: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Stock Units</w:t>
      </w:r>
    </w:p>
    <w:p>
      <w:pPr>
        <w:spacing w:after="0" w:line="212"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In 2024 and in the second quarter of 2025, our Compensation Committee, upon the recommendation of our Chief Executive Officer and Board Chair, determined that due to liquidity management concerns, our Company would not pay cash bonuses for which our executive officers and other senior management may have been potentially eligible, and to issue stock options in lieu of such bonuses. Also in 2024 and 2025, our Compensation Committee determined not to issue long term incentive stock options or RSUs.</w:t>
      </w:r>
    </w:p>
    <w:p>
      <w:pPr>
        <w:spacing w:after="0" w:line="210" w:lineRule="exact"/>
        <w:rPr>
          <w:sz w:val="20"/>
          <w:szCs w:val="20"/>
          <w:color w:val="auto"/>
        </w:rPr>
      </w:pPr>
    </w:p>
    <w:p>
      <w:pPr>
        <w:jc w:val="both"/>
        <w:ind w:right="40"/>
        <w:spacing w:after="0" w:line="226" w:lineRule="auto"/>
        <w:rPr>
          <w:sz w:val="20"/>
          <w:szCs w:val="20"/>
          <w:color w:val="auto"/>
        </w:rPr>
      </w:pPr>
      <w:r>
        <w:rPr>
          <w:rFonts w:ascii="Arial" w:cs="Arial" w:eastAsia="Arial" w:hAnsi="Arial"/>
          <w:sz w:val="20"/>
          <w:szCs w:val="20"/>
          <w:color w:val="auto"/>
        </w:rPr>
        <w:t>During the years ended December 31, 2025 and December 31, 2024, we recognized compensation expense related to RSUs of $1.0 million and $1.6 million respectively. The total unrecognized compensation expense related to these unvested RSUs was $1.1 million as of December 31, 2025.</w:t>
      </w:r>
    </w:p>
    <w:p>
      <w:pPr>
        <w:spacing w:after="0" w:line="21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Below is a table that shows the restricted stock units that have been issued and vested during the years ending December 31, 2025 along with the dollar value of these awards. No RSUs have been issued since the end of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6"/>
                <w:szCs w:val="16"/>
                <w:b w:val="1"/>
                <w:bCs w:val="1"/>
                <w:color w:val="auto"/>
              </w:rPr>
              <w:t>Number of RSUs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6"/>
                <w:szCs w:val="16"/>
                <w:b w:val="1"/>
                <w:bCs w:val="1"/>
                <w:color w:val="auto"/>
              </w:rPr>
              <w:t>$ value of RSUs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5"/>
              <w:spacing w:after="0" w:line="173" w:lineRule="exact"/>
              <w:rPr>
                <w:sz w:val="20"/>
                <w:szCs w:val="20"/>
                <w:color w:val="auto"/>
              </w:rPr>
            </w:pPr>
            <w:r>
              <w:rPr>
                <w:rFonts w:ascii="Arial" w:cs="Arial" w:eastAsia="Arial" w:hAnsi="Arial"/>
                <w:sz w:val="16"/>
                <w:szCs w:val="16"/>
                <w:b w:val="1"/>
                <w:bCs w:val="1"/>
                <w:color w:val="auto"/>
              </w:rPr>
              <w:t>Granted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28"/>
              <w:spacing w:after="0" w:line="173" w:lineRule="exact"/>
              <w:rPr>
                <w:sz w:val="20"/>
                <w:szCs w:val="20"/>
                <w:color w:val="auto"/>
              </w:rPr>
            </w:pPr>
            <w:r>
              <w:rPr>
                <w:rFonts w:ascii="Arial" w:cs="Arial" w:eastAsia="Arial" w:hAnsi="Arial"/>
                <w:sz w:val="16"/>
                <w:szCs w:val="16"/>
                <w:b w:val="1"/>
                <w:bCs w:val="1"/>
                <w:color w:val="auto"/>
              </w:rPr>
              <w:t>Vested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5"/>
              <w:spacing w:after="0" w:line="173" w:lineRule="exact"/>
              <w:rPr>
                <w:sz w:val="20"/>
                <w:szCs w:val="20"/>
                <w:color w:val="auto"/>
              </w:rPr>
            </w:pPr>
            <w:r>
              <w:rPr>
                <w:rFonts w:ascii="Arial" w:cs="Arial" w:eastAsia="Arial" w:hAnsi="Arial"/>
                <w:sz w:val="16"/>
                <w:szCs w:val="16"/>
                <w:b w:val="1"/>
                <w:bCs w:val="1"/>
                <w:color w:val="auto"/>
              </w:rPr>
              <w:t>Forfeited</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
              <w:spacing w:after="0" w:line="173" w:lineRule="exact"/>
              <w:rPr>
                <w:sz w:val="20"/>
                <w:szCs w:val="20"/>
                <w:color w:val="auto"/>
              </w:rPr>
            </w:pPr>
            <w:r>
              <w:rPr>
                <w:rFonts w:ascii="Arial" w:cs="Arial" w:eastAsia="Arial" w:hAnsi="Arial"/>
                <w:sz w:val="16"/>
                <w:szCs w:val="16"/>
                <w:b w:val="1"/>
                <w:bCs w:val="1"/>
                <w:color w:val="auto"/>
              </w:rPr>
              <w:t>Unvested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2"/>
              <w:spacing w:after="0" w:line="173" w:lineRule="exact"/>
              <w:rPr>
                <w:sz w:val="20"/>
                <w:szCs w:val="20"/>
                <w:color w:val="auto"/>
              </w:rPr>
            </w:pPr>
            <w:r>
              <w:rPr>
                <w:rFonts w:ascii="Arial" w:cs="Arial" w:eastAsia="Arial" w:hAnsi="Arial"/>
                <w:sz w:val="16"/>
                <w:szCs w:val="16"/>
                <w:b w:val="1"/>
                <w:bCs w:val="1"/>
                <w:color w:val="auto"/>
              </w:rPr>
              <w:t>Granted</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90"/>
              <w:spacing w:after="0" w:line="173" w:lineRule="exact"/>
              <w:rPr>
                <w:sz w:val="20"/>
                <w:szCs w:val="20"/>
                <w:color w:val="auto"/>
              </w:rPr>
            </w:pPr>
            <w:r>
              <w:rPr>
                <w:rFonts w:ascii="Arial" w:cs="Arial" w:eastAsia="Arial" w:hAnsi="Arial"/>
                <w:sz w:val="16"/>
                <w:szCs w:val="16"/>
                <w:b w:val="1"/>
                <w:bCs w:val="1"/>
                <w:color w:val="auto"/>
              </w:rPr>
              <w:t>Vested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
              <w:spacing w:after="0" w:line="173" w:lineRule="exact"/>
              <w:rPr>
                <w:sz w:val="20"/>
                <w:szCs w:val="20"/>
                <w:color w:val="auto"/>
              </w:rPr>
            </w:pPr>
            <w:r>
              <w:rPr>
                <w:rFonts w:ascii="Arial" w:cs="Arial" w:eastAsia="Arial" w:hAnsi="Arial"/>
                <w:sz w:val="16"/>
                <w:szCs w:val="16"/>
                <w:b w:val="1"/>
                <w:bCs w:val="1"/>
                <w:color w:val="auto"/>
              </w:rPr>
              <w:t>Forfeited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2"/>
              <w:spacing w:after="0" w:line="173" w:lineRule="exact"/>
              <w:rPr>
                <w:sz w:val="20"/>
                <w:szCs w:val="20"/>
                <w:color w:val="auto"/>
              </w:rPr>
            </w:pPr>
            <w:r>
              <w:rPr>
                <w:rFonts w:ascii="Arial" w:cs="Arial" w:eastAsia="Arial" w:hAnsi="Arial"/>
                <w:sz w:val="16"/>
                <w:szCs w:val="16"/>
                <w:b w:val="1"/>
                <w:bCs w:val="1"/>
                <w:color w:val="auto"/>
                <w:w w:val="94"/>
              </w:rPr>
              <w:t>Unvested</w:t>
            </w:r>
          </w:p>
        </w:tc>
      </w:tr>
      <w:tr>
        <w:trPr>
          <w:trHeight w:val="216"/>
        </w:trPr>
        <w:tc>
          <w:tcPr>
            <w:tcW w:w="8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2016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68,153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67,372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815,160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99"/>
              </w:rPr>
              <w:t>$  805,759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r>
      <w:tr>
        <w:trPr>
          <w:trHeight w:val="432"/>
        </w:trPr>
        <w:tc>
          <w:tcPr>
            <w:tcW w:w="880" w:type="dxa"/>
            <w:vAlign w:val="bottom"/>
          </w:tcPr>
          <w:p>
            <w:pPr>
              <w:spacing w:after="0"/>
              <w:rPr>
                <w:sz w:val="20"/>
                <w:szCs w:val="20"/>
                <w:color w:val="auto"/>
              </w:rPr>
            </w:pPr>
            <w:r>
              <w:rPr>
                <w:rFonts w:ascii="Arial" w:cs="Arial" w:eastAsia="Arial" w:hAnsi="Arial"/>
                <w:sz w:val="20"/>
                <w:szCs w:val="20"/>
                <w:color w:val="auto"/>
              </w:rPr>
              <w:t>2017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70,538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70,006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532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1,124,348</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1,115,852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2"/>
        </w:trPr>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2018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97,600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94,426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3,174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2"/>
              </w:rPr>
              <w:t>1,581,512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1,529,648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51,864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6"/>
        </w:trPr>
        <w:tc>
          <w:tcPr>
            <w:tcW w:w="880" w:type="dxa"/>
            <w:vAlign w:val="bottom"/>
          </w:tcPr>
          <w:p>
            <w:pPr>
              <w:spacing w:after="0" w:line="216" w:lineRule="exact"/>
              <w:rPr>
                <w:sz w:val="20"/>
                <w:szCs w:val="20"/>
                <w:color w:val="auto"/>
              </w:rPr>
            </w:pPr>
            <w:r>
              <w:rPr>
                <w:rFonts w:ascii="Arial" w:cs="Arial" w:eastAsia="Arial" w:hAnsi="Arial"/>
                <w:sz w:val="20"/>
                <w:szCs w:val="20"/>
                <w:color w:val="auto"/>
              </w:rPr>
              <w:t>2019</w:t>
            </w:r>
          </w:p>
        </w:tc>
        <w:tc>
          <w:tcPr>
            <w:tcW w:w="10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59,258</w:t>
            </w:r>
          </w:p>
        </w:tc>
        <w:tc>
          <w:tcPr>
            <w:tcW w:w="10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56,154</w:t>
            </w:r>
          </w:p>
        </w:tc>
        <w:tc>
          <w:tcPr>
            <w:tcW w:w="10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3,104</w:t>
            </w:r>
          </w:p>
        </w:tc>
        <w:tc>
          <w:tcPr>
            <w:tcW w:w="1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944,070</w:t>
            </w:r>
          </w:p>
        </w:tc>
        <w:tc>
          <w:tcPr>
            <w:tcW w:w="11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894,065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20"/>
                <w:szCs w:val="20"/>
                <w:color w:val="auto"/>
              </w:rPr>
              <w:t>50,005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r>
      <w:tr>
        <w:trPr>
          <w:trHeight w:val="432"/>
        </w:trPr>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2020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401,966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373,708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28,258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2"/>
              </w:rPr>
              <w:t>2,281,899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2,111,059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170,840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432"/>
        </w:trPr>
        <w:tc>
          <w:tcPr>
            <w:tcW w:w="880" w:type="dxa"/>
            <w:vAlign w:val="bottom"/>
          </w:tcPr>
          <w:p>
            <w:pPr>
              <w:spacing w:after="0"/>
              <w:rPr>
                <w:sz w:val="20"/>
                <w:szCs w:val="20"/>
                <w:color w:val="auto"/>
              </w:rPr>
            </w:pPr>
            <w:r>
              <w:rPr>
                <w:rFonts w:ascii="Arial" w:cs="Arial" w:eastAsia="Arial" w:hAnsi="Arial"/>
                <w:sz w:val="20"/>
                <w:szCs w:val="20"/>
                <w:color w:val="auto"/>
              </w:rPr>
              <w:t>2021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361,593</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333,040</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28,554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2,185,222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2,001,875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183,347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2"/>
        </w:trPr>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2022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502,582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384,242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43,905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74,435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2"/>
              </w:rPr>
              <w:t>1,998,505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1,505,028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183,084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310,394</w:t>
            </w:r>
          </w:p>
        </w:tc>
      </w:tr>
      <w:tr>
        <w:trPr>
          <w:trHeight w:val="432"/>
        </w:trPr>
        <w:tc>
          <w:tcPr>
            <w:tcW w:w="8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2023</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671,682</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324,802</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8,464</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338,416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2,173,049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1,051,150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27,343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1,094,556</w:t>
            </w:r>
          </w:p>
        </w:tc>
      </w:tr>
      <w:tr>
        <w:trPr>
          <w:trHeight w:val="432"/>
        </w:trPr>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Total</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7"/>
              </w:rPr>
              <w:t>2,233,372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1,703,750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116,772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412,851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7"/>
              </w:rPr>
              <w:t>13,103,765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u w:val="single" w:color="auto"/>
                <w:color w:val="auto"/>
                <w:w w:val="98"/>
              </w:rPr>
              <w:t>$</w:t>
            </w:r>
            <w:r>
              <w:rPr>
                <w:rFonts w:ascii="Arial" w:cs="Arial" w:eastAsia="Arial" w:hAnsi="Arial"/>
                <w:sz w:val="20"/>
                <w:szCs w:val="20"/>
                <w:color w:val="auto"/>
                <w:w w:val="98"/>
              </w:rPr>
              <w:t>11,014,436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684,379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1,404,950</w:t>
            </w:r>
          </w:p>
        </w:tc>
      </w:tr>
      <w:tr>
        <w:trPr>
          <w:trHeight w:val="30"/>
        </w:trPr>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Repurchase Plan</w:t>
      </w:r>
    </w:p>
    <w:p>
      <w:pPr>
        <w:spacing w:after="0" w:line="212" w:lineRule="exact"/>
        <w:rPr>
          <w:sz w:val="20"/>
          <w:szCs w:val="20"/>
          <w:color w:val="auto"/>
        </w:rPr>
      </w:pPr>
    </w:p>
    <w:p>
      <w:pPr>
        <w:jc w:val="both"/>
        <w:ind w:right="80"/>
        <w:spacing w:after="0" w:line="227" w:lineRule="auto"/>
        <w:rPr>
          <w:sz w:val="20"/>
          <w:szCs w:val="20"/>
          <w:color w:val="auto"/>
        </w:rPr>
      </w:pPr>
      <w:r>
        <w:rPr>
          <w:rFonts w:ascii="Arial" w:cs="Arial" w:eastAsia="Arial" w:hAnsi="Arial"/>
          <w:sz w:val="20"/>
          <w:szCs w:val="20"/>
          <w:color w:val="auto"/>
        </w:rPr>
        <w:t>Our Stock Repurchase Program expired on March 10, 2024. It has not been renewed. No stock has been repurchased by our Company since March 10, 2020.</w:t>
      </w:r>
    </w:p>
    <w:p>
      <w:pPr>
        <w:sectPr>
          <w:pgSz w:w="11900" w:h="16838" w:orient="portrait"/>
          <w:cols w:equalWidth="0" w:num="1">
            <w:col w:w="9400"/>
          </w:cols>
          <w:pgMar w:left="1260" w:top="1347" w:right="1246"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12</w:t>
      </w:r>
    </w:p>
    <w:p>
      <w:pPr>
        <w:sectPr>
          <w:pgSz w:w="11900" w:h="16838" w:orient="portrait"/>
          <w:cols w:equalWidth="0" w:num="1">
            <w:col w:w="9400"/>
          </w:cols>
          <w:pgMar w:left="1260" w:top="1347" w:right="1246" w:bottom="0" w:gutter="0" w:footer="0" w:header="0"/>
          <w:type w:val="continuous"/>
        </w:sectPr>
      </w:pPr>
    </w:p>
    <w:bookmarkStart w:id="139" w:name="page140"/>
    <w:bookmarkEnd w:id="139"/>
    <w:p>
      <w:pPr>
        <w:jc w:val="center"/>
        <w:ind w:right="6"/>
        <w:spacing w:after="0"/>
        <w:rPr>
          <w:sz w:val="20"/>
          <w:szCs w:val="20"/>
          <w:color w:val="auto"/>
        </w:rPr>
      </w:pPr>
      <w:r>
        <w:rPr>
          <w:rFonts w:ascii="Arial" w:cs="Arial" w:eastAsia="Arial" w:hAnsi="Arial"/>
          <w:sz w:val="17"/>
          <w:szCs w:val="17"/>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12</w:t>
      </w:r>
    </w:p>
    <w:p>
      <w:pPr>
        <w:sectPr>
          <w:pgSz w:w="11900" w:h="16838" w:orient="portrait"/>
          <w:cols w:equalWidth="0" w:num="1">
            <w:col w:w="9026"/>
          </w:cols>
          <w:pgMar w:left="1440" w:top="1347" w:right="1440" w:bottom="0" w:gutter="0" w:footer="0" w:header="0"/>
          <w:type w:val="continuous"/>
        </w:sectPr>
      </w:pPr>
    </w:p>
    <w:bookmarkStart w:id="140" w:name="page141"/>
    <w:bookmarkEnd w:id="140"/>
    <w:p>
      <w:pPr>
        <w:spacing w:after="0"/>
        <w:rPr>
          <w:sz w:val="20"/>
          <w:szCs w:val="20"/>
          <w:color w:val="auto"/>
        </w:rPr>
      </w:pPr>
      <w:r>
        <w:rPr>
          <w:rFonts w:ascii="Arial" w:cs="Arial" w:eastAsia="Arial" w:hAnsi="Arial"/>
          <w:sz w:val="20"/>
          <w:szCs w:val="20"/>
          <w:b w:val="1"/>
          <w:bCs w:val="1"/>
          <w:u w:val="single" w:color="auto"/>
          <w:color w:val="auto"/>
        </w:rPr>
        <w:t>NOTE 18 – ACCUMULATED OTHER COMPREHENSIVE INCOME</w:t>
      </w:r>
    </w:p>
    <w:p>
      <w:pPr>
        <w:spacing w:after="0" w:line="212" w:lineRule="exact"/>
        <w:rPr>
          <w:sz w:val="20"/>
          <w:szCs w:val="20"/>
          <w:color w:val="auto"/>
        </w:rPr>
      </w:pPr>
    </w:p>
    <w:p>
      <w:pPr>
        <w:ind w:right="640"/>
        <w:spacing w:after="0" w:line="227" w:lineRule="auto"/>
        <w:rPr>
          <w:sz w:val="20"/>
          <w:szCs w:val="20"/>
          <w:color w:val="auto"/>
        </w:rPr>
      </w:pPr>
      <w:r>
        <w:rPr>
          <w:rFonts w:ascii="Arial" w:cs="Arial" w:eastAsia="Arial" w:hAnsi="Arial"/>
          <w:sz w:val="20"/>
          <w:szCs w:val="20"/>
          <w:color w:val="auto"/>
        </w:rPr>
        <w:t>The following table summarizes the changes in each component of accumulated other comprehensive income attributable to RDI:</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6"/>
                <w:szCs w:val="16"/>
                <w:b w:val="1"/>
                <w:bCs w:val="1"/>
                <w:color w:val="auto"/>
                <w:w w:val="90"/>
              </w:rPr>
              <w:t>Accrued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spacing w:after="0" w:line="173" w:lineRule="exact"/>
              <w:rPr>
                <w:sz w:val="20"/>
                <w:szCs w:val="20"/>
                <w:color w:val="auto"/>
              </w:rPr>
            </w:pPr>
            <w:r>
              <w:rPr>
                <w:rFonts w:ascii="Arial" w:cs="Arial" w:eastAsia="Arial" w:hAnsi="Arial"/>
                <w:sz w:val="16"/>
                <w:szCs w:val="16"/>
                <w:b w:val="1"/>
                <w:bCs w:val="1"/>
                <w:color w:val="auto"/>
                <w:w w:val="86"/>
              </w:rPr>
              <w:t>Gain (Losses)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7"/>
              <w:spacing w:after="0" w:line="173" w:lineRule="exact"/>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8"/>
              <w:spacing w:after="0" w:line="173" w:lineRule="exact"/>
              <w:rPr>
                <w:sz w:val="20"/>
                <w:szCs w:val="20"/>
                <w:color w:val="auto"/>
              </w:rPr>
            </w:pPr>
            <w:r>
              <w:rPr>
                <w:rFonts w:ascii="Arial" w:cs="Arial" w:eastAsia="Arial" w:hAnsi="Arial"/>
                <w:sz w:val="16"/>
                <w:szCs w:val="16"/>
                <w:b w:val="1"/>
                <w:bCs w:val="1"/>
                <w:color w:val="auto"/>
                <w:w w:val="86"/>
              </w:rPr>
              <w:t>Pension</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vMerge w:val="restart"/>
          </w:tcPr>
          <w:p>
            <w:pPr>
              <w:jc w:val="center"/>
              <w:ind w:right="180"/>
              <w:spacing w:after="0" w:line="173" w:lineRule="exact"/>
              <w:rPr>
                <w:sz w:val="20"/>
                <w:szCs w:val="20"/>
                <w:color w:val="auto"/>
              </w:rPr>
            </w:pPr>
            <w:r>
              <w:rPr>
                <w:rFonts w:ascii="Arial" w:cs="Arial" w:eastAsia="Arial" w:hAnsi="Arial"/>
                <w:sz w:val="16"/>
                <w:szCs w:val="16"/>
                <w:b w:val="1"/>
                <w:bCs w:val="1"/>
                <w:color w:val="auto"/>
                <w:w w:val="89"/>
              </w:rPr>
              <w:t>Hedge</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spacing w:after="0" w:line="173" w:lineRule="exact"/>
              <w:rPr>
                <w:sz w:val="20"/>
                <w:szCs w:val="20"/>
                <w:color w:val="auto"/>
              </w:rPr>
            </w:pPr>
            <w:r>
              <w:rPr>
                <w:rFonts w:ascii="Arial" w:cs="Arial" w:eastAsia="Arial" w:hAnsi="Arial"/>
                <w:sz w:val="16"/>
                <w:szCs w:val="16"/>
                <w:b w:val="1"/>
                <w:bCs w:val="1"/>
                <w:color w:val="auto"/>
                <w:w w:val="88"/>
              </w:rPr>
              <w:t>on Available-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7"/>
              <w:spacing w:after="0" w:line="175" w:lineRule="exact"/>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8"/>
              <w:spacing w:after="0" w:line="175" w:lineRule="exact"/>
              <w:rPr>
                <w:sz w:val="20"/>
                <w:szCs w:val="20"/>
                <w:color w:val="auto"/>
              </w:rPr>
            </w:pPr>
            <w:r>
              <w:rPr>
                <w:rFonts w:ascii="Arial" w:cs="Arial" w:eastAsia="Arial" w:hAnsi="Arial"/>
                <w:sz w:val="16"/>
                <w:szCs w:val="16"/>
                <w:b w:val="1"/>
                <w:bCs w:val="1"/>
                <w:color w:val="auto"/>
                <w:w w:val="87"/>
              </w:rPr>
              <w:t>Service</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40"/>
              <w:spacing w:after="0" w:line="175" w:lineRule="exact"/>
              <w:rPr>
                <w:sz w:val="20"/>
                <w:szCs w:val="20"/>
                <w:color w:val="auto"/>
              </w:rPr>
            </w:pPr>
            <w:r>
              <w:rPr>
                <w:rFonts w:ascii="Arial" w:cs="Arial" w:eastAsia="Arial" w:hAnsi="Arial"/>
                <w:sz w:val="16"/>
                <w:szCs w:val="16"/>
                <w:b w:val="1"/>
                <w:bCs w:val="1"/>
                <w:color w:val="auto"/>
                <w:w w:val="88"/>
              </w:rPr>
              <w:t>Accounting</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
              <w:spacing w:after="0" w:line="173" w:lineRule="exact"/>
              <w:rPr>
                <w:sz w:val="20"/>
                <w:szCs w:val="20"/>
                <w:color w:val="auto"/>
              </w:rPr>
            </w:pPr>
            <w:r>
              <w:rPr>
                <w:rFonts w:ascii="Arial" w:cs="Arial" w:eastAsia="Arial" w:hAnsi="Arial"/>
                <w:sz w:val="16"/>
                <w:szCs w:val="16"/>
                <w:b w:val="1"/>
                <w:bCs w:val="1"/>
                <w:color w:val="auto"/>
                <w:w w:val="90"/>
              </w:rPr>
              <w:t>for-Sale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7"/>
              <w:spacing w:after="0" w:line="232" w:lineRule="exact"/>
              <w:rPr>
                <w:sz w:val="20"/>
                <w:szCs w:val="20"/>
                <w:color w:val="auto"/>
              </w:rPr>
            </w:pPr>
            <w:r>
              <w:rPr>
                <w:rFonts w:ascii="Arial" w:cs="Arial" w:eastAsia="Arial" w:hAnsi="Arial"/>
                <w:sz w:val="15"/>
                <w:szCs w:val="15"/>
                <w:b w:val="1"/>
                <w:bCs w:val="1"/>
                <w:color w:val="auto"/>
                <w:w w:val="89"/>
              </w:rPr>
              <w:t>Items</w:t>
            </w:r>
            <w:r>
              <w:rPr>
                <w:rFonts w:ascii="Arial" w:cs="Arial" w:eastAsia="Arial" w:hAnsi="Arial"/>
                <w:sz w:val="26"/>
                <w:szCs w:val="26"/>
                <w:b w:val="1"/>
                <w:bCs w:val="1"/>
                <w:color w:val="auto"/>
                <w:w w:val="89"/>
                <w:vertAlign w:val="superscript"/>
              </w:rPr>
              <w:t>(1)</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48"/>
              <w:spacing w:after="0" w:line="232" w:lineRule="exact"/>
              <w:rPr>
                <w:sz w:val="20"/>
                <w:szCs w:val="20"/>
                <w:color w:val="auto"/>
              </w:rPr>
            </w:pPr>
            <w:r>
              <w:rPr>
                <w:rFonts w:ascii="Arial" w:cs="Arial" w:eastAsia="Arial" w:hAnsi="Arial"/>
                <w:sz w:val="15"/>
                <w:szCs w:val="15"/>
                <w:b w:val="1"/>
                <w:bCs w:val="1"/>
                <w:color w:val="auto"/>
                <w:w w:val="85"/>
              </w:rPr>
              <w:t>Costs</w:t>
            </w:r>
            <w:r>
              <w:rPr>
                <w:rFonts w:ascii="Arial" w:cs="Arial" w:eastAsia="Arial" w:hAnsi="Arial"/>
                <w:sz w:val="26"/>
                <w:szCs w:val="26"/>
                <w:b w:val="1"/>
                <w:bCs w:val="1"/>
                <w:color w:val="auto"/>
                <w:w w:val="85"/>
                <w:vertAlign w:val="superscript"/>
              </w:rPr>
              <w:t>(2)</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vMerge w:val="restart"/>
          </w:tcPr>
          <w:p>
            <w:pPr>
              <w:jc w:val="center"/>
              <w:ind w:right="180"/>
              <w:spacing w:after="0" w:line="232" w:lineRule="exact"/>
              <w:rPr>
                <w:sz w:val="20"/>
                <w:szCs w:val="20"/>
                <w:color w:val="auto"/>
              </w:rPr>
            </w:pPr>
            <w:r>
              <w:rPr>
                <w:rFonts w:ascii="Arial" w:cs="Arial" w:eastAsia="Arial" w:hAnsi="Arial"/>
                <w:sz w:val="15"/>
                <w:szCs w:val="15"/>
                <w:b w:val="1"/>
                <w:bCs w:val="1"/>
                <w:color w:val="auto"/>
                <w:w w:val="92"/>
              </w:rPr>
              <w:t>Reserve</w:t>
            </w:r>
            <w:r>
              <w:rPr>
                <w:rFonts w:ascii="Arial" w:cs="Arial" w:eastAsia="Arial" w:hAnsi="Arial"/>
                <w:sz w:val="26"/>
                <w:szCs w:val="26"/>
                <w:b w:val="1"/>
                <w:bCs w:val="1"/>
                <w:color w:val="auto"/>
                <w:w w:val="92"/>
                <w:vertAlign w:val="superscript"/>
              </w:rPr>
              <w:t>(</w:t>
            </w:r>
            <w:r>
              <w:rPr>
                <w:rFonts w:ascii="Arial" w:cs="Arial" w:eastAsia="Arial" w:hAnsi="Arial"/>
                <w:sz w:val="15"/>
                <w:szCs w:val="15"/>
                <w:b w:val="1"/>
                <w:bCs w:val="1"/>
                <w:color w:val="auto"/>
                <w:w w:val="92"/>
              </w:rPr>
              <w:t>3)</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74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43"/>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Balance at January 1, 2025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(5,521)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(137)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(7,173)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shd w:val="clear" w:color="auto" w:fill="CCEEFF"/>
          </w:tcPr>
          <w:p>
            <w:pPr>
              <w:spacing w:after="0" w:line="197" w:lineRule="exact"/>
              <w:rPr>
                <w:sz w:val="20"/>
                <w:szCs w:val="20"/>
                <w:color w:val="auto"/>
              </w:rPr>
            </w:pPr>
            <w:r>
              <w:rPr>
                <w:rFonts w:ascii="Arial" w:cs="Arial" w:eastAsia="Arial" w:hAnsi="Arial"/>
                <w:sz w:val="20"/>
                <w:szCs w:val="20"/>
                <w:color w:val="auto"/>
                <w:w w:val="88"/>
              </w:rPr>
              <w:t>Change related to derivatives</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gridSpan w:val="2"/>
          </w:tcPr>
          <w:p>
            <w:pPr>
              <w:spacing w:after="0" w:line="192" w:lineRule="exact"/>
              <w:rPr>
                <w:sz w:val="20"/>
                <w:szCs w:val="20"/>
                <w:color w:val="auto"/>
              </w:rPr>
            </w:pPr>
            <w:r>
              <w:rPr>
                <w:rFonts w:ascii="Arial" w:cs="Arial" w:eastAsia="Arial" w:hAnsi="Arial"/>
                <w:sz w:val="20"/>
                <w:szCs w:val="20"/>
                <w:color w:val="auto"/>
                <w:w w:val="94"/>
              </w:rPr>
              <w:t>Total change in hedge fair value recorded in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40" w:type="dxa"/>
            <w:vAlign w:val="bottom"/>
            <w:gridSpan w:val="3"/>
          </w:tcPr>
          <w:p>
            <w:pPr>
              <w:spacing w:after="0" w:line="219" w:lineRule="exact"/>
              <w:rPr>
                <w:sz w:val="20"/>
                <w:szCs w:val="20"/>
                <w:color w:val="auto"/>
              </w:rPr>
            </w:pPr>
            <w:r>
              <w:rPr>
                <w:rFonts w:ascii="Arial" w:cs="Arial" w:eastAsia="Arial" w:hAnsi="Arial"/>
                <w:sz w:val="20"/>
                <w:szCs w:val="20"/>
                <w:color w:val="auto"/>
              </w:rPr>
              <w:t>Other Comprehensive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60"/>
              <w:spacing w:after="0" w:line="219" w:lineRule="exact"/>
              <w:rPr>
                <w:sz w:val="20"/>
                <w:szCs w:val="20"/>
                <w:color w:val="auto"/>
              </w:rPr>
            </w:pPr>
            <w:r>
              <w:rPr>
                <w:rFonts w:ascii="Arial" w:cs="Arial" w:eastAsia="Arial" w:hAnsi="Arial"/>
                <w:sz w:val="20"/>
                <w:szCs w:val="20"/>
                <w:color w:val="auto"/>
              </w:rPr>
              <w:t>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13" w:lineRule="exact"/>
              <w:rPr>
                <w:sz w:val="20"/>
                <w:szCs w:val="20"/>
                <w:color w:val="auto"/>
              </w:rPr>
            </w:pPr>
            <w:r>
              <w:rPr>
                <w:rFonts w:ascii="Arial" w:cs="Arial" w:eastAsia="Arial" w:hAnsi="Arial"/>
                <w:sz w:val="20"/>
                <w:szCs w:val="20"/>
                <w:color w:val="auto"/>
                <w:w w:val="92"/>
              </w:rPr>
              <w:t>Amounts reclassified from accumulated 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spacing w:after="0" w:line="208" w:lineRule="exact"/>
              <w:rPr>
                <w:sz w:val="20"/>
                <w:szCs w:val="20"/>
                <w:color w:val="auto"/>
              </w:rPr>
            </w:pPr>
            <w:r>
              <w:rPr>
                <w:rFonts w:ascii="Arial" w:cs="Arial" w:eastAsia="Arial" w:hAnsi="Arial"/>
                <w:sz w:val="20"/>
                <w:szCs w:val="20"/>
                <w:color w:val="auto"/>
              </w:rPr>
              <w:t>comprehensive income</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40" w:type="dxa"/>
            <w:vAlign w:val="bottom"/>
            <w:gridSpan w:val="3"/>
          </w:tcPr>
          <w:p>
            <w:pPr>
              <w:spacing w:after="0" w:line="196" w:lineRule="exact"/>
              <w:rPr>
                <w:sz w:val="20"/>
                <w:szCs w:val="20"/>
                <w:color w:val="auto"/>
              </w:rPr>
            </w:pPr>
            <w:r>
              <w:rPr>
                <w:rFonts w:ascii="Arial" w:cs="Arial" w:eastAsia="Arial" w:hAnsi="Arial"/>
                <w:sz w:val="20"/>
                <w:szCs w:val="20"/>
                <w:color w:val="auto"/>
              </w:rPr>
              <w:t>Net change related to derivatives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81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20" w:type="dxa"/>
            <w:vAlign w:val="bottom"/>
            <w:gridSpan w:val="2"/>
          </w:tcPr>
          <w:p>
            <w:pPr>
              <w:spacing w:after="0" w:line="213" w:lineRule="exact"/>
              <w:rPr>
                <w:sz w:val="20"/>
                <w:szCs w:val="20"/>
                <w:color w:val="auto"/>
              </w:rPr>
            </w:pPr>
            <w:r>
              <w:rPr>
                <w:rFonts w:ascii="Arial" w:cs="Arial" w:eastAsia="Arial" w:hAnsi="Arial"/>
                <w:sz w:val="20"/>
                <w:szCs w:val="20"/>
                <w:color w:val="auto"/>
              </w:rPr>
              <w:t>Net current-period other comprehensive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2,559</w:t>
            </w:r>
          </w:p>
        </w:tc>
        <w:tc>
          <w:tcPr>
            <w:tcW w:w="0" w:type="dxa"/>
            <w:vAlign w:val="bottom"/>
          </w:tcPr>
          <w:p>
            <w:pPr>
              <w:spacing w:after="0"/>
              <w:rPr>
                <w:sz w:val="1"/>
                <w:szCs w:val="1"/>
                <w:color w:val="auto"/>
              </w:rPr>
            </w:pPr>
          </w:p>
        </w:tc>
      </w:tr>
      <w:tr>
        <w:trPr>
          <w:trHeight w:val="209"/>
        </w:trPr>
        <w:tc>
          <w:tcPr>
            <w:tcW w:w="3740" w:type="dxa"/>
            <w:vAlign w:val="bottom"/>
            <w:gridSpan w:val="3"/>
          </w:tcPr>
          <w:p>
            <w:pPr>
              <w:spacing w:after="0" w:line="208" w:lineRule="exact"/>
              <w:rPr>
                <w:sz w:val="20"/>
                <w:szCs w:val="20"/>
                <w:color w:val="auto"/>
              </w:rPr>
            </w:pPr>
            <w:r>
              <w:rPr>
                <w:rFonts w:ascii="Arial" w:cs="Arial" w:eastAsia="Arial" w:hAnsi="Arial"/>
                <w:sz w:val="20"/>
                <w:szCs w:val="20"/>
                <w:color w:val="auto"/>
              </w:rPr>
              <w:t>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Balance at December 31, 2025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(3,194)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(1,346)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(56)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(4,614)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720" w:hanging="366"/>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Net of income tax benefit of $23,000.</w:t>
      </w:r>
    </w:p>
    <w:p>
      <w:pPr>
        <w:ind w:left="720" w:hanging="366"/>
        <w:spacing w:after="0" w:line="225"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Net of income tax expense of $55,000.</w:t>
      </w:r>
    </w:p>
    <w:p>
      <w:pPr>
        <w:ind w:left="720" w:hanging="366"/>
        <w:spacing w:after="0" w:line="230"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Net of income tax expense of $25,000.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19 – FAIR VALUE MEASUREMENTS</w:t>
      </w:r>
    </w:p>
    <w:p>
      <w:pPr>
        <w:spacing w:after="0" w:line="212"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102" w:lineRule="exact"/>
        <w:rPr>
          <w:sz w:val="20"/>
          <w:szCs w:val="20"/>
          <w:color w:val="auto"/>
        </w:rPr>
      </w:pPr>
    </w:p>
    <w:p>
      <w:pPr>
        <w:ind w:left="720" w:hanging="366"/>
        <w:spacing w:after="0"/>
        <w:tabs>
          <w:tab w:leader="none" w:pos="720" w:val="left"/>
        </w:tabs>
        <w:numPr>
          <w:ilvl w:val="0"/>
          <w:numId w:val="60"/>
        </w:numPr>
        <w:rPr>
          <w:rFonts w:ascii="Wingdings" w:cs="Wingdings" w:eastAsia="Wingdings" w:hAnsi="Wingdings"/>
          <w:sz w:val="15"/>
          <w:szCs w:val="15"/>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Quoted (unadjusted) prices in active markets that are accessible at the measurement date for</w:t>
      </w:r>
    </w:p>
    <w:p>
      <w:pPr>
        <w:spacing w:after="0" w:line="26" w:lineRule="exact"/>
        <w:rPr>
          <w:rFonts w:ascii="Wingdings" w:cs="Wingdings" w:eastAsia="Wingdings" w:hAnsi="Wingdings"/>
          <w:sz w:val="15"/>
          <w:szCs w:val="15"/>
          <w:color w:val="auto"/>
        </w:rPr>
      </w:pPr>
    </w:p>
    <w:p>
      <w:pPr>
        <w:jc w:val="both"/>
        <w:ind w:left="720" w:right="40"/>
        <w:spacing w:after="0" w:line="242" w:lineRule="auto"/>
        <w:rPr>
          <w:rFonts w:ascii="Wingdings" w:cs="Wingdings" w:eastAsia="Wingdings" w:hAnsi="Wingdings"/>
          <w:sz w:val="15"/>
          <w:szCs w:val="15"/>
          <w:color w:val="auto"/>
        </w:rPr>
      </w:pPr>
      <w:r>
        <w:rPr>
          <w:rFonts w:ascii="Arial" w:cs="Arial" w:eastAsia="Arial" w:hAnsi="Arial"/>
          <w:sz w:val="20"/>
          <w:szCs w:val="20"/>
          <w:color w:val="auto"/>
        </w:rPr>
        <w:t>identical, unrestricted 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231" w:lineRule="exact"/>
        <w:rPr>
          <w:rFonts w:ascii="Wingdings" w:cs="Wingdings" w:eastAsia="Wingdings" w:hAnsi="Wingdings"/>
          <w:sz w:val="15"/>
          <w:szCs w:val="15"/>
          <w:color w:val="auto"/>
        </w:rPr>
      </w:pPr>
    </w:p>
    <w:p>
      <w:pPr>
        <w:ind w:left="720" w:hanging="366"/>
        <w:spacing w:after="0"/>
        <w:tabs>
          <w:tab w:leader="none" w:pos="720" w:val="left"/>
        </w:tabs>
        <w:numPr>
          <w:ilvl w:val="0"/>
          <w:numId w:val="60"/>
        </w:numPr>
        <w:rPr>
          <w:rFonts w:ascii="Wingdings" w:cs="Wingdings" w:eastAsia="Wingdings" w:hAnsi="Wingdings"/>
          <w:sz w:val="15"/>
          <w:szCs w:val="15"/>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Quoted prices in active markets for similar assets and liabilities, or inputs that are observable,</w:t>
      </w:r>
    </w:p>
    <w:p>
      <w:pPr>
        <w:spacing w:after="0" w:line="26" w:lineRule="exact"/>
        <w:rPr>
          <w:rFonts w:ascii="Wingdings" w:cs="Wingdings" w:eastAsia="Wingdings" w:hAnsi="Wingdings"/>
          <w:sz w:val="15"/>
          <w:szCs w:val="15"/>
          <w:color w:val="auto"/>
        </w:rPr>
      </w:pPr>
    </w:p>
    <w:p>
      <w:pPr>
        <w:jc w:val="both"/>
        <w:ind w:left="720" w:right="20"/>
        <w:spacing w:after="0" w:line="244" w:lineRule="auto"/>
        <w:rPr>
          <w:rFonts w:ascii="Wingdings" w:cs="Wingdings" w:eastAsia="Wingdings" w:hAnsi="Wingdings"/>
          <w:sz w:val="15"/>
          <w:szCs w:val="15"/>
          <w:color w:val="auto"/>
        </w:rPr>
      </w:pPr>
      <w:r>
        <w:rPr>
          <w:rFonts w:ascii="Arial" w:cs="Arial" w:eastAsia="Arial" w:hAnsi="Arial"/>
          <w:sz w:val="20"/>
          <w:szCs w:val="20"/>
          <w:color w:val="auto"/>
        </w:rPr>
        <w:t>either directly or 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2025 and 2024, we concluded that the credit valuation adjustments were not significant to the overall valuation of our derivatives.</w:t>
      </w:r>
    </w:p>
    <w:p>
      <w:pPr>
        <w:spacing w:after="0" w:line="113" w:lineRule="exact"/>
        <w:rPr>
          <w:rFonts w:ascii="Wingdings" w:cs="Wingdings" w:eastAsia="Wingdings" w:hAnsi="Wingdings"/>
          <w:sz w:val="15"/>
          <w:szCs w:val="15"/>
          <w:color w:val="auto"/>
        </w:rPr>
      </w:pPr>
    </w:p>
    <w:p>
      <w:pPr>
        <w:ind w:left="720" w:right="80" w:hanging="366"/>
        <w:spacing w:after="0" w:line="271" w:lineRule="auto"/>
        <w:tabs>
          <w:tab w:leader="none" w:pos="720" w:val="left"/>
        </w:tabs>
        <w:numPr>
          <w:ilvl w:val="0"/>
          <w:numId w:val="60"/>
        </w:numPr>
        <w:rPr>
          <w:rFonts w:ascii="Wingdings" w:cs="Wingdings" w:eastAsia="Wingdings" w:hAnsi="Wingdings"/>
          <w:sz w:val="15"/>
          <w:szCs w:val="15"/>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Unobservable inputs that are supported by little or no market activity may require significant</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in order to determine the fair value of the assets and liabilities. This category includes:</w:t>
      </w:r>
    </w:p>
    <w:p>
      <w:pPr>
        <w:spacing w:after="0" w:line="87" w:lineRule="exact"/>
        <w:rPr>
          <w:rFonts w:ascii="Wingdings" w:cs="Wingdings" w:eastAsia="Wingdings" w:hAnsi="Wingdings"/>
          <w:sz w:val="15"/>
          <w:szCs w:val="15"/>
          <w:color w:val="auto"/>
        </w:rPr>
      </w:pPr>
    </w:p>
    <w:p>
      <w:pPr>
        <w:jc w:val="both"/>
        <w:ind w:left="1080" w:hanging="366"/>
        <w:spacing w:after="0" w:line="237" w:lineRule="auto"/>
        <w:tabs>
          <w:tab w:leader="none" w:pos="1080" w:val="left"/>
        </w:tabs>
        <w:numPr>
          <w:ilvl w:val="1"/>
          <w:numId w:val="60"/>
        </w:numPr>
        <w:rPr>
          <w:rFonts w:ascii="Arial" w:cs="Arial" w:eastAsia="Arial" w:hAnsi="Arial"/>
          <w:sz w:val="19"/>
          <w:szCs w:val="19"/>
          <w:color w:val="auto"/>
        </w:rPr>
      </w:pPr>
      <w:r>
        <w:rPr>
          <w:rFonts w:ascii="Arial" w:cs="Arial" w:eastAsia="Arial" w:hAnsi="Arial"/>
          <w:sz w:val="19"/>
          <w:szCs w:val="19"/>
          <w:i w:val="1"/>
          <w:iCs w:val="1"/>
          <w:color w:val="auto"/>
        </w:rPr>
        <w:t xml:space="preserve">Debt </w:t>
      </w:r>
      <w:r>
        <w:rPr>
          <w:rFonts w:ascii="Arial" w:cs="Arial" w:eastAsia="Arial" w:hAnsi="Arial"/>
          <w:sz w:val="19"/>
          <w:szCs w:val="19"/>
          <w:color w:val="auto"/>
        </w:rPr>
        <w:t>– includes secured and unsecured notes payable, trust preferred securities and other debt</w:t>
      </w:r>
      <w:r>
        <w:rPr>
          <w:rFonts w:ascii="Arial" w:cs="Arial" w:eastAsia="Arial" w:hAnsi="Arial"/>
          <w:sz w:val="19"/>
          <w:szCs w:val="19"/>
          <w:i w:val="1"/>
          <w:iCs w:val="1"/>
          <w:color w:val="auto"/>
        </w:rPr>
        <w:t xml:space="preserve"> </w:t>
      </w:r>
      <w:r>
        <w:rPr>
          <w:rFonts w:ascii="Arial" w:cs="Arial" w:eastAsia="Arial" w:hAnsi="Arial"/>
          <w:sz w:val="19"/>
          <w:szCs w:val="19"/>
          <w:color w:val="auto"/>
        </w:rPr>
        <w:t>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101" w:lineRule="exact"/>
        <w:rPr>
          <w:rFonts w:ascii="Arial" w:cs="Arial" w:eastAsia="Arial" w:hAnsi="Arial"/>
          <w:sz w:val="19"/>
          <w:szCs w:val="19"/>
          <w:color w:val="auto"/>
        </w:rPr>
      </w:pPr>
    </w:p>
    <w:p>
      <w:pPr>
        <w:jc w:val="both"/>
        <w:ind w:left="1080" w:right="60" w:hanging="366"/>
        <w:spacing w:after="0" w:line="254"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Goodwill, Other Intangibles and Other Long-lived Assets </w:t>
      </w:r>
      <w:r>
        <w:rPr>
          <w:rFonts w:ascii="Arial" w:cs="Arial" w:eastAsia="Arial" w:hAnsi="Arial"/>
          <w:sz w:val="18"/>
          <w:szCs w:val="18"/>
          <w:color w:val="auto"/>
        </w:rPr>
        <w:t>– refer to the “</w:t>
      </w: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section in</w:t>
      </w:r>
      <w:r>
        <w:rPr>
          <w:rFonts w:ascii="Arial" w:cs="Arial" w:eastAsia="Arial" w:hAnsi="Arial"/>
          <w:sz w:val="18"/>
          <w:szCs w:val="18"/>
          <w:i w:val="1"/>
          <w:iCs w:val="1"/>
          <w:color w:val="auto"/>
        </w:rPr>
        <w:t xml:space="preserve"> Note 3 – Summary of Significant Accounting Policies </w:t>
      </w:r>
      <w:r>
        <w:rPr>
          <w:rFonts w:ascii="Arial" w:cs="Arial" w:eastAsia="Arial" w:hAnsi="Arial"/>
          <w:sz w:val="18"/>
          <w:szCs w:val="18"/>
          <w:color w:val="auto"/>
        </w:rPr>
        <w:t>for a description of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used for fair value measurements of goodwill, intangible assets and long-lived assets. Given this category represents several lines in our Consolidated Balance Sheet and since the recorded values agree to fair values, we did not include this in the subsequent tables presented.</w:t>
      </w:r>
    </w:p>
    <w:p>
      <w:pPr>
        <w:sectPr>
          <w:pgSz w:w="11900" w:h="16838" w:orient="portrait"/>
          <w:cols w:equalWidth="0" w:num="1">
            <w:col w:w="9400"/>
          </w:cols>
          <w:pgMar w:left="1260" w:top="1121" w:right="1246"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12</w:t>
      </w:r>
    </w:p>
    <w:p>
      <w:pPr>
        <w:sectPr>
          <w:pgSz w:w="11900" w:h="16838" w:orient="portrait"/>
          <w:cols w:equalWidth="0" w:num="1">
            <w:col w:w="9400"/>
          </w:cols>
          <w:pgMar w:left="1260" w:top="1121" w:right="1246" w:bottom="0" w:gutter="0" w:footer="0" w:header="0"/>
          <w:type w:val="continuous"/>
        </w:sectPr>
      </w:pPr>
    </w:p>
    <w:bookmarkStart w:id="141" w:name="page142"/>
    <w:bookmarkEnd w:id="141"/>
    <w:p>
      <w:pPr>
        <w:jc w:val="both"/>
        <w:spacing w:after="0" w:line="225" w:lineRule="auto"/>
        <w:rPr>
          <w:sz w:val="20"/>
          <w:szCs w:val="20"/>
          <w:color w:val="auto"/>
        </w:rPr>
      </w:pPr>
      <w:r>
        <w:rPr>
          <w:rFonts w:ascii="Arial" w:cs="Arial" w:eastAsia="Arial" w:hAnsi="Arial"/>
          <w:sz w:val="20"/>
          <w:szCs w:val="20"/>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 changes</w:t>
      </w:r>
    </w:p>
    <w:p>
      <w:pPr>
        <w:jc w:val="center"/>
        <w:ind w:right="-39"/>
        <w:spacing w:after="0" w:line="231" w:lineRule="auto"/>
        <w:rPr>
          <w:sz w:val="20"/>
          <w:szCs w:val="20"/>
          <w:color w:val="auto"/>
        </w:rPr>
      </w:pPr>
      <w:r>
        <w:rPr>
          <w:rFonts w:ascii="Arial" w:cs="Arial" w:eastAsia="Arial" w:hAnsi="Arial"/>
          <w:sz w:val="20"/>
          <w:szCs w:val="20"/>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4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12</w:t>
      </w:r>
    </w:p>
    <w:p>
      <w:pPr>
        <w:sectPr>
          <w:pgSz w:w="11900" w:h="16838" w:orient="portrait"/>
          <w:cols w:equalWidth="0" w:num="1">
            <w:col w:w="9340"/>
          </w:cols>
          <w:pgMar w:left="1260" w:top="1347" w:right="1306" w:bottom="0" w:gutter="0" w:footer="0" w:header="0"/>
          <w:type w:val="continuous"/>
        </w:sectPr>
      </w:pPr>
    </w:p>
    <w:bookmarkStart w:id="142" w:name="page143"/>
    <w:bookmarkEnd w:id="142"/>
    <w:p>
      <w:pPr>
        <w:ind w:right="80"/>
        <w:spacing w:after="0" w:line="227" w:lineRule="auto"/>
        <w:rPr>
          <w:sz w:val="20"/>
          <w:szCs w:val="20"/>
          <w:color w:val="auto"/>
        </w:rPr>
      </w:pPr>
      <w:r>
        <w:rPr>
          <w:rFonts w:ascii="Arial" w:cs="Arial" w:eastAsia="Arial" w:hAnsi="Arial"/>
          <w:sz w:val="20"/>
          <w:szCs w:val="20"/>
          <w:color w:val="auto"/>
        </w:rPr>
        <w:t>in the methodologies used at December 31, 2025 and 2024. Additionally, there were no transfers of assets and liabilities between Levels 1, 2, or 3 during the three years ended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Recurring Fair Value Measurements</w:t>
      </w:r>
    </w:p>
    <w:p>
      <w:pPr>
        <w:spacing w:after="0" w:line="198" w:lineRule="exact"/>
        <w:rPr>
          <w:sz w:val="20"/>
          <w:szCs w:val="20"/>
          <w:color w:val="auto"/>
        </w:rPr>
      </w:pPr>
    </w:p>
    <w:p>
      <w:pPr>
        <w:spacing w:after="0"/>
        <w:tabs>
          <w:tab w:leader="none" w:pos="460" w:val="left"/>
          <w:tab w:leader="none" w:pos="880" w:val="left"/>
          <w:tab w:leader="none" w:pos="1960" w:val="left"/>
          <w:tab w:leader="none" w:pos="2480" w:val="left"/>
          <w:tab w:leader="none" w:pos="3120" w:val="left"/>
          <w:tab w:leader="none" w:pos="3620" w:val="left"/>
          <w:tab w:leader="none" w:pos="4160" w:val="left"/>
          <w:tab w:leader="none" w:pos="5220" w:val="left"/>
          <w:tab w:leader="none" w:pos="6420" w:val="left"/>
          <w:tab w:leader="none" w:pos="6840" w:val="left"/>
          <w:tab w:leader="none" w:pos="7340" w:val="left"/>
          <w:tab w:leader="none" w:pos="8260" w:val="left"/>
          <w:tab w:leader="none" w:pos="8940" w:val="left"/>
        </w:tabs>
        <w:rPr>
          <w:sz w:val="20"/>
          <w:szCs w:val="20"/>
          <w:color w:val="auto"/>
        </w:rPr>
      </w:pPr>
      <w:r>
        <w:rPr>
          <w:rFonts w:ascii="Arial" w:cs="Arial" w:eastAsia="Arial" w:hAnsi="Arial"/>
          <w:sz w:val="20"/>
          <w:szCs w:val="20"/>
          <w:color w:val="auto"/>
        </w:rPr>
        <w:t>As</w:t>
        <w:tab/>
        <w:t>of</w:t>
        <w:tab/>
        <w:t>December</w:t>
        <w:tab/>
        <w:t>31,</w:t>
        <w:tab/>
        <w:t>2025</w:t>
        <w:tab/>
        <w:t>we</w:t>
        <w:tab/>
        <w:t>had</w:t>
        <w:tab/>
        <w:t>derivative</w:t>
        <w:tab/>
        <w:t>instruments</w:t>
        <w:tab/>
        <w:t>to</w:t>
        <w:tab/>
        <w:t>the</w:t>
        <w:tab/>
        <w:t>notional</w:t>
        <w:tab/>
        <w:t>value</w:t>
        <w:tab/>
        <w:t>of</w:t>
      </w:r>
    </w:p>
    <w:p>
      <w:pPr>
        <w:jc w:val="both"/>
        <w:ind w:right="40"/>
        <w:spacing w:after="0" w:line="226" w:lineRule="auto"/>
        <w:rPr>
          <w:sz w:val="20"/>
          <w:szCs w:val="20"/>
          <w:color w:val="auto"/>
        </w:rPr>
      </w:pPr>
      <w:r>
        <w:rPr>
          <w:rFonts w:ascii="Arial" w:cs="Arial" w:eastAsia="Arial" w:hAnsi="Arial"/>
          <w:sz w:val="20"/>
          <w:szCs w:val="20"/>
          <w:color w:val="auto"/>
        </w:rPr>
        <w:t>$32.2 million, carried and measured at fair value on a recuring basis of ($56,000). As of December 31, 2024, we had derivative instruments to the notional value of $33.0 million, carried and measured at fair value on a recuring basis of ($137,000).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Nonrecurring Fair Value Measurements</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The following tables provide information about financial assets and liabilities not carried at fair value on a nonrecurring basis in our consolidated balance sheets: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1"/>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6"/>
                <w:szCs w:val="16"/>
                <w:b w:val="1"/>
                <w:bCs w:val="1"/>
                <w:color w:val="auto"/>
                <w:w w:val="93"/>
              </w:rPr>
              <w:t>Fair Value Measurements at December 31, 2025</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700" w:type="dxa"/>
            <w:vAlign w:val="bottom"/>
            <w:gridSpan w:val="3"/>
          </w:tcPr>
          <w:p>
            <w:pPr>
              <w:ind w:left="14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Pr>
          <w:p>
            <w:pPr>
              <w:spacing w:after="0"/>
              <w:rPr>
                <w:sz w:val="19"/>
                <w:szCs w:val="19"/>
                <w:color w:val="auto"/>
              </w:rPr>
            </w:pPr>
          </w:p>
        </w:tc>
        <w:tc>
          <w:tcPr>
            <w:tcW w:w="740" w:type="dxa"/>
            <w:vAlign w:val="bottom"/>
          </w:tcPr>
          <w:p>
            <w:pPr>
              <w:jc w:val="center"/>
              <w:ind w:right="21"/>
              <w:spacing w:after="0" w:line="217" w:lineRule="exact"/>
              <w:rPr>
                <w:sz w:val="20"/>
                <w:szCs w:val="20"/>
                <w:color w:val="auto"/>
              </w:rPr>
            </w:pPr>
            <w:r>
              <w:rPr>
                <w:rFonts w:ascii="Arial" w:cs="Arial" w:eastAsia="Arial" w:hAnsi="Arial"/>
                <w:sz w:val="15"/>
                <w:szCs w:val="15"/>
                <w:b w:val="1"/>
                <w:bCs w:val="1"/>
                <w:color w:val="auto"/>
                <w:w w:val="92"/>
              </w:rPr>
              <w:t>Value</w:t>
            </w:r>
            <w:r>
              <w:rPr>
                <w:rFonts w:ascii="Arial" w:cs="Arial" w:eastAsia="Arial" w:hAnsi="Arial"/>
                <w:sz w:val="25"/>
                <w:szCs w:val="25"/>
                <w:b w:val="1"/>
                <w:bCs w:val="1"/>
                <w:color w:val="auto"/>
                <w:w w:val="92"/>
                <w:vertAlign w:val="superscript"/>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198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Financial liabilities</w:t>
            </w:r>
          </w:p>
        </w:tc>
        <w:tc>
          <w:tcPr>
            <w:tcW w:w="14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CEEFF"/>
          </w:tcPr>
          <w:p>
            <w:pPr>
              <w:ind w:left="120"/>
              <w:spacing w:after="0" w:line="173" w:lineRule="exact"/>
              <w:rPr>
                <w:sz w:val="20"/>
                <w:szCs w:val="20"/>
                <w:color w:val="auto"/>
              </w:rPr>
            </w:pPr>
            <w:r>
              <w:rPr>
                <w:rFonts w:ascii="Arial" w:cs="Arial" w:eastAsia="Arial" w:hAnsi="Arial"/>
                <w:sz w:val="16"/>
                <w:szCs w:val="16"/>
                <w:color w:val="auto"/>
              </w:rPr>
              <w:t>Notes payable</w:t>
            </w:r>
          </w:p>
        </w:tc>
        <w:tc>
          <w:tcPr>
            <w:tcW w:w="270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6"/>
                <w:szCs w:val="16"/>
                <w:color w:val="auto"/>
                <w:w w:val="99"/>
              </w:rPr>
              <w:t>Debt - current and 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157,178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4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52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155,727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155,727</w:t>
            </w:r>
          </w:p>
        </w:tc>
        <w:tc>
          <w:tcPr>
            <w:tcW w:w="0" w:type="dxa"/>
            <w:vAlign w:val="bottom"/>
          </w:tcPr>
          <w:p>
            <w:pPr>
              <w:spacing w:after="0"/>
              <w:rPr>
                <w:sz w:val="1"/>
                <w:szCs w:val="1"/>
                <w:color w:val="auto"/>
              </w:rPr>
            </w:pPr>
          </w:p>
        </w:tc>
      </w:tr>
      <w:tr>
        <w:trPr>
          <w:trHeight w:val="171"/>
        </w:trPr>
        <w:tc>
          <w:tcPr>
            <w:tcW w:w="1980" w:type="dxa"/>
            <w:vAlign w:val="bottom"/>
          </w:tcPr>
          <w:p>
            <w:pPr>
              <w:ind w:left="120"/>
              <w:spacing w:after="0" w:line="171" w:lineRule="exact"/>
              <w:rPr>
                <w:sz w:val="20"/>
                <w:szCs w:val="20"/>
                <w:color w:val="auto"/>
              </w:rPr>
            </w:pPr>
            <w:r>
              <w:rPr>
                <w:rFonts w:ascii="Arial" w:cs="Arial" w:eastAsia="Arial" w:hAnsi="Arial"/>
                <w:sz w:val="16"/>
                <w:szCs w:val="16"/>
                <w:color w:val="auto"/>
              </w:rPr>
              <w:t>Subordinated debt</w:t>
            </w:r>
          </w:p>
        </w:tc>
        <w:tc>
          <w:tcPr>
            <w:tcW w:w="2700" w:type="dxa"/>
            <w:vAlign w:val="bottom"/>
            <w:gridSpan w:val="3"/>
          </w:tcPr>
          <w:p>
            <w:pPr>
              <w:ind w:left="140"/>
              <w:spacing w:after="0" w:line="171" w:lineRule="exact"/>
              <w:rPr>
                <w:sz w:val="20"/>
                <w:szCs w:val="20"/>
                <w:color w:val="auto"/>
              </w:rPr>
            </w:pPr>
            <w:r>
              <w:rPr>
                <w:rFonts w:ascii="Arial" w:cs="Arial" w:eastAsia="Arial" w:hAnsi="Arial"/>
                <w:sz w:val="16"/>
                <w:szCs w:val="16"/>
                <w:color w:val="auto"/>
                <w:w w:val="95"/>
              </w:rPr>
              <w:t>Subordinated debt - current and long-</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27,913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ind w:left="5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27,886</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27,886</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2700" w:type="dxa"/>
            <w:vAlign w:val="bottom"/>
            <w:gridSpan w:val="3"/>
          </w:tcPr>
          <w:p>
            <w:pPr>
              <w:ind w:left="140"/>
              <w:spacing w:after="0" w:line="165" w:lineRule="exact"/>
              <w:rPr>
                <w:sz w:val="20"/>
                <w:szCs w:val="20"/>
                <w:color w:val="auto"/>
              </w:rPr>
            </w:pPr>
            <w:r>
              <w:rPr>
                <w:rFonts w:ascii="Arial" w:cs="Arial" w:eastAsia="Arial" w:hAnsi="Arial"/>
                <w:sz w:val="16"/>
                <w:szCs w:val="16"/>
                <w:color w:val="auto"/>
              </w:rPr>
              <w:t>term portion</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185,091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540"/>
              <w:spacing w:after="0" w:line="173" w:lineRule="exact"/>
              <w:rPr>
                <w:sz w:val="20"/>
                <w:szCs w:val="20"/>
                <w:color w:val="auto"/>
              </w:rPr>
            </w:pPr>
            <w:r>
              <w:rPr>
                <w:rFonts w:ascii="Arial" w:cs="Arial" w:eastAsia="Arial" w:hAnsi="Arial"/>
                <w:sz w:val="16"/>
                <w:szCs w:val="16"/>
                <w:b w:val="1"/>
                <w:bCs w:val="1"/>
                <w:color w:val="auto"/>
                <w:w w:val="87"/>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ind w:left="520"/>
              <w:spacing w:after="0" w:line="173" w:lineRule="exact"/>
              <w:rPr>
                <w:sz w:val="20"/>
                <w:szCs w:val="20"/>
                <w:color w:val="auto"/>
              </w:rPr>
            </w:pPr>
            <w:r>
              <w:rPr>
                <w:rFonts w:ascii="Arial" w:cs="Arial" w:eastAsia="Arial" w:hAnsi="Arial"/>
                <w:sz w:val="16"/>
                <w:szCs w:val="16"/>
                <w:b w:val="1"/>
                <w:bCs w:val="1"/>
                <w:color w:val="auto"/>
                <w:w w:val="87"/>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183,613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183,613</w:t>
            </w:r>
          </w:p>
        </w:tc>
        <w:tc>
          <w:tcPr>
            <w:tcW w:w="0" w:type="dxa"/>
            <w:vAlign w:val="bottom"/>
          </w:tcPr>
          <w:p>
            <w:pPr>
              <w:spacing w:after="0"/>
              <w:rPr>
                <w:sz w:val="1"/>
                <w:szCs w:val="1"/>
                <w:color w:val="auto"/>
              </w:rPr>
            </w:pPr>
          </w:p>
        </w:tc>
      </w:tr>
      <w:tr>
        <w:trPr>
          <w:trHeight w:val="680"/>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21"/>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6"/>
                <w:szCs w:val="16"/>
                <w:b w:val="1"/>
                <w:bCs w:val="1"/>
                <w:color w:val="auto"/>
                <w:w w:val="93"/>
              </w:rPr>
              <w:t>Fair Value Measurements at December 31, 2024</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700" w:type="dxa"/>
            <w:vAlign w:val="bottom"/>
            <w:gridSpan w:val="3"/>
          </w:tcPr>
          <w:p>
            <w:pPr>
              <w:ind w:left="14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Pr>
          <w:p>
            <w:pPr>
              <w:spacing w:after="0"/>
              <w:rPr>
                <w:sz w:val="19"/>
                <w:szCs w:val="19"/>
                <w:color w:val="auto"/>
              </w:rPr>
            </w:pPr>
          </w:p>
        </w:tc>
        <w:tc>
          <w:tcPr>
            <w:tcW w:w="740" w:type="dxa"/>
            <w:vAlign w:val="bottom"/>
          </w:tcPr>
          <w:p>
            <w:pPr>
              <w:jc w:val="center"/>
              <w:ind w:right="21"/>
              <w:spacing w:after="0" w:line="217" w:lineRule="exact"/>
              <w:rPr>
                <w:sz w:val="20"/>
                <w:szCs w:val="20"/>
                <w:color w:val="auto"/>
              </w:rPr>
            </w:pPr>
            <w:r>
              <w:rPr>
                <w:rFonts w:ascii="Arial" w:cs="Arial" w:eastAsia="Arial" w:hAnsi="Arial"/>
                <w:sz w:val="15"/>
                <w:szCs w:val="15"/>
                <w:b w:val="1"/>
                <w:bCs w:val="1"/>
                <w:color w:val="auto"/>
                <w:w w:val="92"/>
              </w:rPr>
              <w:t>Value</w:t>
            </w:r>
            <w:r>
              <w:rPr>
                <w:rFonts w:ascii="Arial" w:cs="Arial" w:eastAsia="Arial" w:hAnsi="Arial"/>
                <w:sz w:val="25"/>
                <w:szCs w:val="25"/>
                <w:b w:val="1"/>
                <w:bCs w:val="1"/>
                <w:color w:val="auto"/>
                <w:w w:val="92"/>
                <w:vertAlign w:val="superscript"/>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198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Financial liabilities</w:t>
            </w:r>
          </w:p>
        </w:tc>
        <w:tc>
          <w:tcPr>
            <w:tcW w:w="14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CEEFF"/>
          </w:tcPr>
          <w:p>
            <w:pPr>
              <w:ind w:left="120"/>
              <w:spacing w:after="0" w:line="173" w:lineRule="exact"/>
              <w:rPr>
                <w:sz w:val="20"/>
                <w:szCs w:val="20"/>
                <w:color w:val="auto"/>
              </w:rPr>
            </w:pPr>
            <w:r>
              <w:rPr>
                <w:rFonts w:ascii="Arial" w:cs="Arial" w:eastAsia="Arial" w:hAnsi="Arial"/>
                <w:sz w:val="16"/>
                <w:szCs w:val="16"/>
                <w:color w:val="auto"/>
              </w:rPr>
              <w:t>Notes payable</w:t>
            </w:r>
          </w:p>
        </w:tc>
        <w:tc>
          <w:tcPr>
            <w:tcW w:w="270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6"/>
                <w:szCs w:val="16"/>
                <w:color w:val="auto"/>
                <w:w w:val="99"/>
              </w:rPr>
              <w:t>Debt - current and 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174,800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4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52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174,994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174,994</w:t>
            </w:r>
          </w:p>
        </w:tc>
        <w:tc>
          <w:tcPr>
            <w:tcW w:w="0" w:type="dxa"/>
            <w:vAlign w:val="bottom"/>
          </w:tcPr>
          <w:p>
            <w:pPr>
              <w:spacing w:after="0"/>
              <w:rPr>
                <w:sz w:val="1"/>
                <w:szCs w:val="1"/>
                <w:color w:val="auto"/>
              </w:rPr>
            </w:pPr>
          </w:p>
        </w:tc>
      </w:tr>
      <w:tr>
        <w:trPr>
          <w:trHeight w:val="173"/>
        </w:trPr>
        <w:tc>
          <w:tcPr>
            <w:tcW w:w="1980" w:type="dxa"/>
            <w:vAlign w:val="bottom"/>
            <w:tcBorders>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Subordinated debt</w:t>
            </w:r>
          </w:p>
        </w:tc>
        <w:tc>
          <w:tcPr>
            <w:tcW w:w="2700" w:type="dxa"/>
            <w:vAlign w:val="bottom"/>
            <w:tcBorders>
              <w:bottom w:val="single" w:sz="8" w:color="CCEEFF"/>
            </w:tcBorders>
            <w:gridSpan w:val="3"/>
          </w:tcPr>
          <w:p>
            <w:pPr>
              <w:ind w:left="140"/>
              <w:spacing w:after="0" w:line="173" w:lineRule="exact"/>
              <w:rPr>
                <w:sz w:val="20"/>
                <w:szCs w:val="20"/>
                <w:color w:val="auto"/>
              </w:rPr>
            </w:pPr>
            <w:r>
              <w:rPr>
                <w:rFonts w:ascii="Arial" w:cs="Arial" w:eastAsia="Arial" w:hAnsi="Arial"/>
                <w:sz w:val="16"/>
                <w:szCs w:val="16"/>
                <w:color w:val="auto"/>
              </w:rPr>
              <w:t>Subordinated debt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27,913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4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520"/>
              <w:spacing w:after="0" w:line="173" w:lineRule="exact"/>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27,867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27,867</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202,713</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ind w:left="540"/>
              <w:spacing w:after="0" w:line="173" w:lineRule="exact"/>
              <w:rPr>
                <w:sz w:val="20"/>
                <w:szCs w:val="20"/>
                <w:color w:val="auto"/>
              </w:rPr>
            </w:pPr>
            <w:r>
              <w:rPr>
                <w:rFonts w:ascii="Arial" w:cs="Arial" w:eastAsia="Arial" w:hAnsi="Arial"/>
                <w:sz w:val="16"/>
                <w:szCs w:val="16"/>
                <w:b w:val="1"/>
                <w:bCs w:val="1"/>
                <w:color w:val="auto"/>
                <w:w w:val="87"/>
              </w:rPr>
              <w:t>—</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ind w:left="520"/>
              <w:spacing w:after="0" w:line="173" w:lineRule="exact"/>
              <w:rPr>
                <w:sz w:val="20"/>
                <w:szCs w:val="20"/>
                <w:color w:val="auto"/>
              </w:rPr>
            </w:pPr>
            <w:r>
              <w:rPr>
                <w:rFonts w:ascii="Arial" w:cs="Arial" w:eastAsia="Arial" w:hAnsi="Arial"/>
                <w:sz w:val="16"/>
                <w:szCs w:val="16"/>
                <w:b w:val="1"/>
                <w:bCs w:val="1"/>
                <w:color w:val="auto"/>
                <w:w w:val="87"/>
              </w:rPr>
              <w:t>—</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202,861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202,861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20" w:hanging="366"/>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These balances are presented gross of deferred financing costs.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20 – HEDGE ACCOUNTING</w:t>
      </w:r>
    </w:p>
    <w:p>
      <w:pPr>
        <w:spacing w:after="0" w:line="21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As of December 31, 2025 the Company held interest rate derivatives in the total notional amount $32.2 million (AU$ 50.0 million). As of December 31, 2024, the Company held interest rate derivatives in the total notional amount $33.0 million (AU$50.0 million).</w:t>
      </w:r>
    </w:p>
    <w:p>
      <w:pPr>
        <w:spacing w:after="0" w:line="214"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The derivatives are recorded on the balance sheet at fair value and are included in the following line items. We have no derivatives in asset positions:</w:t>
      </w:r>
    </w:p>
    <w:p>
      <w:pPr>
        <w:spacing w:after="0" w:line="246" w:lineRule="exact"/>
        <w:rPr>
          <w:sz w:val="20"/>
          <w:szCs w:val="20"/>
          <w:color w:val="auto"/>
        </w:rPr>
      </w:pPr>
    </w:p>
    <w:p>
      <w:pPr>
        <w:jc w:val="center"/>
        <w:ind w:left="2540"/>
        <w:spacing w:after="0"/>
        <w:rPr>
          <w:sz w:val="20"/>
          <w:szCs w:val="20"/>
          <w:color w:val="auto"/>
        </w:rPr>
      </w:pPr>
      <w:r>
        <w:rPr>
          <w:rFonts w:ascii="Arial" w:cs="Arial" w:eastAsia="Arial" w:hAnsi="Arial"/>
          <w:sz w:val="16"/>
          <w:szCs w:val="16"/>
          <w:b w:val="1"/>
          <w:bCs w:val="1"/>
          <w:color w:val="auto"/>
        </w:rPr>
        <w:t>Liability Derivatives</w:t>
      </w:r>
    </w:p>
    <w:p>
      <w:pPr>
        <w:jc w:val="center"/>
        <w:ind w:left="2540"/>
        <w:spacing w:after="0" w:line="228" w:lineRule="auto"/>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tcBorders>
              <w:top w:val="single" w:sz="8" w:color="auto"/>
            </w:tcBorders>
          </w:tcPr>
          <w:p>
            <w:pPr>
              <w:ind w:left="1520"/>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2"/>
          </w:tcPr>
          <w:p>
            <w:pPr>
              <w:jc w:val="right"/>
              <w:ind w:right="480"/>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40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line="173" w:lineRule="exact"/>
              <w:rPr>
                <w:sz w:val="20"/>
                <w:szCs w:val="20"/>
                <w:color w:val="auto"/>
              </w:rPr>
            </w:pPr>
            <w:r>
              <w:rPr>
                <w:rFonts w:ascii="Arial" w:cs="Arial" w:eastAsia="Arial" w:hAnsi="Arial"/>
                <w:sz w:val="16"/>
                <w:szCs w:val="16"/>
                <w:b w:val="1"/>
                <w:bCs w:val="1"/>
                <w:color w:val="auto"/>
                <w:w w:val="96"/>
              </w:rPr>
              <w:t>Fair value</w:t>
            </w:r>
          </w:p>
        </w:tc>
        <w:tc>
          <w:tcPr>
            <w:tcW w:w="140" w:type="dxa"/>
            <w:vAlign w:val="bottom"/>
            <w:tcBorders>
              <w:bottom w:val="single" w:sz="8" w:color="CCEEFF"/>
            </w:tcBorders>
          </w:tcPr>
          <w:p>
            <w:pPr>
              <w:spacing w:after="0"/>
              <w:rPr>
                <w:sz w:val="15"/>
                <w:szCs w:val="15"/>
                <w:color w:val="auto"/>
              </w:rPr>
            </w:pPr>
          </w:p>
        </w:tc>
        <w:tc>
          <w:tcPr>
            <w:tcW w:w="240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line="173" w:lineRule="exact"/>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171"/>
        </w:trPr>
        <w:tc>
          <w:tcPr>
            <w:tcW w:w="25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24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Derivative financial instruments -</w:t>
            </w: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Derivative financial instruments -</w:t>
            </w:r>
          </w:p>
        </w:tc>
        <w:tc>
          <w:tcPr>
            <w:tcW w:w="14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540" w:type="dxa"/>
            <w:vAlign w:val="bottom"/>
            <w:gridSpan w:val="2"/>
            <w:vMerge w:val="continue"/>
            <w:shd w:val="clear" w:color="auto" w:fill="CCEEFF"/>
          </w:tcPr>
          <w:p>
            <w:pPr>
              <w:spacing w:after="0"/>
              <w:rPr>
                <w:sz w:val="7"/>
                <w:szCs w:val="7"/>
                <w:color w:val="auto"/>
              </w:rPr>
            </w:pPr>
          </w:p>
        </w:tc>
        <w:tc>
          <w:tcPr>
            <w:tcW w:w="2400" w:type="dxa"/>
            <w:vAlign w:val="bottom"/>
            <w:vMerge w:val="restart"/>
            <w:shd w:val="clear" w:color="auto" w:fill="CCEEFF"/>
          </w:tcPr>
          <w:p>
            <w:pPr>
              <w:spacing w:after="0" w:line="175" w:lineRule="exact"/>
              <w:rPr>
                <w:sz w:val="20"/>
                <w:szCs w:val="20"/>
                <w:color w:val="auto"/>
              </w:rPr>
            </w:pPr>
            <w:r>
              <w:rPr>
                <w:rFonts w:ascii="Arial" w:cs="Arial" w:eastAsia="Arial" w:hAnsi="Arial"/>
                <w:sz w:val="16"/>
                <w:szCs w:val="16"/>
                <w:color w:val="auto"/>
              </w:rPr>
              <w:t>current portion</w:t>
            </w:r>
          </w:p>
        </w:tc>
        <w:tc>
          <w:tcPr>
            <w:tcW w:w="48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2540" w:type="dxa"/>
            <w:vAlign w:val="bottom"/>
            <w:gridSpan w:val="2"/>
            <w:vMerge w:val="restart"/>
            <w:shd w:val="clear" w:color="auto" w:fill="CCEEFF"/>
          </w:tcPr>
          <w:p>
            <w:pPr>
              <w:ind w:left="140"/>
              <w:spacing w:after="0" w:line="175" w:lineRule="exact"/>
              <w:rPr>
                <w:sz w:val="20"/>
                <w:szCs w:val="20"/>
                <w:color w:val="auto"/>
              </w:rPr>
            </w:pPr>
            <w:r>
              <w:rPr>
                <w:rFonts w:ascii="Arial" w:cs="Arial" w:eastAsia="Arial" w:hAnsi="Arial"/>
                <w:sz w:val="16"/>
                <w:szCs w:val="16"/>
                <w:color w:val="auto"/>
              </w:rPr>
              <w:t>current portion</w:t>
            </w:r>
          </w:p>
        </w:tc>
        <w:tc>
          <w:tcPr>
            <w:tcW w:w="14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5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6"/>
                <w:szCs w:val="16"/>
                <w:color w:val="auto"/>
              </w:rPr>
              <w:t>Derivative financial instruments -</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540" w:type="dxa"/>
            <w:vAlign w:val="bottom"/>
            <w:gridSpan w:val="2"/>
          </w:tcPr>
          <w:p>
            <w:pPr>
              <w:ind w:left="140"/>
              <w:spacing w:after="0" w:line="171" w:lineRule="exact"/>
              <w:rPr>
                <w:sz w:val="20"/>
                <w:szCs w:val="20"/>
                <w:color w:val="auto"/>
              </w:rPr>
            </w:pPr>
            <w:r>
              <w:rPr>
                <w:rFonts w:ascii="Arial" w:cs="Arial" w:eastAsia="Arial" w:hAnsi="Arial"/>
                <w:sz w:val="16"/>
                <w:szCs w:val="16"/>
                <w:color w:val="auto"/>
              </w:rPr>
              <w:t>Derivative financial instruments -</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line="175" w:lineRule="exact"/>
              <w:rPr>
                <w:sz w:val="20"/>
                <w:szCs w:val="20"/>
                <w:color w:val="auto"/>
              </w:rPr>
            </w:pPr>
            <w:r>
              <w:rPr>
                <w:rFonts w:ascii="Arial" w:cs="Arial" w:eastAsia="Arial" w:hAnsi="Arial"/>
                <w:sz w:val="16"/>
                <w:szCs w:val="16"/>
                <w:color w:val="auto"/>
              </w:rPr>
              <w:t>non-current portion</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54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non-current portion</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Total derivatives designated as</w:t>
            </w:r>
          </w:p>
        </w:tc>
        <w:tc>
          <w:tcPr>
            <w:tcW w:w="24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88"/>
        </w:trPr>
        <w:tc>
          <w:tcPr>
            <w:tcW w:w="2540" w:type="dxa"/>
            <w:vAlign w:val="bottom"/>
            <w:gridSpan w:val="2"/>
            <w:vMerge w:val="restart"/>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hedging instruments</w:t>
            </w:r>
          </w:p>
        </w:tc>
        <w:tc>
          <w:tcPr>
            <w:tcW w:w="240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540" w:type="dxa"/>
            <w:vAlign w:val="bottom"/>
            <w:tcBorders>
              <w:bottom w:val="single" w:sz="8" w:color="CCEEFF"/>
            </w:tcBorders>
            <w:gridSpan w:val="2"/>
            <w:vMerge w:val="continue"/>
            <w:shd w:val="clear" w:color="auto" w:fill="CCEEFF"/>
          </w:tcPr>
          <w:p>
            <w:pPr>
              <w:spacing w:after="0"/>
              <w:rPr>
                <w:sz w:val="8"/>
                <w:szCs w:val="8"/>
                <w:color w:val="auto"/>
              </w:rPr>
            </w:pPr>
          </w:p>
        </w:tc>
        <w:tc>
          <w:tcPr>
            <w:tcW w:w="24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4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rPr>
              <w:t>Total derivatives</w:t>
            </w:r>
          </w:p>
        </w:tc>
        <w:tc>
          <w:tcPr>
            <w:tcW w:w="2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80"/>
              <w:spacing w:after="0" w:line="163"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b w:val="1"/>
                <w:bCs w:val="1"/>
                <w:color w:val="auto"/>
              </w:rPr>
              <w:t>56</w:t>
            </w:r>
          </w:p>
        </w:tc>
        <w:tc>
          <w:tcPr>
            <w:tcW w:w="14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144"/>
              <w:spacing w:after="0" w:line="163" w:lineRule="exact"/>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The changes in fair value are recorded in Other Comprehensive Income and released into interest expense in the same period(s) in which the hedged transactions affect earnings. In 2025 and 2024, the derivative instruments affected Comprehensive Income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Location of Loss Recognized in Income on Derivatives</w:t>
            </w:r>
          </w:p>
        </w:tc>
        <w:tc>
          <w:tcPr>
            <w:tcW w:w="22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Amount of Loss Recognized in</w:t>
            </w:r>
          </w:p>
        </w:tc>
        <w:tc>
          <w:tcPr>
            <w:tcW w:w="0" w:type="dxa"/>
            <w:vAlign w:val="bottom"/>
          </w:tcPr>
          <w:p>
            <w:pPr>
              <w:spacing w:after="0"/>
              <w:rPr>
                <w:sz w:val="1"/>
                <w:szCs w:val="1"/>
                <w:color w:val="auto"/>
              </w:rPr>
            </w:pPr>
          </w:p>
        </w:tc>
      </w:tr>
      <w:tr>
        <w:trPr>
          <w:trHeight w:val="90"/>
        </w:trPr>
        <w:tc>
          <w:tcPr>
            <w:tcW w:w="2800" w:type="dxa"/>
            <w:vAlign w:val="bottom"/>
            <w:vMerge w:val="restart"/>
          </w:tcPr>
          <w:p>
            <w:pPr>
              <w:spacing w:after="0" w:line="175" w:lineRule="exact"/>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960" w:type="dxa"/>
            <w:vAlign w:val="bottom"/>
            <w:gridSpan w:val="4"/>
            <w:vMerge w:val="restart"/>
          </w:tcPr>
          <w:p>
            <w:pPr>
              <w:jc w:val="center"/>
              <w:ind w:right="220"/>
              <w:spacing w:after="0" w:line="175" w:lineRule="exact"/>
              <w:rPr>
                <w:sz w:val="20"/>
                <w:szCs w:val="20"/>
                <w:color w:val="auto"/>
              </w:rPr>
            </w:pPr>
            <w:r>
              <w:rPr>
                <w:rFonts w:ascii="Arial" w:cs="Arial" w:eastAsia="Arial" w:hAnsi="Arial"/>
                <w:sz w:val="16"/>
                <w:szCs w:val="16"/>
                <w:b w:val="1"/>
                <w:bCs w:val="1"/>
                <w:color w:val="auto"/>
                <w:w w:val="90"/>
              </w:rPr>
              <w:t>Income on Derivatives</w:t>
            </w:r>
          </w:p>
        </w:tc>
        <w:tc>
          <w:tcPr>
            <w:tcW w:w="0" w:type="dxa"/>
            <w:vAlign w:val="bottom"/>
          </w:tcPr>
          <w:p>
            <w:pPr>
              <w:spacing w:after="0"/>
              <w:rPr>
                <w:sz w:val="1"/>
                <w:szCs w:val="1"/>
                <w:color w:val="auto"/>
              </w:rPr>
            </w:pPr>
          </w:p>
        </w:tc>
      </w:tr>
      <w:tr>
        <w:trPr>
          <w:trHeight w:val="95"/>
        </w:trPr>
        <w:tc>
          <w:tcPr>
            <w:tcW w:w="2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0"/>
              <w:spacing w:after="0" w:line="173"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line="17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Interest rate contracts</w:t>
            </w:r>
          </w:p>
        </w:tc>
        <w:tc>
          <w:tcPr>
            <w:tcW w:w="12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72</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640"/>
              <w:spacing w:after="0" w:line="173" w:lineRule="exact"/>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63"/>
        </w:trPr>
        <w:tc>
          <w:tcPr>
            <w:tcW w:w="2800" w:type="dxa"/>
            <w:vAlign w:val="bottom"/>
          </w:tcPr>
          <w:p>
            <w:pPr>
              <w:spacing w:after="0" w:line="153"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4"/>
              <w:spacing w:after="0" w:line="153"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72</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6"/>
              <w:spacing w:after="0" w:line="153" w:lineRule="exact"/>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ind w:left="640"/>
              <w:spacing w:after="0" w:line="153" w:lineRule="exact"/>
              <w:rPr>
                <w:sz w:val="20"/>
                <w:szCs w:val="20"/>
                <w:color w:val="auto"/>
              </w:rPr>
            </w:pPr>
            <w:r>
              <w:rPr>
                <w:rFonts w:ascii="Arial" w:cs="Arial" w:eastAsia="Arial" w:hAnsi="Arial"/>
                <w:sz w:val="16"/>
                <w:szCs w:val="16"/>
                <w:b w:val="1"/>
                <w:bCs w:val="1"/>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13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12</w:t>
      </w:r>
    </w:p>
    <w:p>
      <w:pPr>
        <w:sectPr>
          <w:pgSz w:w="11900" w:h="16838" w:orient="portrait"/>
          <w:cols w:equalWidth="0" w:num="1">
            <w:col w:w="9400"/>
          </w:cols>
          <w:pgMar w:left="1260" w:top="1131" w:right="1246" w:bottom="0" w:gutter="0" w:footer="0" w:header="0"/>
          <w:type w:val="continuous"/>
        </w:sectPr>
      </w:pPr>
    </w:p>
    <w:bookmarkStart w:id="143" w:name="page144"/>
    <w:bookmarkEnd w:id="143"/>
    <w:p>
      <w:pPr>
        <w:jc w:val="center"/>
        <w:ind w:right="6"/>
        <w:spacing w:after="0"/>
        <w:rPr>
          <w:sz w:val="20"/>
          <w:szCs w:val="20"/>
          <w:color w:val="auto"/>
        </w:rPr>
      </w:pPr>
      <w:r>
        <w:rPr>
          <w:rFonts w:ascii="Arial" w:cs="Arial" w:eastAsia="Arial" w:hAnsi="Arial"/>
          <w:sz w:val="17"/>
          <w:szCs w:val="17"/>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39</w:t>
      </w:r>
    </w:p>
    <w:p>
      <w:pPr>
        <w:sectPr>
          <w:pgSz w:w="11900" w:h="16838" w:orient="portrait"/>
          <w:cols w:equalWidth="0" w:num="1">
            <w:col w:w="9026"/>
          </w:cols>
          <w:pgMar w:left="1440" w:top="1251" w:right="144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6"/>
              </w:rPr>
              <w:t>Loss Recognized</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center"/>
              <w:ind w:right="40"/>
              <w:spacing w:after="0" w:line="173" w:lineRule="exact"/>
              <w:rPr>
                <w:sz w:val="20"/>
                <w:szCs w:val="20"/>
                <w:color w:val="auto"/>
              </w:rPr>
            </w:pPr>
            <w:r>
              <w:rPr>
                <w:rFonts w:ascii="Arial" w:cs="Arial" w:eastAsia="Arial" w:hAnsi="Arial"/>
                <w:sz w:val="16"/>
                <w:szCs w:val="16"/>
                <w:b w:val="1"/>
                <w:bCs w:val="1"/>
                <w:color w:val="auto"/>
                <w:w w:val="95"/>
              </w:rPr>
              <w:t>in OCI on</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center"/>
              <w:ind w:right="60"/>
              <w:spacing w:after="0" w:line="173" w:lineRule="exact"/>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7"/>
          </w:tcPr>
          <w:p>
            <w:pPr>
              <w:jc w:val="center"/>
              <w:spacing w:after="0" w:line="173" w:lineRule="exact"/>
              <w:rPr>
                <w:sz w:val="20"/>
                <w:szCs w:val="20"/>
                <w:color w:val="auto"/>
              </w:rPr>
            </w:pPr>
            <w:r>
              <w:rPr>
                <w:rFonts w:ascii="Arial" w:cs="Arial" w:eastAsia="Arial" w:hAnsi="Arial"/>
                <w:sz w:val="16"/>
                <w:szCs w:val="16"/>
                <w:b w:val="1"/>
                <w:bCs w:val="1"/>
                <w:color w:val="auto"/>
                <w:w w:val="88"/>
              </w:rPr>
              <w:t>Loss Recognized in Income on Derivatives</w:t>
            </w: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center"/>
              <w:ind w:right="60"/>
              <w:spacing w:after="0" w:line="173" w:lineRule="exact"/>
              <w:rPr>
                <w:sz w:val="20"/>
                <w:szCs w:val="20"/>
                <w:color w:val="auto"/>
              </w:rPr>
            </w:pPr>
            <w:r>
              <w:rPr>
                <w:rFonts w:ascii="Arial" w:cs="Arial" w:eastAsia="Arial" w:hAnsi="Arial"/>
                <w:sz w:val="16"/>
                <w:szCs w:val="16"/>
                <w:b w:val="1"/>
                <w:bCs w:val="1"/>
                <w:color w:val="auto"/>
                <w:w w:val="91"/>
              </w:rPr>
              <w:t>(Effective</w:t>
            </w:r>
          </w:p>
        </w:tc>
        <w:tc>
          <w:tcPr>
            <w:tcW w:w="100" w:type="dxa"/>
            <w:vAlign w:val="bottom"/>
          </w:tcPr>
          <w:p>
            <w:pPr>
              <w:spacing w:after="0"/>
              <w:rPr>
                <w:sz w:val="15"/>
                <w:szCs w:val="15"/>
                <w:color w:val="auto"/>
              </w:rPr>
            </w:pPr>
          </w:p>
        </w:tc>
        <w:tc>
          <w:tcPr>
            <w:tcW w:w="3060" w:type="dxa"/>
            <w:vAlign w:val="bottom"/>
            <w:gridSpan w:val="7"/>
          </w:tcPr>
          <w:p>
            <w:pPr>
              <w:jc w:val="center"/>
              <w:spacing w:after="0" w:line="173" w:lineRule="exact"/>
              <w:rPr>
                <w:sz w:val="20"/>
                <w:szCs w:val="20"/>
                <w:color w:val="auto"/>
              </w:rPr>
            </w:pPr>
            <w:r>
              <w:rPr>
                <w:rFonts w:ascii="Arial" w:cs="Arial" w:eastAsia="Arial" w:hAnsi="Arial"/>
                <w:sz w:val="16"/>
                <w:szCs w:val="16"/>
                <w:b w:val="1"/>
                <w:bCs w:val="1"/>
                <w:color w:val="auto"/>
                <w:w w:val="90"/>
              </w:rPr>
              <w:t>Loss Reclassified from OCI into Income</w:t>
            </w:r>
          </w:p>
        </w:tc>
        <w:tc>
          <w:tcPr>
            <w:tcW w:w="100" w:type="dxa"/>
            <w:vAlign w:val="bottom"/>
          </w:tcPr>
          <w:p>
            <w:pPr>
              <w:spacing w:after="0"/>
              <w:rPr>
                <w:sz w:val="15"/>
                <w:szCs w:val="15"/>
                <w:color w:val="auto"/>
              </w:rPr>
            </w:pPr>
          </w:p>
        </w:tc>
        <w:tc>
          <w:tcPr>
            <w:tcW w:w="3080" w:type="dxa"/>
            <w:vAlign w:val="bottom"/>
            <w:gridSpan w:val="7"/>
          </w:tcPr>
          <w:p>
            <w:pPr>
              <w:jc w:val="center"/>
              <w:spacing w:after="0" w:line="173" w:lineRule="exact"/>
              <w:rPr>
                <w:sz w:val="20"/>
                <w:szCs w:val="20"/>
                <w:color w:val="auto"/>
              </w:rPr>
            </w:pPr>
            <w:r>
              <w:rPr>
                <w:rFonts w:ascii="Arial" w:cs="Arial" w:eastAsia="Arial" w:hAnsi="Arial"/>
                <w:sz w:val="16"/>
                <w:szCs w:val="16"/>
                <w:b w:val="1"/>
                <w:bCs w:val="1"/>
                <w:color w:val="auto"/>
                <w:w w:val="91"/>
              </w:rPr>
              <w:t>(Ineffective Portion and Amount Excluded</w:t>
            </w:r>
          </w:p>
        </w:tc>
      </w:tr>
      <w:tr>
        <w:trPr>
          <w:trHeight w:val="185"/>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right="20"/>
              <w:spacing w:after="0" w:line="175" w:lineRule="exact"/>
              <w:rPr>
                <w:sz w:val="20"/>
                <w:szCs w:val="20"/>
                <w:color w:val="auto"/>
              </w:rPr>
            </w:pPr>
            <w:r>
              <w:rPr>
                <w:rFonts w:ascii="Arial" w:cs="Arial" w:eastAsia="Arial" w:hAnsi="Arial"/>
                <w:sz w:val="16"/>
                <w:szCs w:val="16"/>
                <w:b w:val="1"/>
                <w:bCs w:val="1"/>
                <w:color w:val="auto"/>
                <w:w w:val="94"/>
              </w:rPr>
              <w:t>Portion)</w:t>
            </w:r>
          </w:p>
        </w:tc>
        <w:tc>
          <w:tcPr>
            <w:tcW w:w="100" w:type="dxa"/>
            <w:vAlign w:val="bottom"/>
          </w:tcPr>
          <w:p>
            <w:pPr>
              <w:spacing w:after="0"/>
              <w:rPr>
                <w:sz w:val="16"/>
                <w:szCs w:val="16"/>
                <w:color w:val="auto"/>
              </w:rPr>
            </w:pPr>
          </w:p>
        </w:tc>
        <w:tc>
          <w:tcPr>
            <w:tcW w:w="2480" w:type="dxa"/>
            <w:vAlign w:val="bottom"/>
            <w:tcBorders>
              <w:bottom w:val="single" w:sz="8" w:color="auto"/>
            </w:tcBorders>
            <w:gridSpan w:val="5"/>
          </w:tcPr>
          <w:p>
            <w:pPr>
              <w:jc w:val="center"/>
              <w:ind w:left="500"/>
              <w:spacing w:after="0" w:line="175" w:lineRule="exact"/>
              <w:rPr>
                <w:sz w:val="20"/>
                <w:szCs w:val="20"/>
                <w:color w:val="auto"/>
              </w:rPr>
            </w:pPr>
            <w:r>
              <w:rPr>
                <w:rFonts w:ascii="Arial" w:cs="Arial" w:eastAsia="Arial" w:hAnsi="Arial"/>
                <w:sz w:val="16"/>
                <w:szCs w:val="16"/>
                <w:b w:val="1"/>
                <w:bCs w:val="1"/>
                <w:color w:val="auto"/>
                <w:w w:val="91"/>
              </w:rPr>
              <w:t>(Effective Portion)</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6"/>
          </w:tcPr>
          <w:p>
            <w:pPr>
              <w:jc w:val="center"/>
              <w:ind w:left="400"/>
              <w:spacing w:after="0" w:line="175" w:lineRule="exact"/>
              <w:rPr>
                <w:sz w:val="20"/>
                <w:szCs w:val="20"/>
                <w:color w:val="auto"/>
              </w:rPr>
            </w:pPr>
            <w:r>
              <w:rPr>
                <w:rFonts w:ascii="Arial" w:cs="Arial" w:eastAsia="Arial" w:hAnsi="Arial"/>
                <w:sz w:val="16"/>
                <w:szCs w:val="16"/>
                <w:b w:val="1"/>
                <w:bCs w:val="1"/>
                <w:color w:val="auto"/>
                <w:w w:val="87"/>
              </w:rPr>
              <w:t>from Effectiveness Testing)</w:t>
            </w:r>
          </w:p>
        </w:tc>
        <w:tc>
          <w:tcPr>
            <w:tcW w:w="480" w:type="dxa"/>
            <w:vAlign w:val="bottom"/>
            <w:tcBorders>
              <w:bottom w:val="single" w:sz="8" w:color="auto"/>
            </w:tcBorders>
          </w:tcPr>
          <w:p>
            <w:pPr>
              <w:spacing w:after="0"/>
              <w:rPr>
                <w:sz w:val="16"/>
                <w:szCs w:val="16"/>
                <w:color w:val="auto"/>
              </w:rPr>
            </w:pPr>
          </w:p>
        </w:tc>
      </w:tr>
      <w:tr>
        <w:trPr>
          <w:trHeight w:val="183"/>
        </w:trPr>
        <w:tc>
          <w:tcPr>
            <w:tcW w:w="1800" w:type="dxa"/>
            <w:vAlign w:val="bottom"/>
            <w:gridSpan w:val="2"/>
          </w:tcPr>
          <w:p>
            <w:pPr>
              <w:spacing w:after="0" w:line="173" w:lineRule="exact"/>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5"/>
                <w:szCs w:val="15"/>
                <w:color w:val="auto"/>
              </w:rPr>
            </w:pPr>
          </w:p>
        </w:tc>
        <w:tc>
          <w:tcPr>
            <w:tcW w:w="1160" w:type="dxa"/>
            <w:vAlign w:val="bottom"/>
            <w:gridSpan w:val="5"/>
          </w:tcPr>
          <w:p>
            <w:pPr>
              <w:jc w:val="center"/>
              <w:spacing w:after="0" w:line="173" w:lineRule="exact"/>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5"/>
                <w:szCs w:val="15"/>
                <w:color w:val="auto"/>
              </w:rPr>
            </w:pPr>
          </w:p>
        </w:tc>
        <w:tc>
          <w:tcPr>
            <w:tcW w:w="1720" w:type="dxa"/>
            <w:vAlign w:val="bottom"/>
          </w:tcPr>
          <w:p>
            <w:pPr>
              <w:ind w:left="520"/>
              <w:spacing w:after="0" w:line="173" w:lineRule="exact"/>
              <w:rPr>
                <w:sz w:val="20"/>
                <w:szCs w:val="20"/>
                <w:color w:val="auto"/>
              </w:rPr>
            </w:pPr>
            <w:r>
              <w:rPr>
                <w:rFonts w:ascii="Arial" w:cs="Arial" w:eastAsia="Arial" w:hAnsi="Arial"/>
                <w:sz w:val="16"/>
                <w:szCs w:val="16"/>
                <w:b w:val="1"/>
                <w:bCs w:val="1"/>
                <w:color w:val="auto"/>
              </w:rPr>
              <w:t>Line Item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jc w:val="right"/>
              <w:ind w:right="260"/>
              <w:spacing w:after="0" w:line="173"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720" w:type="dxa"/>
            <w:vAlign w:val="bottom"/>
          </w:tcPr>
          <w:p>
            <w:pPr>
              <w:ind w:left="520"/>
              <w:spacing w:after="0" w:line="173" w:lineRule="exact"/>
              <w:rPr>
                <w:sz w:val="20"/>
                <w:szCs w:val="20"/>
                <w:color w:val="auto"/>
              </w:rPr>
            </w:pPr>
            <w:r>
              <w:rPr>
                <w:rFonts w:ascii="Arial" w:cs="Arial" w:eastAsia="Arial" w:hAnsi="Arial"/>
                <w:sz w:val="16"/>
                <w:szCs w:val="16"/>
                <w:b w:val="1"/>
                <w:bCs w:val="1"/>
                <w:color w:val="auto"/>
              </w:rPr>
              <w:t>Line Item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ind w:left="240"/>
              <w:spacing w:after="0" w:line="173" w:lineRule="exact"/>
              <w:rPr>
                <w:sz w:val="20"/>
                <w:szCs w:val="20"/>
                <w:color w:val="auto"/>
              </w:rPr>
            </w:pPr>
            <w:r>
              <w:rPr>
                <w:rFonts w:ascii="Arial" w:cs="Arial" w:eastAsia="Arial" w:hAnsi="Arial"/>
                <w:sz w:val="16"/>
                <w:szCs w:val="16"/>
                <w:b w:val="1"/>
                <w:bCs w:val="1"/>
                <w:color w:val="auto"/>
              </w:rPr>
              <w:t>Amount</w:t>
            </w:r>
          </w:p>
        </w:tc>
      </w:tr>
      <w:tr>
        <w:trPr>
          <w:trHeight w:val="183"/>
        </w:trPr>
        <w:tc>
          <w:tcPr>
            <w:tcW w:w="17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b w:val="1"/>
                <w:bCs w:val="1"/>
                <w:color w:val="auto"/>
                <w:w w:val="95"/>
              </w:rPr>
              <w:t>2025</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5"/>
                <w:szCs w:val="15"/>
                <w:color w:val="auto"/>
              </w:rPr>
            </w:pPr>
          </w:p>
        </w:tc>
        <w:tc>
          <w:tcPr>
            <w:tcW w:w="17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b w:val="1"/>
                <w:bCs w:val="1"/>
                <w:color w:val="auto"/>
                <w:w w:val="89"/>
              </w:rPr>
              <w:t>2025</w:t>
            </w:r>
          </w:p>
        </w:tc>
        <w:tc>
          <w:tcPr>
            <w:tcW w:w="1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CCEEFF"/>
            </w:tcBorders>
          </w:tcPr>
          <w:p>
            <w:pPr>
              <w:spacing w:after="0"/>
              <w:rPr>
                <w:sz w:val="15"/>
                <w:szCs w:val="15"/>
                <w:color w:val="auto"/>
              </w:rPr>
            </w:pPr>
          </w:p>
        </w:tc>
        <w:tc>
          <w:tcPr>
            <w:tcW w:w="17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b w:val="1"/>
                <w:bCs w:val="1"/>
                <w:color w:val="auto"/>
                <w:w w:val="89"/>
              </w:rPr>
              <w:t>2025</w:t>
            </w:r>
          </w:p>
        </w:tc>
        <w:tc>
          <w:tcPr>
            <w:tcW w:w="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193"/>
        </w:trPr>
        <w:tc>
          <w:tcPr>
            <w:tcW w:w="1800" w:type="dxa"/>
            <w:vAlign w:val="bottom"/>
            <w:tcBorders>
              <w:bottom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Interest rate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137</w:t>
            </w:r>
          </w:p>
        </w:tc>
        <w:tc>
          <w:tcPr>
            <w:tcW w:w="182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Arial" w:cs="Arial" w:eastAsia="Arial" w:hAnsi="Arial"/>
                <w:sz w:val="16"/>
                <w:szCs w:val="16"/>
                <w:color w:val="auto"/>
              </w:rPr>
              <w:t>Interest expense, net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300"/>
              <w:spacing w:after="0" w:line="173" w:lineRule="exact"/>
              <w:rPr>
                <w:sz w:val="20"/>
                <w:szCs w:val="20"/>
                <w:color w:val="auto"/>
              </w:rPr>
            </w:pPr>
            <w:r>
              <w:rPr>
                <w:rFonts w:ascii="Arial" w:cs="Arial" w:eastAsia="Arial" w:hAnsi="Arial"/>
                <w:sz w:val="16"/>
                <w:szCs w:val="16"/>
                <w:color w:val="auto"/>
                <w:w w:val="87"/>
              </w:rPr>
              <w:t>—</w:t>
            </w:r>
          </w:p>
        </w:tc>
        <w:tc>
          <w:tcPr>
            <w:tcW w:w="182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tcBorders>
              <w:bottom w:val="single" w:sz="8" w:color="auto"/>
            </w:tcBorders>
            <w:shd w:val="clear" w:color="auto" w:fill="CCEEFF"/>
          </w:tcPr>
          <w:p>
            <w:pPr>
              <w:ind w:left="320"/>
              <w:spacing w:after="0" w:line="173" w:lineRule="exact"/>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320"/>
              <w:spacing w:after="0" w:line="173" w:lineRule="exact"/>
              <w:rPr>
                <w:sz w:val="20"/>
                <w:szCs w:val="20"/>
                <w:color w:val="auto"/>
              </w:rPr>
            </w:pPr>
            <w:r>
              <w:rPr>
                <w:rFonts w:ascii="Arial" w:cs="Arial" w:eastAsia="Arial" w:hAnsi="Arial"/>
                <w:sz w:val="16"/>
                <w:szCs w:val="16"/>
                <w:color w:val="auto"/>
                <w:w w:val="87"/>
              </w:rPr>
              <w:t>—</w:t>
            </w:r>
          </w:p>
        </w:tc>
      </w:tr>
      <w:tr>
        <w:trPr>
          <w:trHeight w:val="163"/>
        </w:trPr>
        <w:tc>
          <w:tcPr>
            <w:tcW w:w="1800" w:type="dxa"/>
            <w:vAlign w:val="bottom"/>
            <w:gridSpan w:val="2"/>
          </w:tcPr>
          <w:p>
            <w:pPr>
              <w:spacing w:after="0" w:line="153" w:lineRule="exact"/>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(18)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ind w:left="300"/>
              <w:spacing w:after="0" w:line="153" w:lineRule="exact"/>
              <w:rPr>
                <w:sz w:val="20"/>
                <w:szCs w:val="20"/>
                <w:color w:val="auto"/>
              </w:rPr>
            </w:pPr>
            <w:r>
              <w:rPr>
                <w:rFonts w:ascii="Arial" w:cs="Arial" w:eastAsia="Arial" w:hAnsi="Arial"/>
                <w:sz w:val="16"/>
                <w:szCs w:val="16"/>
                <w:b w:val="1"/>
                <w:bCs w:val="1"/>
                <w:color w:val="auto"/>
                <w:w w:val="87"/>
              </w:rPr>
              <w:t>—</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ind w:left="320"/>
              <w:spacing w:after="0" w:line="153" w:lineRule="exact"/>
              <w:rPr>
                <w:sz w:val="20"/>
                <w:szCs w:val="20"/>
                <w:color w:val="auto"/>
              </w:rPr>
            </w:pPr>
            <w:r>
              <w:rPr>
                <w:rFonts w:ascii="Arial" w:cs="Arial" w:eastAsia="Arial" w:hAnsi="Arial"/>
                <w:sz w:val="16"/>
                <w:szCs w:val="16"/>
                <w:b w:val="1"/>
                <w:bCs w:val="1"/>
                <w:color w:val="auto"/>
                <w:w w:val="87"/>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ind w:left="320"/>
              <w:spacing w:after="0" w:line="153" w:lineRule="exact"/>
              <w:rPr>
                <w:sz w:val="20"/>
                <w:szCs w:val="20"/>
                <w:color w:val="auto"/>
              </w:rPr>
            </w:pPr>
            <w:r>
              <w:rPr>
                <w:rFonts w:ascii="Arial" w:cs="Arial" w:eastAsia="Arial" w:hAnsi="Arial"/>
                <w:sz w:val="16"/>
                <w:szCs w:val="16"/>
                <w:b w:val="1"/>
                <w:bCs w:val="1"/>
                <w:color w:val="auto"/>
                <w:w w:val="87"/>
              </w:rPr>
              <w: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we expect to release $54,000 to earnings.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21 – RELATED PARTIES</w:t>
      </w:r>
    </w:p>
    <w:p>
      <w:pPr>
        <w:spacing w:after="0" w:line="212" w:lineRule="exact"/>
        <w:rPr>
          <w:sz w:val="20"/>
          <w:szCs w:val="20"/>
          <w:color w:val="auto"/>
        </w:rPr>
      </w:pPr>
    </w:p>
    <w:p>
      <w:pPr>
        <w:ind w:right="380"/>
        <w:spacing w:after="0" w:line="227" w:lineRule="auto"/>
        <w:rPr>
          <w:sz w:val="20"/>
          <w:szCs w:val="20"/>
          <w:color w:val="auto"/>
        </w:rPr>
      </w:pPr>
      <w:r>
        <w:rPr>
          <w:rFonts w:ascii="Arial" w:cs="Arial" w:eastAsia="Arial" w:hAnsi="Arial"/>
          <w:sz w:val="20"/>
          <w:szCs w:val="20"/>
          <w:color w:val="auto"/>
        </w:rPr>
        <w:t>The following table identifies our related parties as of December 31, 2025, in accordance with ASC 850, Related Party Transactions:</w:t>
      </w:r>
    </w:p>
    <w:p>
      <w:pPr>
        <w:spacing w:after="0" w:line="245" w:lineRule="exact"/>
        <w:rPr>
          <w:sz w:val="20"/>
          <w:szCs w:val="20"/>
          <w:color w:val="auto"/>
        </w:rPr>
      </w:pPr>
    </w:p>
    <w:p>
      <w:pPr>
        <w:ind w:left="960"/>
        <w:spacing w:after="0"/>
        <w:tabs>
          <w:tab w:leader="none" w:pos="3280" w:val="left"/>
          <w:tab w:leader="none" w:pos="6600" w:val="left"/>
        </w:tabs>
        <w:rPr>
          <w:sz w:val="20"/>
          <w:szCs w:val="20"/>
          <w:color w:val="auto"/>
        </w:rPr>
      </w:pPr>
      <w:r>
        <w:rPr>
          <w:rFonts w:ascii="Arial" w:cs="Arial" w:eastAsia="Arial" w:hAnsi="Arial"/>
          <w:sz w:val="16"/>
          <w:szCs w:val="16"/>
          <w:b w:val="1"/>
          <w:bCs w:val="1"/>
          <w:color w:val="auto"/>
        </w:rPr>
        <w:t>Categories</w:t>
      </w:r>
      <w:r>
        <w:rPr>
          <w:sz w:val="20"/>
          <w:szCs w:val="20"/>
          <w:color w:val="auto"/>
        </w:rPr>
        <w:tab/>
      </w:r>
      <w:r>
        <w:rPr>
          <w:rFonts w:ascii="Arial" w:cs="Arial" w:eastAsia="Arial" w:hAnsi="Arial"/>
          <w:sz w:val="16"/>
          <w:szCs w:val="16"/>
          <w:b w:val="1"/>
          <w:bCs w:val="1"/>
          <w:color w:val="auto"/>
        </w:rPr>
        <w:t>Related Parties</w:t>
      </w:r>
      <w:r>
        <w:rPr>
          <w:sz w:val="20"/>
          <w:szCs w:val="20"/>
          <w:color w:val="auto"/>
        </w:rPr>
        <w:tab/>
      </w:r>
      <w:r>
        <w:rPr>
          <w:rFonts w:ascii="Arial" w:cs="Arial" w:eastAsia="Arial" w:hAnsi="Arial"/>
          <w:sz w:val="13"/>
          <w:szCs w:val="13"/>
          <w:b w:val="1"/>
          <w:bCs w:val="1"/>
          <w:color w:val="auto"/>
        </w:rPr>
        <w:t>Discussion Notes</w:t>
      </w:r>
    </w:p>
    <w:p>
      <w:pPr>
        <w:ind w:left="260" w:hanging="251"/>
        <w:spacing w:after="0" w:line="231" w:lineRule="auto"/>
        <w:tabs>
          <w:tab w:leader="none" w:pos="260" w:val="left"/>
        </w:tabs>
        <w:numPr>
          <w:ilvl w:val="0"/>
          <w:numId w:val="62"/>
        </w:numPr>
        <w:rPr>
          <w:rFonts w:ascii="Wingdings" w:cs="Wingdings" w:eastAsia="Wingdings" w:hAnsi="Wingdings"/>
          <w:sz w:val="18"/>
          <w:szCs w:val="18"/>
          <w:color w:val="auto"/>
        </w:rPr>
      </w:pPr>
      <w:r>
        <w:rPr>
          <w:rFonts w:ascii="Arial" w:cs="Arial" w:eastAsia="Arial" w:hAnsi="Arial"/>
          <w:sz w:val="18"/>
          <w:szCs w:val="18"/>
          <w:color w:val="auto"/>
        </w:rPr>
        <w:t xml:space="preserve">Principal Owners and immediate </w:t>
      </w:r>
      <w:r>
        <w:rPr>
          <w:rFonts w:ascii="Wingdings" w:cs="Wingdings" w:eastAsia="Wingdings" w:hAnsi="Wingdings"/>
          <w:sz w:val="18"/>
          <w:szCs w:val="18"/>
          <w:color w:val="auto"/>
        </w:rPr>
        <w:t></w:t>
      </w:r>
      <w:r>
        <w:rPr>
          <w:rFonts w:ascii="Arial" w:cs="Arial" w:eastAsia="Arial" w:hAnsi="Arial"/>
          <w:sz w:val="18"/>
          <w:szCs w:val="18"/>
          <w:color w:val="auto"/>
        </w:rPr>
        <w:t xml:space="preserve"> Cotter Family’s Estate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-124460</wp:posOffset>
            </wp:positionV>
            <wp:extent cx="2787015" cy="641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extLst>
                        <a:ext uri="{28A0092B-C50C-407E-A947-70E740481C1C}"/>
                      </a:extLst>
                    </a:blip>
                    <a:srcRect/>
                    <a:stretch>
                      <a:fillRect/>
                    </a:stretch>
                  </pic:blipFill>
                  <pic:spPr bwMode="auto">
                    <a:xfrm>
                      <a:off x="0" y="0"/>
                      <a:ext cx="2787015" cy="641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20" w:type="dxa"/>
            <w:vAlign w:val="bottom"/>
          </w:tcPr>
          <w:p>
            <w:pPr>
              <w:ind w:left="200"/>
              <w:spacing w:after="0"/>
              <w:rPr>
                <w:sz w:val="20"/>
                <w:szCs w:val="20"/>
                <w:color w:val="auto"/>
              </w:rPr>
            </w:pPr>
            <w:r>
              <w:rPr>
                <w:rFonts w:ascii="Arial" w:cs="Arial" w:eastAsia="Arial" w:hAnsi="Arial"/>
                <w:sz w:val="18"/>
                <w:szCs w:val="18"/>
                <w:color w:val="auto"/>
              </w:rPr>
              <w:t>families</w:t>
            </w:r>
          </w:p>
        </w:tc>
        <w:tc>
          <w:tcPr>
            <w:tcW w:w="2360" w:type="dxa"/>
            <w:vAlign w:val="bottom"/>
          </w:tcPr>
          <w:p>
            <w:pPr>
              <w:ind w:left="340"/>
              <w:spacing w:after="0"/>
              <w:rPr>
                <w:sz w:val="20"/>
                <w:szCs w:val="20"/>
                <w:color w:val="auto"/>
              </w:rPr>
            </w:pPr>
            <w:r>
              <w:rPr>
                <w:rFonts w:ascii="Arial" w:cs="Arial" w:eastAsia="Arial" w:hAnsi="Arial"/>
                <w:sz w:val="18"/>
                <w:szCs w:val="18"/>
                <w:color w:val="auto"/>
              </w:rPr>
              <w:t>Living Trust (controlling</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360" w:type="dxa"/>
            <w:vAlign w:val="bottom"/>
          </w:tcPr>
          <w:p>
            <w:pPr>
              <w:ind w:left="340"/>
              <w:spacing w:after="0" w:line="195" w:lineRule="exact"/>
              <w:rPr>
                <w:sz w:val="20"/>
                <w:szCs w:val="20"/>
                <w:color w:val="auto"/>
              </w:rPr>
            </w:pPr>
            <w:r>
              <w:rPr>
                <w:rFonts w:ascii="Arial" w:cs="Arial" w:eastAsia="Arial" w:hAnsi="Arial"/>
                <w:sz w:val="18"/>
                <w:szCs w:val="18"/>
                <w:color w:val="auto"/>
              </w:rPr>
              <w:t>family)</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2360" w:type="dxa"/>
            <w:vAlign w:val="bottom"/>
          </w:tcPr>
          <w:p>
            <w:pPr>
              <w:ind w:left="140"/>
              <w:spacing w:after="0" w:line="200" w:lineRule="exact"/>
              <w:rPr>
                <w:sz w:val="20"/>
                <w:szCs w:val="20"/>
                <w:color w:val="auto"/>
              </w:rPr>
            </w:pPr>
            <w:r>
              <w:rPr>
                <w:rFonts w:ascii="Wingdings" w:cs="Wingdings" w:eastAsia="Wingdings" w:hAnsi="Wingdings"/>
                <w:sz w:val="18"/>
                <w:szCs w:val="18"/>
                <w:color w:val="auto"/>
                <w:w w:val="94"/>
              </w:rPr>
              <w:t xml:space="preserve"> </w:t>
            </w:r>
            <w:r>
              <w:rPr>
                <w:rFonts w:ascii="Arial" w:cs="Arial" w:eastAsia="Arial" w:hAnsi="Arial"/>
                <w:sz w:val="18"/>
                <w:szCs w:val="18"/>
                <w:color w:val="auto"/>
                <w:w w:val="94"/>
              </w:rPr>
              <w:t>Mark Cuban (above 10%</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voting ownership)</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line="200" w:lineRule="exact"/>
              <w:rPr>
                <w:sz w:val="20"/>
                <w:szCs w:val="20"/>
                <w:color w:val="auto"/>
              </w:rPr>
            </w:pPr>
            <w:r>
              <w:rPr>
                <w:rFonts w:ascii="Wingdings" w:cs="Wingdings" w:eastAsia="Wingdings" w:hAnsi="Wingdings"/>
                <w:sz w:val="18"/>
                <w:szCs w:val="18"/>
                <w:color w:val="auto"/>
                <w:w w:val="99"/>
              </w:rPr>
              <w:t xml:space="preserve"> </w:t>
            </w:r>
            <w:r>
              <w:rPr>
                <w:rFonts w:ascii="Arial" w:cs="Arial" w:eastAsia="Arial" w:hAnsi="Arial"/>
                <w:sz w:val="18"/>
                <w:szCs w:val="18"/>
                <w:color w:val="auto"/>
                <w:w w:val="99"/>
              </w:rPr>
              <w:t>Key Executive Officers and</w:t>
            </w:r>
          </w:p>
        </w:tc>
        <w:tc>
          <w:tcPr>
            <w:tcW w:w="2360" w:type="dxa"/>
            <w:vAlign w:val="bottom"/>
          </w:tcPr>
          <w:p>
            <w:pPr>
              <w:ind w:left="140"/>
              <w:spacing w:after="0" w:line="200"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Ellen M. Cotter</w:t>
            </w:r>
          </w:p>
        </w:tc>
        <w:tc>
          <w:tcPr>
            <w:tcW w:w="4520" w:type="dxa"/>
            <w:vAlign w:val="bottom"/>
            <w:gridSpan w:val="3"/>
          </w:tcPr>
          <w:p>
            <w:pPr>
              <w:ind w:left="140"/>
              <w:spacing w:after="0" w:line="200"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8"/>
                <w:szCs w:val="18"/>
                <w:color w:val="auto"/>
              </w:rPr>
              <w:t>immediate families</w:t>
            </w:r>
          </w:p>
        </w:tc>
        <w:tc>
          <w:tcPr>
            <w:tcW w:w="2360" w:type="dxa"/>
            <w:vAlign w:val="bottom"/>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Margaret Cotter</w:t>
            </w:r>
          </w:p>
        </w:tc>
        <w:tc>
          <w:tcPr>
            <w:tcW w:w="4520" w:type="dxa"/>
            <w:vAlign w:val="bottom"/>
            <w:gridSpan w:val="3"/>
          </w:tcPr>
          <w:p>
            <w:pPr>
              <w:ind w:left="140"/>
              <w:spacing w:after="0"/>
              <w:rPr>
                <w:sz w:val="20"/>
                <w:szCs w:val="20"/>
                <w:color w:val="auto"/>
              </w:rPr>
            </w:pPr>
            <w:r>
              <w:rPr>
                <w:rFonts w:ascii="Wingdings" w:cs="Wingdings" w:eastAsia="Wingdings" w:hAnsi="Wingdings"/>
                <w:sz w:val="18"/>
                <w:szCs w:val="18"/>
                <w:color w:val="auto"/>
                <w:w w:val="93"/>
              </w:rPr>
              <w:t xml:space="preserve"> </w:t>
            </w:r>
            <w:r>
              <w:rPr>
                <w:rFonts w:ascii="Arial" w:cs="Arial" w:eastAsia="Arial" w:hAnsi="Arial"/>
                <w:sz w:val="18"/>
                <w:szCs w:val="18"/>
                <w:color w:val="auto"/>
                <w:w w:val="93"/>
              </w:rPr>
              <w:t>EVP Real Estate Development and Management (NY)</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Gilbert Avanes</w:t>
            </w:r>
          </w:p>
        </w:tc>
        <w:tc>
          <w:tcPr>
            <w:tcW w:w="4520" w:type="dxa"/>
            <w:vAlign w:val="bottom"/>
            <w:gridSpan w:val="3"/>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EVP Chief Financial Officer and Treasurer</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S Craig Tompkins</w:t>
            </w:r>
          </w:p>
        </w:tc>
        <w:tc>
          <w:tcPr>
            <w:tcW w:w="4520" w:type="dxa"/>
            <w:vAlign w:val="bottom"/>
            <w:gridSpan w:val="3"/>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EVP General Counsel</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Robert F. Smerling</w:t>
            </w:r>
          </w:p>
        </w:tc>
        <w:tc>
          <w:tcPr>
            <w:tcW w:w="4520" w:type="dxa"/>
            <w:vAlign w:val="bottom"/>
            <w:gridSpan w:val="3"/>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President – U.S. Cinemas</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Mark Douglas</w:t>
            </w:r>
          </w:p>
        </w:tc>
        <w:tc>
          <w:tcPr>
            <w:tcW w:w="4520" w:type="dxa"/>
            <w:vAlign w:val="bottom"/>
            <w:gridSpan w:val="3"/>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Managing Director, Australia and New Zealand</w:t>
            </w:r>
          </w:p>
        </w:tc>
        <w:tc>
          <w:tcPr>
            <w:tcW w:w="0" w:type="dxa"/>
            <w:vAlign w:val="bottom"/>
          </w:tcPr>
          <w:p>
            <w:pPr>
              <w:spacing w:after="0"/>
              <w:rPr>
                <w:sz w:val="1"/>
                <w:szCs w:val="1"/>
                <w:color w:val="auto"/>
              </w:rPr>
            </w:pPr>
          </w:p>
        </w:tc>
      </w:tr>
      <w:tr>
        <w:trPr>
          <w:trHeight w:val="200"/>
        </w:trPr>
        <w:tc>
          <w:tcPr>
            <w:tcW w:w="2520" w:type="dxa"/>
            <w:vAlign w:val="bottom"/>
            <w:shd w:val="clear" w:color="auto" w:fill="CCEEFF"/>
          </w:tcPr>
          <w:p>
            <w:pPr>
              <w:spacing w:after="0" w:line="200" w:lineRule="exact"/>
              <w:rPr>
                <w:sz w:val="20"/>
                <w:szCs w:val="20"/>
                <w:color w:val="auto"/>
              </w:rPr>
            </w:pPr>
            <w:r>
              <w:rPr>
                <w:rFonts w:ascii="Wingdings" w:cs="Wingdings" w:eastAsia="Wingdings" w:hAnsi="Wingdings"/>
                <w:sz w:val="18"/>
                <w:szCs w:val="18"/>
                <w:color w:val="auto"/>
                <w:w w:val="92"/>
              </w:rPr>
              <w:t xml:space="preserve"> </w:t>
            </w:r>
            <w:r>
              <w:rPr>
                <w:rFonts w:ascii="Arial" w:cs="Arial" w:eastAsia="Arial" w:hAnsi="Arial"/>
                <w:sz w:val="18"/>
                <w:szCs w:val="18"/>
                <w:color w:val="auto"/>
                <w:w w:val="92"/>
              </w:rPr>
              <w:t>Investments in Joint Ventures</w:t>
            </w:r>
          </w:p>
        </w:tc>
        <w:tc>
          <w:tcPr>
            <w:tcW w:w="2360" w:type="dxa"/>
            <w:vAlign w:val="bottom"/>
            <w:shd w:val="clear" w:color="auto" w:fill="CCEEFF"/>
          </w:tcPr>
          <w:p>
            <w:pPr>
              <w:ind w:left="140"/>
              <w:spacing w:after="0" w:line="200"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Rialto Cinemas</w:t>
            </w:r>
          </w:p>
        </w:tc>
        <w:tc>
          <w:tcPr>
            <w:tcW w:w="452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9 – Investment in Unconsolidated Joint</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accounted for under equity</w:t>
            </w:r>
          </w:p>
        </w:tc>
        <w:tc>
          <w:tcPr>
            <w:tcW w:w="2360" w:type="dxa"/>
            <w:vAlign w:val="bottom"/>
            <w:shd w:val="clear" w:color="auto" w:fill="CCEEFF"/>
          </w:tcPr>
          <w:p>
            <w:pPr>
              <w:ind w:left="140"/>
              <w:spacing w:after="0"/>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Mt. Gravatt</w:t>
            </w:r>
          </w:p>
        </w:tc>
        <w:tc>
          <w:tcPr>
            <w:tcW w:w="4520" w:type="dxa"/>
            <w:vAlign w:val="bottom"/>
            <w:gridSpan w:val="3"/>
            <w:shd w:val="clear" w:color="auto" w:fill="CCEEFF"/>
          </w:tcPr>
          <w:p>
            <w:pPr>
              <w:ind w:left="140"/>
              <w:spacing w:after="0" w:line="199" w:lineRule="exact"/>
              <w:rPr>
                <w:sz w:val="20"/>
                <w:szCs w:val="20"/>
                <w:color w:val="auto"/>
              </w:rPr>
            </w:pPr>
            <w:r>
              <w:rPr>
                <w:rFonts w:ascii="Arial" w:cs="Arial" w:eastAsia="Arial" w:hAnsi="Arial"/>
                <w:sz w:val="18"/>
                <w:szCs w:val="18"/>
                <w:i w:val="1"/>
                <w:iCs w:val="1"/>
                <w:color w:val="auto"/>
              </w:rPr>
              <w:t>Ventures</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200"/>
              <w:spacing w:after="0" w:line="197" w:lineRule="exact"/>
              <w:rPr>
                <w:sz w:val="20"/>
                <w:szCs w:val="20"/>
                <w:color w:val="auto"/>
              </w:rPr>
            </w:pPr>
            <w:r>
              <w:rPr>
                <w:rFonts w:ascii="Arial" w:cs="Arial" w:eastAsia="Arial" w:hAnsi="Arial"/>
                <w:sz w:val="18"/>
                <w:szCs w:val="18"/>
                <w:color w:val="auto"/>
              </w:rPr>
              <w:t>method</w:t>
            </w:r>
          </w:p>
        </w:tc>
        <w:tc>
          <w:tcPr>
            <w:tcW w:w="2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line="177"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Other Affiliates</w:t>
            </w:r>
          </w:p>
        </w:tc>
        <w:tc>
          <w:tcPr>
            <w:tcW w:w="2360" w:type="dxa"/>
            <w:vAlign w:val="bottom"/>
          </w:tcPr>
          <w:p>
            <w:pPr>
              <w:ind w:left="140"/>
              <w:spacing w:after="0" w:line="177"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Entities under common</w:t>
            </w:r>
          </w:p>
        </w:tc>
        <w:tc>
          <w:tcPr>
            <w:tcW w:w="4520" w:type="dxa"/>
            <w:vAlign w:val="bottom"/>
            <w:gridSpan w:val="3"/>
          </w:tcPr>
          <w:p>
            <w:pPr>
              <w:ind w:left="140"/>
              <w:spacing w:after="0" w:line="177" w:lineRule="exact"/>
              <w:rPr>
                <w:rFonts w:ascii="Arial" w:cs="Arial" w:eastAsia="Arial" w:hAnsi="Arial"/>
                <w:sz w:val="18"/>
                <w:szCs w:val="18"/>
                <w:color w:val="auto"/>
                <w:w w:val="99"/>
              </w:rPr>
            </w:pPr>
            <w:r>
              <w:rPr>
                <w:rFonts w:ascii="Arial" w:cs="Arial" w:eastAsia="Arial" w:hAnsi="Arial"/>
                <w:sz w:val="18"/>
                <w:szCs w:val="18"/>
                <w:color w:val="auto"/>
                <w:w w:val="99"/>
              </w:rPr>
              <w:t xml:space="preserve">Refer to </w:t>
            </w:r>
            <w:hyperlink r:id="rId149">
              <w:r>
                <w:rPr>
                  <w:rFonts w:ascii="Arial" w:cs="Arial" w:eastAsia="Arial" w:hAnsi="Arial"/>
                  <w:sz w:val="18"/>
                  <w:szCs w:val="18"/>
                  <w:b w:val="1"/>
                  <w:bCs w:val="1"/>
                  <w:color w:val="0000FF"/>
                  <w:w w:val="99"/>
                </w:rPr>
                <w:t>Exhibit 21</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of this 2025 Form 10-K filing for the</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w w:val="82"/>
              </w:rPr>
              <w:t>complete</w:t>
            </w:r>
          </w:p>
        </w:tc>
        <w:tc>
          <w:tcPr>
            <w:tcW w:w="8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tcPr>
          <w:p>
            <w:pPr>
              <w:spacing w:after="0"/>
              <w:rPr>
                <w:sz w:val="16"/>
                <w:szCs w:val="16"/>
                <w:color w:val="auto"/>
              </w:rPr>
            </w:pPr>
          </w:p>
        </w:tc>
        <w:tc>
          <w:tcPr>
            <w:tcW w:w="2360" w:type="dxa"/>
            <w:vAlign w:val="bottom"/>
          </w:tcPr>
          <w:p>
            <w:pPr>
              <w:ind w:left="340"/>
              <w:spacing w:after="0" w:line="189" w:lineRule="exact"/>
              <w:rPr>
                <w:sz w:val="20"/>
                <w:szCs w:val="20"/>
                <w:color w:val="auto"/>
              </w:rPr>
            </w:pPr>
            <w:r>
              <w:rPr>
                <w:rFonts w:ascii="Arial" w:cs="Arial" w:eastAsia="Arial" w:hAnsi="Arial"/>
                <w:sz w:val="18"/>
                <w:szCs w:val="18"/>
                <w:color w:val="auto"/>
              </w:rPr>
              <w:t>control</w:t>
            </w:r>
          </w:p>
        </w:tc>
        <w:tc>
          <w:tcPr>
            <w:tcW w:w="760" w:type="dxa"/>
            <w:vAlign w:val="bottom"/>
            <w:vMerge w:val="continue"/>
          </w:tcPr>
          <w:p>
            <w:pPr>
              <w:spacing w:after="0"/>
              <w:rPr>
                <w:sz w:val="16"/>
                <w:szCs w:val="16"/>
                <w:color w:val="auto"/>
              </w:rPr>
            </w:pPr>
          </w:p>
        </w:tc>
        <w:tc>
          <w:tcPr>
            <w:tcW w:w="376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list of subsidiaries. Refer below for further</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360" w:type="dxa"/>
            <w:vAlign w:val="bottom"/>
          </w:tcPr>
          <w:p>
            <w:pPr>
              <w:ind w:left="140"/>
              <w:spacing w:after="0" w:line="195" w:lineRule="exact"/>
              <w:rPr>
                <w:sz w:val="20"/>
                <w:szCs w:val="20"/>
                <w:color w:val="auto"/>
              </w:rPr>
            </w:pPr>
            <w:r>
              <w:rPr>
                <w:rFonts w:ascii="Wingdings" w:cs="Wingdings" w:eastAsia="Wingdings" w:hAnsi="Wingdings"/>
                <w:sz w:val="18"/>
                <w:szCs w:val="18"/>
                <w:color w:val="auto"/>
              </w:rPr>
              <w:t xml:space="preserve"> </w:t>
            </w:r>
            <w:r>
              <w:rPr>
                <w:rFonts w:ascii="Arial" w:cs="Arial" w:eastAsia="Arial" w:hAnsi="Arial"/>
                <w:sz w:val="18"/>
                <w:szCs w:val="18"/>
                <w:color w:val="auto"/>
              </w:rPr>
              <w:t>All subsidiaries of RDI</w:t>
            </w:r>
          </w:p>
        </w:tc>
        <w:tc>
          <w:tcPr>
            <w:tcW w:w="4520" w:type="dxa"/>
            <w:vAlign w:val="bottom"/>
            <w:gridSpan w:val="3"/>
          </w:tcPr>
          <w:p>
            <w:pPr>
              <w:ind w:left="140"/>
              <w:spacing w:after="0" w:line="195" w:lineRule="exact"/>
              <w:rPr>
                <w:sz w:val="20"/>
                <w:szCs w:val="20"/>
                <w:color w:val="auto"/>
              </w:rPr>
            </w:pPr>
            <w:r>
              <w:rPr>
                <w:rFonts w:ascii="Arial" w:cs="Arial" w:eastAsia="Arial" w:hAnsi="Arial"/>
                <w:sz w:val="18"/>
                <w:szCs w:val="18"/>
                <w:color w:val="auto"/>
                <w:w w:val="92"/>
              </w:rPr>
              <w:t>discussions on certain key transactions with related parties,</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520" w:type="dxa"/>
            <w:vAlign w:val="bottom"/>
            <w:gridSpan w:val="3"/>
          </w:tcPr>
          <w:p>
            <w:pPr>
              <w:ind w:left="140"/>
              <w:spacing w:after="0" w:line="199" w:lineRule="exact"/>
              <w:rPr>
                <w:sz w:val="20"/>
                <w:szCs w:val="20"/>
                <w:color w:val="auto"/>
              </w:rPr>
            </w:pPr>
            <w:r>
              <w:rPr>
                <w:rFonts w:ascii="Arial" w:cs="Arial" w:eastAsia="Arial" w:hAnsi="Arial"/>
                <w:sz w:val="18"/>
                <w:szCs w:val="18"/>
                <w:color w:val="auto"/>
              </w:rPr>
              <w:t>including those with minority interests.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39</w:t>
      </w:r>
    </w:p>
    <w:p>
      <w:pPr>
        <w:sectPr>
          <w:pgSz w:w="11900" w:h="16838" w:orient="portrait"/>
          <w:cols w:equalWidth="0" w:num="1">
            <w:col w:w="9400"/>
          </w:cols>
          <w:pgMar w:left="1260" w:top="1397" w:right="1246"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i w:val="1"/>
          <w:iCs w:val="1"/>
          <w:color w:val="auto"/>
        </w:rPr>
        <w:t>Acquisition of Sutton Hill Associates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2025, we determined to wind up our long standing master lease agreement with Sutton Hill Capital, LLC (“SHC”) so as to give us (i) complete ownership of our Cinemas, 1,2,3 property and (ii) legal, as opposed to only beneficial, title to the ground lessee’s interest in the land and real property improvements constituting our Village East Property and to refinance certain short term debt with long term debt. Since the inception of the master lease, SHC has been owned by Sutton Hill Associates, a California general partnership, owned in equal parts by a third party and, initially, by James J. Cotter and now by the Cotter Estate (the “SHA General Partners”). On September 30, 2025, we entered into a purchase and sale agreement with SHA and the SHA General Parters to acquire all of the general partnership interests in SHA for $1.00 cash and the guaranty of certain long term third party indebtedness fair valued at $ 7.6 million. That transaction closed on December 19, 2025. Through our acquisition of SHA, we acquired SHC, and (a) SHC’s 25% interest in Sutton Hill Properties, LLC (“SHP”), the owner of the land and improvements constituting our Cinemas 1,2,3, property and (b) SHC’s ground lessee interest in the land and improvements constituting our Village East Theatre property (the “Village East Ground Lessee Interest”). At the time of the acquisition, we already owned the other 75% interest in SHP and the sub ground lease and personal property elements of our Village East Theatre property and had exercised, but not closed on, our option to acquire for $5.9 million the Village East Ground Lessee Interest. The $5.9 million option purchase price was at that time carried as a short term liability.</w:t>
      </w:r>
    </w:p>
    <w:p>
      <w:pPr>
        <w:spacing w:after="0" w:line="209" w:lineRule="exact"/>
        <w:rPr>
          <w:sz w:val="20"/>
          <w:szCs w:val="20"/>
          <w:color w:val="auto"/>
        </w:rPr>
      </w:pPr>
    </w:p>
    <w:p>
      <w:pPr>
        <w:ind w:right="40"/>
        <w:spacing w:after="0" w:line="226" w:lineRule="auto"/>
        <w:rPr>
          <w:sz w:val="20"/>
          <w:szCs w:val="20"/>
          <w:color w:val="auto"/>
        </w:rPr>
      </w:pPr>
      <w:r>
        <w:rPr>
          <w:rFonts w:ascii="Arial" w:cs="Arial" w:eastAsia="Arial" w:hAnsi="Arial"/>
          <w:sz w:val="20"/>
          <w:szCs w:val="20"/>
          <w:color w:val="auto"/>
        </w:rPr>
        <w:t>We accounted for the transaction as an asset acquisition under ASC 805-50. The identifiable assets acquired and liabilities assumed were recognized based on their fair values. The Company also concluded that SHA is a variable interest entity due to insufficient equity at risk and its reliance on financial support from the Company and the holder of the Nationwide note. Since the Company was, as of the acquisition date, the primary beneficiary of the consolidated subsidiary we therefore consolidated SHA into its financial statements in accordance with ASC 810-10 as of December 19, 2025 and removed the previously existing non-controlling interest. No goodwill was recognized, in accordance with ASC 805.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assets and liabilities acquired through the SHA acquisition were:</w:t>
      </w:r>
    </w:p>
    <w:p>
      <w:pPr>
        <w:spacing w:after="0" w:line="213" w:lineRule="exact"/>
        <w:rPr>
          <w:sz w:val="20"/>
          <w:szCs w:val="20"/>
          <w:color w:val="auto"/>
        </w:rPr>
      </w:pPr>
    </w:p>
    <w:p>
      <w:pPr>
        <w:ind w:left="720" w:right="120" w:hanging="366"/>
        <w:spacing w:after="0" w:line="258" w:lineRule="auto"/>
        <w:tabs>
          <w:tab w:leader="none" w:pos="720" w:val="left"/>
        </w:tabs>
        <w:numPr>
          <w:ilvl w:val="0"/>
          <w:numId w:val="63"/>
        </w:numPr>
        <w:rPr>
          <w:rFonts w:ascii="Wingdings" w:cs="Wingdings" w:eastAsia="Wingdings" w:hAnsi="Wingdings"/>
          <w:sz w:val="19"/>
          <w:szCs w:val="19"/>
          <w:color w:val="auto"/>
        </w:rPr>
      </w:pPr>
      <w:r>
        <w:rPr>
          <w:rFonts w:ascii="Arial" w:cs="Arial" w:eastAsia="Arial" w:hAnsi="Arial"/>
          <w:sz w:val="19"/>
          <w:szCs w:val="19"/>
          <w:u w:val="single" w:color="auto"/>
          <w:color w:val="auto"/>
        </w:rPr>
        <w:t>$13.6 million of long term promissory notes (the “Nationwide notes”)</w:t>
      </w:r>
      <w:r>
        <w:rPr>
          <w:rFonts w:ascii="Arial" w:cs="Arial" w:eastAsia="Arial" w:hAnsi="Arial"/>
          <w:sz w:val="19"/>
          <w:szCs w:val="19"/>
          <w:color w:val="auto"/>
        </w:rPr>
        <w:t>. These promissory notes mature on September 30, 2035, and require only quarterly interest payments in arrears at 4.75% per annum. Under ASC 810 we recorded these notes at fair value computed by an independent valuer. The valuation provides for a 12.66% interest rate, leading to a fair value of $7.6 million. The valuation takes into consideration the low 4.75% per annum interest rate, and the 10 year maturity profile.</w:t>
      </w:r>
    </w:p>
    <w:p>
      <w:pPr>
        <w:spacing w:after="0" w:line="5" w:lineRule="exact"/>
        <w:rPr>
          <w:rFonts w:ascii="Wingdings" w:cs="Wingdings" w:eastAsia="Wingdings" w:hAnsi="Wingdings"/>
          <w:sz w:val="19"/>
          <w:szCs w:val="19"/>
          <w:color w:val="auto"/>
        </w:rPr>
      </w:pPr>
    </w:p>
    <w:p>
      <w:pPr>
        <w:ind w:left="720" w:right="120" w:hanging="366"/>
        <w:spacing w:after="0" w:line="258" w:lineRule="auto"/>
        <w:tabs>
          <w:tab w:leader="none" w:pos="720" w:val="left"/>
        </w:tabs>
        <w:numPr>
          <w:ilvl w:val="0"/>
          <w:numId w:val="63"/>
        </w:numPr>
        <w:rPr>
          <w:rFonts w:ascii="Wingdings" w:cs="Wingdings" w:eastAsia="Wingdings" w:hAnsi="Wingdings"/>
          <w:sz w:val="19"/>
          <w:szCs w:val="19"/>
          <w:color w:val="auto"/>
        </w:rPr>
      </w:pPr>
      <w:r>
        <w:rPr>
          <w:rFonts w:ascii="Arial" w:cs="Arial" w:eastAsia="Arial" w:hAnsi="Arial"/>
          <w:sz w:val="19"/>
          <w:szCs w:val="19"/>
          <w:u w:val="single" w:color="auto"/>
          <w:color w:val="auto"/>
        </w:rPr>
        <w:t>Ground lessee’s interest in the Village East land and improvements.</w:t>
      </w:r>
      <w:r>
        <w:rPr>
          <w:rFonts w:ascii="Arial" w:cs="Arial" w:eastAsia="Arial" w:hAnsi="Arial"/>
          <w:sz w:val="19"/>
          <w:szCs w:val="19"/>
          <w:color w:val="auto"/>
        </w:rPr>
        <w:t xml:space="preserve"> On August 28, 2019 we exercised our option to acquire for $5.9 million the ground lessee’s interest in the Village East Ground Lessee Interest. This cinema is the one remaining cinema that is subject to the master lease entered into with SHC in 2001. As part of the SHA acquisition, the $5.9 million option liability now becomes payable to a member of the Company’s consolidated group, and so eliminates on consolidation, along with the $1.2 million of deferred rent payable under the sub-ground lease.</w:t>
      </w:r>
    </w:p>
    <w:p>
      <w:pPr>
        <w:spacing w:after="0" w:line="6" w:lineRule="exact"/>
        <w:rPr>
          <w:rFonts w:ascii="Wingdings" w:cs="Wingdings" w:eastAsia="Wingdings" w:hAnsi="Wingdings"/>
          <w:sz w:val="19"/>
          <w:szCs w:val="19"/>
          <w:color w:val="auto"/>
        </w:rPr>
      </w:pPr>
    </w:p>
    <w:p>
      <w:pPr>
        <w:ind w:left="720" w:right="220" w:hanging="366"/>
        <w:spacing w:after="0" w:line="243" w:lineRule="auto"/>
        <w:tabs>
          <w:tab w:leader="none" w:pos="720" w:val="left"/>
        </w:tabs>
        <w:numPr>
          <w:ilvl w:val="0"/>
          <w:numId w:val="63"/>
        </w:numPr>
        <w:rPr>
          <w:rFonts w:ascii="Wingdings" w:cs="Wingdings" w:eastAsia="Wingdings" w:hAnsi="Wingdings"/>
          <w:sz w:val="20"/>
          <w:szCs w:val="20"/>
          <w:color w:val="auto"/>
        </w:rPr>
      </w:pPr>
      <w:r>
        <w:rPr>
          <w:rFonts w:ascii="Arial" w:cs="Arial" w:eastAsia="Arial" w:hAnsi="Arial"/>
          <w:sz w:val="20"/>
          <w:szCs w:val="20"/>
          <w:u w:val="single" w:color="auto"/>
          <w:color w:val="auto"/>
        </w:rPr>
        <w:t>Acquisition of 25% interest in SHP.</w:t>
      </w:r>
      <w:r>
        <w:rPr>
          <w:rFonts w:ascii="Arial" w:cs="Arial" w:eastAsia="Arial" w:hAnsi="Arial"/>
          <w:sz w:val="20"/>
          <w:szCs w:val="20"/>
          <w:color w:val="auto"/>
        </w:rPr>
        <w:t xml:space="preserve"> Following the SHA acquisition, we own 100% of SHP and, therefore, the interest in the Cinemas 1,2,3 cinema and the Valley National mortgage secured over the property (See </w:t>
      </w:r>
      <w:r>
        <w:rPr>
          <w:rFonts w:ascii="Arial" w:cs="Arial" w:eastAsia="Arial" w:hAnsi="Arial"/>
          <w:sz w:val="20"/>
          <w:szCs w:val="20"/>
          <w:i w:val="1"/>
          <w:iCs w:val="1"/>
          <w:color w:val="auto"/>
        </w:rPr>
        <w:t>Note 13 – Borrowings</w:t>
      </w:r>
      <w:r>
        <w:rPr>
          <w:rFonts w:ascii="Arial" w:cs="Arial" w:eastAsia="Arial" w:hAnsi="Arial"/>
          <w:sz w:val="20"/>
          <w:szCs w:val="20"/>
          <w:color w:val="auto"/>
        </w:rPr>
        <w:t>). We accounted for the change in ownership interest as the difference between the</w:t>
      </w:r>
      <w:r>
        <w:rPr>
          <w:rFonts w:ascii="Arial" w:cs="Arial" w:eastAsia="Arial" w:hAnsi="Arial"/>
          <w:sz w:val="20"/>
          <w:szCs w:val="20"/>
          <w:i w:val="1"/>
          <w:iCs w:val="1"/>
          <w:color w:val="auto"/>
        </w:rPr>
        <w:t xml:space="preserve"> </w:t>
      </w:r>
      <w:r>
        <w:rPr>
          <w:rFonts w:ascii="Arial" w:cs="Arial" w:eastAsia="Arial" w:hAnsi="Arial"/>
          <w:sz w:val="20"/>
          <w:szCs w:val="20"/>
          <w:color w:val="auto"/>
        </w:rPr>
        <w:t>book value of the non-controlling interest in SHP at the time of the acquisition, and the fair value of the acquired 25% interest in SHP.</w:t>
      </w:r>
    </w:p>
    <w:p>
      <w:pPr>
        <w:spacing w:after="0" w:line="230"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The transaction was non-cash, as liabilities were assumed in exchange for the relief of other liabilities. As a result of the acquisition we realized a gain of $2.7 million, calculated as: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80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Fair value of Nationwide notes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9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(7,570)</w:t>
            </w:r>
          </w:p>
        </w:tc>
      </w:tr>
      <w:tr>
        <w:trPr>
          <w:trHeight w:val="216"/>
        </w:trPr>
        <w:tc>
          <w:tcPr>
            <w:tcW w:w="8240" w:type="dxa"/>
            <w:vAlign w:val="bottom"/>
            <w:gridSpan w:val="2"/>
          </w:tcPr>
          <w:p>
            <w:pPr>
              <w:spacing w:after="0" w:line="216" w:lineRule="exact"/>
              <w:rPr>
                <w:sz w:val="20"/>
                <w:szCs w:val="20"/>
                <w:color w:val="auto"/>
              </w:rPr>
            </w:pPr>
            <w:r>
              <w:rPr>
                <w:rFonts w:ascii="Arial" w:cs="Arial" w:eastAsia="Arial" w:hAnsi="Arial"/>
                <w:sz w:val="20"/>
                <w:szCs w:val="20"/>
                <w:color w:val="auto"/>
              </w:rPr>
              <w:t>Fair value of non-controlling interest acquired</w:t>
            </w:r>
          </w:p>
        </w:tc>
        <w:tc>
          <w:tcPr>
            <w:tcW w:w="1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4,026</w:t>
            </w: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Consolidation of option liability owing to SHC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5,900</w:t>
            </w:r>
          </w:p>
        </w:tc>
      </w:tr>
      <w:tr>
        <w:trPr>
          <w:trHeight w:val="216"/>
        </w:trPr>
        <w:tc>
          <w:tcPr>
            <w:tcW w:w="8240" w:type="dxa"/>
            <w:vAlign w:val="bottom"/>
            <w:gridSpan w:val="2"/>
          </w:tcPr>
          <w:p>
            <w:pPr>
              <w:spacing w:after="0" w:line="216" w:lineRule="exact"/>
              <w:rPr>
                <w:sz w:val="20"/>
                <w:szCs w:val="20"/>
                <w:color w:val="auto"/>
              </w:rPr>
            </w:pPr>
            <w:r>
              <w:rPr>
                <w:rFonts w:ascii="Arial" w:cs="Arial" w:eastAsia="Arial" w:hAnsi="Arial"/>
                <w:sz w:val="20"/>
                <w:szCs w:val="20"/>
                <w:color w:val="auto"/>
              </w:rPr>
              <w:t>Consolidation of rent owing to SHC</w:t>
            </w:r>
          </w:p>
        </w:tc>
        <w:tc>
          <w:tcPr>
            <w:tcW w:w="1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1,180</w:t>
            </w: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rPr>
              <w:t>Book value of minority interest at acquisition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(896)</w:t>
            </w:r>
          </w:p>
        </w:tc>
      </w:tr>
      <w:tr>
        <w:trPr>
          <w:trHeight w:val="216"/>
        </w:trPr>
        <w:tc>
          <w:tcPr>
            <w:tcW w:w="82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20"/>
                <w:szCs w:val="20"/>
                <w:color w:val="auto"/>
              </w:rPr>
              <w:t>Other immaterial assets acquired</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51</w:t>
            </w:r>
          </w:p>
        </w:tc>
      </w:tr>
      <w:tr>
        <w:trPr>
          <w:trHeight w:val="226"/>
        </w:trPr>
        <w:tc>
          <w:tcPr>
            <w:tcW w:w="82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Gain (loss) on noncontrolling interest acquisition</w:t>
            </w:r>
          </w:p>
        </w:tc>
        <w:tc>
          <w:tcPr>
            <w:tcW w:w="1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w w:val="71"/>
                <w:shd w:val="clear" w:color="auto" w:fill="CCEEFF"/>
              </w:rPr>
              <w:t>$</w:t>
            </w: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2,691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Live Theatre Play Investment</w:t>
      </w:r>
    </w:p>
    <w:p>
      <w:pPr>
        <w:spacing w:after="0" w:line="212" w:lineRule="exact"/>
        <w:rPr>
          <w:sz w:val="20"/>
          <w:szCs w:val="20"/>
          <w:color w:val="auto"/>
        </w:rPr>
      </w:pPr>
    </w:p>
    <w:p>
      <w:pPr>
        <w:jc w:val="both"/>
        <w:ind w:right="60"/>
        <w:spacing w:after="0" w:line="226" w:lineRule="auto"/>
        <w:rPr>
          <w:sz w:val="20"/>
          <w:szCs w:val="20"/>
          <w:color w:val="auto"/>
        </w:rPr>
      </w:pPr>
      <w:r>
        <w:rPr>
          <w:rFonts w:ascii="Arial" w:cs="Arial" w:eastAsia="Arial" w:hAnsi="Arial"/>
          <w:sz w:val="20"/>
          <w:szCs w:val="20"/>
          <w:color w:val="auto"/>
        </w:rPr>
        <w:t>From time to time, our Officers and Directors may invest in plays that lease our live theatres. The play STOMP played in our Orpheum Theatre since prior to the time we acquired the theatre in 2001, until its final show on January 8, 2023. The Cotter Estate and a third party own an approximately 5% interest in that play, an interest that they have held since prior to our acquisition of the theatre.</w:t>
      </w:r>
    </w:p>
    <w:p>
      <w:pPr>
        <w:sectPr>
          <w:pgSz w:w="11900" w:h="16838" w:orient="portrait"/>
          <w:cols w:equalWidth="0" w:num="1">
            <w:col w:w="9400"/>
          </w:cols>
          <w:pgMar w:left="1260" w:top="13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39</w:t>
      </w:r>
    </w:p>
    <w:p>
      <w:pPr>
        <w:sectPr>
          <w:pgSz w:w="11900" w:h="16838" w:orient="portrait"/>
          <w:cols w:equalWidth="0" w:num="1">
            <w:col w:w="9400"/>
          </w:cols>
          <w:pgMar w:left="1260" w:top="1337" w:right="1246" w:bottom="0" w:gutter="0" w:footer="0" w:header="0"/>
          <w:type w:val="continuous"/>
        </w:sectPr>
      </w:pPr>
    </w:p>
    <w:bookmarkStart w:id="146" w:name="page147"/>
    <w:bookmarkEnd w:id="146"/>
    <w:p>
      <w:pPr>
        <w:jc w:val="center"/>
        <w:ind w:right="6"/>
        <w:spacing w:after="0"/>
        <w:rPr>
          <w:sz w:val="20"/>
          <w:szCs w:val="20"/>
          <w:color w:val="auto"/>
        </w:rPr>
      </w:pPr>
      <w:r>
        <w:rPr>
          <w:rFonts w:ascii="Arial" w:cs="Arial" w:eastAsia="Arial" w:hAnsi="Arial"/>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243205</wp:posOffset>
            </wp:positionV>
            <wp:extent cx="596773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39</w:t>
      </w:r>
    </w:p>
    <w:p>
      <w:pPr>
        <w:sectPr>
          <w:pgSz w:w="11900" w:h="16838" w:orient="portrait"/>
          <w:cols w:equalWidth="0" w:num="1">
            <w:col w:w="9026"/>
          </w:cols>
          <w:pgMar w:left="1440" w:top="1131" w:right="1440" w:bottom="0"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i w:val="1"/>
          <w:iCs w:val="1"/>
          <w:color w:val="auto"/>
        </w:rPr>
        <w:t>Shadow View Land and Farming LLC</w:t>
      </w:r>
    </w:p>
    <w:p>
      <w:pPr>
        <w:spacing w:after="0" w:line="212"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color w:val="auto"/>
        </w:rPr>
        <w:t>This company was and continues to be owned in equal shares by our Company and the Estate of James J. Cotter. However, its sole asset was sold and the sales proceeds distributed in 2021. The company has conducted no business since that date and is in the process of being wound up.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22 – SUBSEQUENT EVENTS</w:t>
      </w:r>
    </w:p>
    <w:p>
      <w:pPr>
        <w:spacing w:after="0" w:line="21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On February 27, 2026, we modified our Bank of America facility to defer current principal repayments. The maturity date and interest rate remain unchanged.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In February 2026, we classified our Cinemas 1,2,3 property as held for sale.</w:t>
      </w:r>
    </w:p>
    <w:p>
      <w:pPr>
        <w:spacing w:after="0" w:line="21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On March 4, 2026, we signed a purchase and sale agreement to monetize our Napier, New Zealand property. The transaction has proceeded to a due diligence period.</w:t>
      </w:r>
    </w:p>
    <w:p>
      <w:pPr>
        <w:spacing w:after="0" w:line="213"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On March 30, 2026, in anticipation of the upcoming scheduled NAB debt repayments, NAB has agreed to reduce our minimum liquidity requirement for a limited defined period in 2026.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39</w:t>
      </w:r>
    </w:p>
    <w:p>
      <w:pPr>
        <w:sectPr>
          <w:pgSz w:w="11900" w:h="16838" w:orient="portrait"/>
          <w:cols w:equalWidth="0" w:num="1">
            <w:col w:w="9380"/>
          </w:cols>
          <w:pgMar w:left="1260" w:top="1337" w:right="1266"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24"/>
          <w:szCs w:val="24"/>
          <w:b w:val="1"/>
          <w:bCs w:val="1"/>
          <w:u w:val="single" w:color="auto"/>
          <w:color w:val="auto"/>
        </w:rPr>
        <w:t>Schedule II – Valuation and Qualifying Accounts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05"/>
              <w:spacing w:after="0"/>
              <w:rPr>
                <w:sz w:val="20"/>
                <w:szCs w:val="20"/>
                <w:color w:val="auto"/>
              </w:rPr>
            </w:pPr>
            <w:r>
              <w:rPr>
                <w:rFonts w:ascii="Arial" w:cs="Arial" w:eastAsia="Arial" w:hAnsi="Arial"/>
                <w:sz w:val="16"/>
                <w:szCs w:val="16"/>
                <w:b w:val="1"/>
                <w:bCs w:val="1"/>
                <w:color w:val="auto"/>
                <w:w w:val="94"/>
              </w:rPr>
              <w:t>Balance at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b w:val="1"/>
                <w:bCs w:val="1"/>
                <w:color w:val="auto"/>
                <w:w w:val="94"/>
              </w:rPr>
              <w:t>Balance at</w:t>
            </w:r>
          </w:p>
        </w:tc>
      </w:tr>
      <w:tr>
        <w:trPr>
          <w:trHeight w:val="185"/>
        </w:trPr>
        <w:tc>
          <w:tcPr>
            <w:tcW w:w="2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5"/>
              <w:spacing w:after="0" w:line="175" w:lineRule="exact"/>
              <w:rPr>
                <w:sz w:val="20"/>
                <w:szCs w:val="20"/>
                <w:color w:val="auto"/>
              </w:rPr>
            </w:pPr>
            <w:r>
              <w:rPr>
                <w:rFonts w:ascii="Arial" w:cs="Arial" w:eastAsia="Arial" w:hAnsi="Arial"/>
                <w:sz w:val="16"/>
                <w:szCs w:val="16"/>
                <w:b w:val="1"/>
                <w:bCs w:val="1"/>
                <w:color w:val="auto"/>
                <w:w w:val="98"/>
              </w:rPr>
              <w:t>January 1</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w w:val="98"/>
              </w:rPr>
              <w:t>Increase</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165"/>
              <w:spacing w:after="0" w:line="175" w:lineRule="exact"/>
              <w:rPr>
                <w:sz w:val="20"/>
                <w:szCs w:val="20"/>
                <w:color w:val="auto"/>
              </w:rPr>
            </w:pPr>
            <w:r>
              <w:rPr>
                <w:rFonts w:ascii="Arial" w:cs="Arial" w:eastAsia="Arial" w:hAnsi="Arial"/>
                <w:sz w:val="16"/>
                <w:szCs w:val="16"/>
                <w:b w:val="1"/>
                <w:bCs w:val="1"/>
                <w:color w:val="auto"/>
              </w:rPr>
              <w:t>Decrease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3"/>
              <w:spacing w:after="0" w:line="175" w:lineRule="exact"/>
              <w:rPr>
                <w:sz w:val="20"/>
                <w:szCs w:val="20"/>
                <w:color w:val="auto"/>
              </w:rPr>
            </w:pPr>
            <w:r>
              <w:rPr>
                <w:rFonts w:ascii="Arial" w:cs="Arial" w:eastAsia="Arial" w:hAnsi="Arial"/>
                <w:sz w:val="16"/>
                <w:szCs w:val="16"/>
                <w:b w:val="1"/>
                <w:bCs w:val="1"/>
                <w:color w:val="auto"/>
                <w:w w:val="88"/>
              </w:rPr>
              <w:t>December 31</w:t>
            </w:r>
          </w:p>
        </w:tc>
      </w:tr>
      <w:tr>
        <w:trPr>
          <w:trHeight w:val="197"/>
        </w:trPr>
        <w:tc>
          <w:tcPr>
            <w:tcW w:w="4400" w:type="dxa"/>
            <w:vAlign w:val="bottom"/>
            <w:gridSpan w:val="3"/>
          </w:tcPr>
          <w:p>
            <w:pPr>
              <w:spacing w:after="0" w:line="197" w:lineRule="exact"/>
              <w:rPr>
                <w:sz w:val="20"/>
                <w:szCs w:val="20"/>
                <w:color w:val="auto"/>
              </w:rPr>
            </w:pPr>
            <w:r>
              <w:rPr>
                <w:rFonts w:ascii="Arial" w:cs="Arial" w:eastAsia="Arial" w:hAnsi="Arial"/>
                <w:sz w:val="20"/>
                <w:szCs w:val="20"/>
                <w:b w:val="1"/>
                <w:bCs w:val="1"/>
                <w:color w:val="auto"/>
              </w:rPr>
              <w:t>Allowance for doubtful accounts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2100" w:type="dxa"/>
            <w:vAlign w:val="bottom"/>
            <w:tcBorders>
              <w:top w:val="single" w:sz="8" w:color="auto"/>
            </w:tcBorders>
            <w:shd w:val="clear" w:color="auto" w:fill="CCEEFF"/>
          </w:tcPr>
          <w:p>
            <w:pPr>
              <w:jc w:val="right"/>
              <w:ind w:right="1500"/>
              <w:spacing w:after="0" w:line="215" w:lineRule="exact"/>
              <w:rPr>
                <w:sz w:val="20"/>
                <w:szCs w:val="20"/>
                <w:color w:val="auto"/>
              </w:rPr>
            </w:pPr>
            <w:r>
              <w:rPr>
                <w:rFonts w:ascii="Arial" w:cs="Arial" w:eastAsia="Arial" w:hAnsi="Arial"/>
                <w:sz w:val="20"/>
                <w:szCs w:val="20"/>
                <w:color w:val="auto"/>
              </w:rPr>
              <w:t>2025</w:t>
            </w:r>
          </w:p>
        </w:tc>
        <w:tc>
          <w:tcPr>
            <w:tcW w:w="6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531</w:t>
            </w:r>
          </w:p>
        </w:tc>
        <w:tc>
          <w:tcPr>
            <w:tcW w:w="340" w:type="dxa"/>
            <w:vAlign w:val="bottom"/>
            <w:tcBorders>
              <w:top w:val="single" w:sz="8" w:color="CCEEFF"/>
            </w:tcBorders>
            <w:gridSpan w:val="2"/>
            <w:shd w:val="clear" w:color="auto" w:fill="CCEEFF"/>
          </w:tcPr>
          <w:p>
            <w:pPr>
              <w:jc w:val="right"/>
              <w:ind w:right="100"/>
              <w:spacing w:after="0" w:line="215"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33</w:t>
            </w:r>
          </w:p>
        </w:tc>
        <w:tc>
          <w:tcPr>
            <w:tcW w:w="1280" w:type="dxa"/>
            <w:vAlign w:val="bottom"/>
            <w:tcBorders>
              <w:top w:val="single" w:sz="8" w:color="CCEEFF"/>
            </w:tcBorders>
            <w:gridSpan w:val="2"/>
            <w:shd w:val="clear" w:color="auto" w:fill="CCEEFF"/>
          </w:tcPr>
          <w:p>
            <w:pPr>
              <w:jc w:val="right"/>
              <w:spacing w:after="0" w:line="215" w:lineRule="exact"/>
              <w:rPr>
                <w:sz w:val="20"/>
                <w:szCs w:val="20"/>
                <w:color w:val="auto"/>
              </w:rPr>
            </w:pPr>
            <w:r>
              <w:rPr>
                <w:rFonts w:ascii="Arial" w:cs="Arial" w:eastAsia="Arial" w:hAnsi="Arial"/>
                <w:sz w:val="20"/>
                <w:szCs w:val="20"/>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w w:val="71"/>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501</w:t>
            </w:r>
          </w:p>
        </w:tc>
      </w:tr>
      <w:tr>
        <w:trPr>
          <w:trHeight w:val="216"/>
        </w:trPr>
        <w:tc>
          <w:tcPr>
            <w:tcW w:w="2100" w:type="dxa"/>
            <w:vAlign w:val="bottom"/>
          </w:tcPr>
          <w:p>
            <w:pPr>
              <w:jc w:val="right"/>
              <w:ind w:right="1500"/>
              <w:spacing w:after="0" w:line="216" w:lineRule="exact"/>
              <w:rPr>
                <w:sz w:val="20"/>
                <w:szCs w:val="20"/>
                <w:color w:val="auto"/>
              </w:rPr>
            </w:pPr>
            <w:r>
              <w:rPr>
                <w:rFonts w:ascii="Arial" w:cs="Arial" w:eastAsia="Arial" w:hAnsi="Arial"/>
                <w:sz w:val="20"/>
                <w:szCs w:val="20"/>
                <w:color w:val="auto"/>
              </w:rPr>
              <w:t>2024</w:t>
            </w: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352</w:t>
            </w:r>
          </w:p>
        </w:tc>
        <w:tc>
          <w:tcPr>
            <w:tcW w:w="3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16" w:lineRule="exact"/>
              <w:rPr>
                <w:sz w:val="20"/>
                <w:szCs w:val="20"/>
                <w:color w:val="auto"/>
              </w:rPr>
            </w:pPr>
            <w:r>
              <w:rPr>
                <w:rFonts w:ascii="Arial" w:cs="Arial" w:eastAsia="Arial" w:hAnsi="Arial"/>
                <w:sz w:val="20"/>
                <w:szCs w:val="20"/>
                <w:color w:val="auto"/>
              </w:rPr>
              <w:t>252</w:t>
            </w: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73</w:t>
            </w:r>
          </w:p>
        </w:tc>
        <w:tc>
          <w:tcPr>
            <w:tcW w:w="16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531</w:t>
            </w:r>
          </w:p>
        </w:tc>
      </w:tr>
      <w:tr>
        <w:trPr>
          <w:trHeight w:val="216"/>
        </w:trPr>
        <w:tc>
          <w:tcPr>
            <w:tcW w:w="2100" w:type="dxa"/>
            <w:vAlign w:val="bottom"/>
            <w:shd w:val="clear" w:color="auto" w:fill="CCEEFF"/>
          </w:tcPr>
          <w:p>
            <w:pPr>
              <w:jc w:val="right"/>
              <w:ind w:right="1500"/>
              <w:spacing w:after="0" w:line="216" w:lineRule="exact"/>
              <w:rPr>
                <w:sz w:val="20"/>
                <w:szCs w:val="20"/>
                <w:color w:val="auto"/>
              </w:rPr>
            </w:pPr>
            <w:r>
              <w:rPr>
                <w:rFonts w:ascii="Arial" w:cs="Arial" w:eastAsia="Arial" w:hAnsi="Arial"/>
                <w:sz w:val="20"/>
                <w:szCs w:val="20"/>
                <w:color w:val="auto"/>
              </w:rPr>
              <w:t>2023</w:t>
            </w:r>
          </w:p>
        </w:tc>
        <w:tc>
          <w:tcPr>
            <w:tcW w:w="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1,042</w:t>
            </w:r>
          </w:p>
        </w:tc>
        <w:tc>
          <w:tcPr>
            <w:tcW w:w="34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97</w:t>
            </w:r>
          </w:p>
        </w:tc>
        <w:tc>
          <w:tcPr>
            <w:tcW w:w="1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352</w:t>
            </w:r>
          </w:p>
        </w:tc>
      </w:tr>
      <w:tr>
        <w:trPr>
          <w:trHeight w:val="197"/>
        </w:trPr>
        <w:tc>
          <w:tcPr>
            <w:tcW w:w="4400" w:type="dxa"/>
            <w:vAlign w:val="bottom"/>
            <w:gridSpan w:val="3"/>
          </w:tcPr>
          <w:p>
            <w:pPr>
              <w:spacing w:after="0" w:line="197" w:lineRule="exact"/>
              <w:rPr>
                <w:sz w:val="20"/>
                <w:szCs w:val="20"/>
                <w:color w:val="auto"/>
              </w:rPr>
            </w:pPr>
            <w:r>
              <w:rPr>
                <w:rFonts w:ascii="Arial" w:cs="Arial" w:eastAsia="Arial" w:hAnsi="Arial"/>
                <w:sz w:val="20"/>
                <w:szCs w:val="20"/>
                <w:b w:val="1"/>
                <w:bCs w:val="1"/>
                <w:color w:val="auto"/>
              </w:rPr>
              <w:t>Tax valuation allowance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2100" w:type="dxa"/>
            <w:vAlign w:val="bottom"/>
            <w:tcBorders>
              <w:top w:val="single" w:sz="8" w:color="auto"/>
            </w:tcBorders>
            <w:shd w:val="clear" w:color="auto" w:fill="CCEEFF"/>
          </w:tcPr>
          <w:p>
            <w:pPr>
              <w:jc w:val="right"/>
              <w:ind w:right="1500"/>
              <w:spacing w:after="0" w:line="215" w:lineRule="exact"/>
              <w:rPr>
                <w:sz w:val="20"/>
                <w:szCs w:val="20"/>
                <w:color w:val="auto"/>
              </w:rPr>
            </w:pPr>
            <w:r>
              <w:rPr>
                <w:rFonts w:ascii="Arial" w:cs="Arial" w:eastAsia="Arial" w:hAnsi="Arial"/>
                <w:sz w:val="20"/>
                <w:szCs w:val="20"/>
                <w:color w:val="auto"/>
              </w:rPr>
              <w:t>2025</w:t>
            </w:r>
          </w:p>
        </w:tc>
        <w:tc>
          <w:tcPr>
            <w:tcW w:w="6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66,527</w:t>
            </w:r>
          </w:p>
        </w:tc>
        <w:tc>
          <w:tcPr>
            <w:tcW w:w="340" w:type="dxa"/>
            <w:vAlign w:val="bottom"/>
            <w:tcBorders>
              <w:top w:val="single" w:sz="8" w:color="CCEEFF"/>
            </w:tcBorders>
            <w:gridSpan w:val="2"/>
            <w:shd w:val="clear" w:color="auto" w:fill="CCEEFF"/>
          </w:tcPr>
          <w:p>
            <w:pPr>
              <w:jc w:val="right"/>
              <w:ind w:right="100"/>
              <w:spacing w:after="0" w:line="215"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3,592</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w w:val="71"/>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line="215" w:lineRule="exact"/>
              <w:rPr>
                <w:sz w:val="20"/>
                <w:szCs w:val="20"/>
                <w:color w:val="auto"/>
              </w:rPr>
            </w:pPr>
            <w:r>
              <w:rPr>
                <w:rFonts w:ascii="Arial" w:cs="Arial" w:eastAsia="Arial" w:hAnsi="Arial"/>
                <w:sz w:val="20"/>
                <w:szCs w:val="20"/>
                <w:color w:val="auto"/>
              </w:rPr>
              <w:t>70,119</w:t>
            </w:r>
          </w:p>
        </w:tc>
      </w:tr>
      <w:tr>
        <w:trPr>
          <w:trHeight w:val="216"/>
        </w:trPr>
        <w:tc>
          <w:tcPr>
            <w:tcW w:w="2100" w:type="dxa"/>
            <w:vAlign w:val="bottom"/>
          </w:tcPr>
          <w:p>
            <w:pPr>
              <w:jc w:val="right"/>
              <w:ind w:right="1500"/>
              <w:spacing w:after="0" w:line="216" w:lineRule="exact"/>
              <w:rPr>
                <w:sz w:val="20"/>
                <w:szCs w:val="20"/>
                <w:color w:val="auto"/>
              </w:rPr>
            </w:pPr>
            <w:r>
              <w:rPr>
                <w:rFonts w:ascii="Arial" w:cs="Arial" w:eastAsia="Arial" w:hAnsi="Arial"/>
                <w:sz w:val="20"/>
                <w:szCs w:val="20"/>
                <w:color w:val="auto"/>
              </w:rPr>
              <w:t>2024</w:t>
            </w: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59,087</w:t>
            </w:r>
          </w:p>
        </w:tc>
        <w:tc>
          <w:tcPr>
            <w:tcW w:w="3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16" w:lineRule="exact"/>
              <w:rPr>
                <w:sz w:val="20"/>
                <w:szCs w:val="20"/>
                <w:color w:val="auto"/>
              </w:rPr>
            </w:pPr>
            <w:r>
              <w:rPr>
                <w:rFonts w:ascii="Arial" w:cs="Arial" w:eastAsia="Arial" w:hAnsi="Arial"/>
                <w:sz w:val="20"/>
                <w:szCs w:val="20"/>
                <w:color w:val="auto"/>
              </w:rPr>
              <w:t>7,440</w:t>
            </w:r>
          </w:p>
        </w:tc>
        <w:tc>
          <w:tcPr>
            <w:tcW w:w="1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66,527</w:t>
            </w:r>
          </w:p>
        </w:tc>
      </w:tr>
      <w:tr>
        <w:trPr>
          <w:trHeight w:val="216"/>
        </w:trPr>
        <w:tc>
          <w:tcPr>
            <w:tcW w:w="2100" w:type="dxa"/>
            <w:vAlign w:val="bottom"/>
            <w:shd w:val="clear" w:color="auto" w:fill="CCEEFF"/>
          </w:tcPr>
          <w:p>
            <w:pPr>
              <w:jc w:val="right"/>
              <w:ind w:right="1500"/>
              <w:spacing w:after="0" w:line="216" w:lineRule="exact"/>
              <w:rPr>
                <w:sz w:val="20"/>
                <w:szCs w:val="20"/>
                <w:color w:val="auto"/>
              </w:rPr>
            </w:pPr>
            <w:r>
              <w:rPr>
                <w:rFonts w:ascii="Arial" w:cs="Arial" w:eastAsia="Arial" w:hAnsi="Arial"/>
                <w:sz w:val="20"/>
                <w:szCs w:val="20"/>
                <w:color w:val="auto"/>
              </w:rPr>
              <w:t>2023</w:t>
            </w:r>
          </w:p>
        </w:tc>
        <w:tc>
          <w:tcPr>
            <w:tcW w:w="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50,778</w:t>
            </w:r>
          </w:p>
        </w:tc>
        <w:tc>
          <w:tcPr>
            <w:tcW w:w="34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8,309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shd w:val="clear" w:color="auto" w:fill="CCEEFF"/>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59,087</w:t>
            </w:r>
          </w:p>
        </w:tc>
      </w:tr>
      <w:tr>
        <w:trPr>
          <w:trHeight w:val="649"/>
        </w:trPr>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gridSpan w:val="2"/>
          </w:tcPr>
          <w:p>
            <w:pPr>
              <w:jc w:val="right"/>
              <w:ind w:right="545"/>
              <w:spacing w:after="0"/>
              <w:rPr>
                <w:sz w:val="20"/>
                <w:szCs w:val="20"/>
                <w:color w:val="auto"/>
              </w:rPr>
            </w:pPr>
            <w:r>
              <w:rPr>
                <w:rFonts w:ascii="Arial" w:cs="Arial" w:eastAsia="Arial" w:hAnsi="Arial"/>
                <w:sz w:val="20"/>
                <w:szCs w:val="20"/>
                <w:color w:val="auto"/>
              </w:rPr>
              <w:t>- 94 -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9"/>
        </w:trPr>
        <w:tc>
          <w:tcPr>
            <w:tcW w:w="21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39</w:t>
      </w:r>
    </w:p>
    <w:p>
      <w:pPr>
        <w:sectPr>
          <w:pgSz w:w="11900" w:h="16838" w:orient="portrait"/>
          <w:cols w:equalWidth="0" w:num="1">
            <w:col w:w="9400"/>
          </w:cols>
          <w:pgMar w:left="1260" w:top="1118" w:right="1246" w:bottom="0" w:gutter="0" w:footer="0" w:header="0"/>
          <w:type w:val="continuous"/>
        </w:sectPr>
      </w:pPr>
    </w:p>
    <w:bookmarkStart w:id="149" w:name="page150"/>
    <w:bookmarkEnd w:id="149"/>
    <w:p>
      <w:pPr>
        <w:ind w:right="560"/>
        <w:spacing w:after="0" w:line="227" w:lineRule="auto"/>
        <w:rPr>
          <w:sz w:val="20"/>
          <w:szCs w:val="20"/>
          <w:color w:val="auto"/>
        </w:rPr>
      </w:pPr>
      <w:r>
        <w:rPr>
          <w:rFonts w:ascii="Arial" w:cs="Arial" w:eastAsia="Arial" w:hAnsi="Arial"/>
          <w:sz w:val="24"/>
          <w:szCs w:val="24"/>
          <w:b w:val="1"/>
          <w:bCs w:val="1"/>
          <w:u w:val="single" w:color="auto"/>
          <w:color w:val="auto"/>
        </w:rPr>
        <w:t>Item 9 – Change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9A –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212"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 xml:space="preserve">Our management’s report on internal control over financial reporting is included in </w:t>
      </w:r>
      <w:r>
        <w:rPr>
          <w:rFonts w:ascii="Arial" w:cs="Arial" w:eastAsia="Arial" w:hAnsi="Arial"/>
          <w:sz w:val="20"/>
          <w:szCs w:val="20"/>
          <w:i w:val="1"/>
          <w:iCs w:val="1"/>
          <w:color w:val="auto"/>
        </w:rPr>
        <w:t>Part II, Item 8</w:t>
      </w:r>
      <w:r>
        <w:rPr>
          <w:rFonts w:ascii="Arial" w:cs="Arial" w:eastAsia="Arial" w:hAnsi="Arial"/>
          <w:sz w:val="20"/>
          <w:szCs w:val="20"/>
          <w:color w:val="auto"/>
        </w:rPr>
        <w:t xml:space="preserve"> - </w:t>
      </w:r>
      <w:r>
        <w:rPr>
          <w:rFonts w:ascii="Arial" w:cs="Arial" w:eastAsia="Arial" w:hAnsi="Arial"/>
          <w:sz w:val="20"/>
          <w:szCs w:val="20"/>
          <w:i w:val="1"/>
          <w:iCs w:val="1"/>
          <w:color w:val="auto"/>
        </w:rPr>
        <w:t>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and Supplementary Data </w:t>
      </w:r>
      <w:r>
        <w:rPr>
          <w:rFonts w:ascii="Arial" w:cs="Arial" w:eastAsia="Arial" w:hAnsi="Arial"/>
          <w:sz w:val="20"/>
          <w:szCs w:val="20"/>
          <w:color w:val="auto"/>
        </w:rPr>
        <w:t>of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13a-15(b) and 15d-15(b) as of the end of the period covered by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Controls Over Financial Reporting</w:t>
      </w:r>
    </w:p>
    <w:p>
      <w:pPr>
        <w:spacing w:after="0" w:line="21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on the Effectiveness of Controls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34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39</w:t>
      </w:r>
    </w:p>
    <w:p>
      <w:pPr>
        <w:sectPr>
          <w:pgSz w:w="11900" w:h="16838" w:orient="portrait"/>
          <w:cols w:equalWidth="0" w:num="1">
            <w:col w:w="9360"/>
          </w:cols>
          <w:pgMar w:left="1260" w:top="1346" w:right="1286" w:bottom="0" w:gutter="0" w:footer="0" w:header="0"/>
          <w:type w:val="continuous"/>
        </w:sectPr>
      </w:pPr>
    </w:p>
    <w:bookmarkStart w:id="150" w:name="page151"/>
    <w:bookmarkEnd w:id="150"/>
    <w:p>
      <w:pPr>
        <w:spacing w:after="0" w:line="11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9B – Other Information</w:t>
      </w:r>
    </w:p>
    <w:p>
      <w:pPr>
        <w:spacing w:after="0" w:line="25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During the quarter ended December 31, 2025, no director or officer of the Company adopted or terminated a “Rule 10b5-1 trading arrangement” or a “no-Rule 10b5-1 trading arrangement” (in each case, as defined in Item 408 of Regulation S-K).</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u w:val="single" w:color="auto"/>
          <w:color w:val="auto"/>
        </w:rPr>
        <w:t>PART III</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Items 10, 11, 12, 13 and 14</w:t>
      </w:r>
    </w:p>
    <w:p>
      <w:pPr>
        <w:spacing w:after="0" w:line="25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Information required by Part III (Items 10, 11, 12, 13 and 14) of this Form 10-K is hereby incorporated by reference from Reading International, Inc.’s definitive Proxy Statement for its 2026 Annual Meeting of Stockholders, which the Company intends to be filed with the Securities and Exchange Commission, pursuant to Regulation 14A, not later than 120 days after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39</w:t>
      </w:r>
    </w:p>
    <w:p>
      <w:pPr>
        <w:sectPr>
          <w:pgSz w:w="11900" w:h="16838" w:orient="portrait"/>
          <w:cols w:equalWidth="0" w:num="1">
            <w:col w:w="9340"/>
          </w:cols>
          <w:pgMar w:left="1260" w:top="1440" w:right="1306" w:bottom="0" w:gutter="0" w:footer="0" w:header="0"/>
          <w:type w:val="continuous"/>
        </w:sectPr>
      </w:pPr>
    </w:p>
    <w:bookmarkStart w:id="151" w:name="page152"/>
    <w:bookmarkEnd w:id="151"/>
    <w:p>
      <w:pPr>
        <w:ind w:left="4140"/>
        <w:spacing w:after="0"/>
        <w:rPr>
          <w:sz w:val="20"/>
          <w:szCs w:val="20"/>
          <w:color w:val="auto"/>
        </w:rPr>
      </w:pPr>
      <w:r>
        <w:rPr>
          <w:rFonts w:ascii="Arial" w:cs="Arial" w:eastAsia="Arial" w:hAnsi="Arial"/>
          <w:sz w:val="28"/>
          <w:szCs w:val="28"/>
          <w:b w:val="1"/>
          <w:bCs w:val="1"/>
          <w:u w:val="single" w:color="auto"/>
          <w:color w:val="auto"/>
        </w:rPr>
        <w:t>PART IV</w:t>
      </w:r>
    </w:p>
    <w:p>
      <w:pPr>
        <w:spacing w:after="0" w:line="19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Item 15 – Exhibits, Financial Statement Schedules</w:t>
      </w:r>
    </w:p>
    <w:p>
      <w:pPr>
        <w:spacing w:after="0" w:line="212" w:lineRule="exact"/>
        <w:rPr>
          <w:sz w:val="20"/>
          <w:szCs w:val="20"/>
          <w:color w:val="auto"/>
        </w:rPr>
      </w:pPr>
    </w:p>
    <w:p>
      <w:pPr>
        <w:ind w:left="680" w:hanging="413"/>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9"/>
          <w:szCs w:val="19"/>
          <w:color w:val="auto"/>
        </w:rPr>
        <w:t>The following documents are filed as a part of this report:</w:t>
      </w:r>
    </w:p>
    <w:p>
      <w:pPr>
        <w:spacing w:after="0" w:line="210" w:lineRule="exact"/>
        <w:rPr>
          <w:rFonts w:ascii="Arial" w:cs="Arial" w:eastAsia="Arial" w:hAnsi="Arial"/>
          <w:sz w:val="17"/>
          <w:szCs w:val="17"/>
          <w:color w:val="auto"/>
        </w:rPr>
      </w:pPr>
    </w:p>
    <w:p>
      <w:pPr>
        <w:ind w:left="760" w:hanging="406"/>
        <w:spacing w:after="0"/>
        <w:tabs>
          <w:tab w:leader="none" w:pos="760" w:val="left"/>
        </w:tabs>
        <w:numPr>
          <w:ilvl w:val="1"/>
          <w:numId w:val="64"/>
        </w:numPr>
        <w:rPr>
          <w:rFonts w:ascii="Arial" w:cs="Arial" w:eastAsia="Arial" w:hAnsi="Arial"/>
          <w:sz w:val="18"/>
          <w:szCs w:val="18"/>
          <w:color w:val="auto"/>
        </w:rPr>
      </w:pPr>
      <w:r>
        <w:rPr>
          <w:rFonts w:ascii="Arial" w:cs="Arial" w:eastAsia="Arial" w:hAnsi="Arial"/>
          <w:sz w:val="20"/>
          <w:szCs w:val="20"/>
          <w:i w:val="1"/>
          <w:iCs w:val="1"/>
          <w:color w:val="auto"/>
        </w:rPr>
        <w:t>Financial Statements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 xml:space="preserve">The following financial statements are filed as part of </w:t>
      </w:r>
      <w:r>
        <w:rPr>
          <w:rFonts w:ascii="Arial" w:cs="Arial" w:eastAsia="Arial" w:hAnsi="Arial"/>
          <w:sz w:val="20"/>
          <w:szCs w:val="20"/>
          <w:i w:val="1"/>
          <w:iCs w:val="1"/>
          <w:color w:val="auto"/>
        </w:rPr>
        <w:t>Part II, Item 8 – Financial Statements and</w:t>
      </w:r>
    </w:p>
    <w:p>
      <w:pPr>
        <w:ind w:left="620"/>
        <w:spacing w:after="0" w:line="229" w:lineRule="auto"/>
        <w:rPr>
          <w:sz w:val="20"/>
          <w:szCs w:val="20"/>
          <w:color w:val="auto"/>
        </w:rPr>
      </w:pPr>
      <w:r>
        <w:rPr>
          <w:rFonts w:ascii="Arial" w:cs="Arial" w:eastAsia="Arial" w:hAnsi="Arial"/>
          <w:sz w:val="20"/>
          <w:szCs w:val="20"/>
          <w:i w:val="1"/>
          <w:iCs w:val="1"/>
          <w:color w:val="auto"/>
        </w:rPr>
        <w:t xml:space="preserve">Supplementary Data </w:t>
      </w:r>
      <w:r>
        <w:rPr>
          <w:rFonts w:ascii="Arial" w:cs="Arial" w:eastAsia="Arial" w:hAnsi="Arial"/>
          <w:sz w:val="20"/>
          <w:szCs w:val="20"/>
          <w:color w:val="auto"/>
        </w:rPr>
        <w:t>in this Annual Report on Form 10-K, as summarized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vMerge w:val="continue"/>
            <w:shd w:val="clear" w:color="auto" w:fill="CCEEFF"/>
          </w:tcPr>
          <w:p>
            <w:pPr>
              <w:spacing w:after="0"/>
              <w:rPr>
                <w:sz w:val="16"/>
                <w:szCs w:val="16"/>
                <w:color w:val="auto"/>
              </w:rPr>
            </w:pPr>
          </w:p>
        </w:tc>
        <w:tc>
          <w:tcPr>
            <w:tcW w:w="5400" w:type="dxa"/>
            <w:vAlign w:val="bottom"/>
            <w:tcBorders>
              <w:bottom w:val="single" w:sz="8" w:color="0000FF"/>
            </w:tcBorders>
            <w:gridSpan w:val="7"/>
            <w:shd w:val="clear" w:color="auto" w:fill="CCEEFF"/>
          </w:tcPr>
          <w:p>
            <w:pPr>
              <w:spacing w:after="0" w:line="192" w:lineRule="exact"/>
              <w:rPr>
                <w:sz w:val="20"/>
                <w:szCs w:val="20"/>
                <w:color w:val="auto"/>
              </w:rPr>
            </w:pPr>
            <w:r>
              <w:rPr>
                <w:rFonts w:ascii="Arial" w:cs="Arial" w:eastAsia="Arial" w:hAnsi="Arial"/>
                <w:sz w:val="20"/>
                <w:szCs w:val="20"/>
                <w:color w:val="0000FF"/>
                <w:w w:val="91"/>
              </w:rPr>
              <w:t>Management’s Report on Internal Control over Financial Reporting</w:t>
            </w:r>
          </w:p>
        </w:tc>
        <w:tc>
          <w:tcPr>
            <w:tcW w:w="328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jc w:val="center"/>
              <w:spacing w:after="0" w:line="192" w:lineRule="exact"/>
              <w:rPr>
                <w:sz w:val="20"/>
                <w:szCs w:val="20"/>
                <w:color w:val="auto"/>
              </w:rPr>
            </w:pPr>
            <w:r>
              <w:rPr>
                <w:rFonts w:ascii="Arial" w:cs="Arial" w:eastAsia="Arial" w:hAnsi="Arial"/>
                <w:sz w:val="20"/>
                <w:szCs w:val="20"/>
                <w:color w:val="auto"/>
                <w:w w:val="89"/>
              </w:rPr>
              <w:t>52</w:t>
            </w: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700" w:type="dxa"/>
            <w:vAlign w:val="bottom"/>
            <w:gridSpan w:val="13"/>
          </w:tcPr>
          <w:p>
            <w:pPr>
              <w:spacing w:after="0" w:line="196" w:lineRule="exact"/>
              <w:rPr>
                <w:sz w:val="20"/>
                <w:szCs w:val="20"/>
                <w:color w:val="auto"/>
              </w:rPr>
            </w:pPr>
            <w:r>
              <w:rPr>
                <w:rFonts w:ascii="Arial" w:cs="Arial" w:eastAsia="Arial" w:hAnsi="Arial"/>
                <w:sz w:val="20"/>
                <w:szCs w:val="20"/>
                <w:color w:val="0000FF"/>
              </w:rPr>
              <w:t>Report of Independent Registered Public Accounting Firm (Consolidated Financial Statements)</w:t>
            </w:r>
          </w:p>
        </w:tc>
        <w:tc>
          <w:tcPr>
            <w:tcW w:w="20" w:type="dxa"/>
            <w:vAlign w:val="bottom"/>
          </w:tcPr>
          <w:p>
            <w:pPr>
              <w:spacing w:after="0"/>
              <w:rPr>
                <w:sz w:val="17"/>
                <w:szCs w:val="17"/>
                <w:color w:val="auto"/>
              </w:rPr>
            </w:pPr>
          </w:p>
        </w:tc>
        <w:tc>
          <w:tcPr>
            <w:tcW w:w="500" w:type="dxa"/>
            <w:vAlign w:val="bottom"/>
            <w:gridSpan w:val="2"/>
          </w:tcPr>
          <w:p>
            <w:pPr>
              <w:jc w:val="center"/>
              <w:ind w:left="40"/>
              <w:spacing w:after="0" w:line="196" w:lineRule="exact"/>
              <w:rPr>
                <w:sz w:val="20"/>
                <w:szCs w:val="20"/>
                <w:color w:val="auto"/>
              </w:rPr>
            </w:pPr>
            <w:r>
              <w:rPr>
                <w:rFonts w:ascii="Arial" w:cs="Arial" w:eastAsia="Arial" w:hAnsi="Arial"/>
                <w:sz w:val="20"/>
                <w:szCs w:val="20"/>
                <w:color w:val="auto"/>
                <w:w w:val="89"/>
              </w:rPr>
              <w:t>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shd w:val="clear" w:color="auto" w:fill="CCEEFF"/>
          </w:tcPr>
          <w:p>
            <w:pPr>
              <w:spacing w:after="0" w:line="196" w:lineRule="exact"/>
              <w:rPr>
                <w:sz w:val="20"/>
                <w:szCs w:val="20"/>
                <w:color w:val="auto"/>
              </w:rPr>
            </w:pPr>
            <w:r>
              <w:rPr>
                <w:rFonts w:ascii="Arial" w:cs="Arial" w:eastAsia="Arial" w:hAnsi="Arial"/>
                <w:sz w:val="20"/>
                <w:szCs w:val="20"/>
                <w:color w:val="0000FF"/>
              </w:rPr>
              <w:t>Consolidated Balance Sheets as of December 31, 2025 and 2024</w:t>
            </w:r>
          </w:p>
        </w:tc>
        <w:tc>
          <w:tcPr>
            <w:tcW w:w="20" w:type="dxa"/>
            <w:vAlign w:val="bottom"/>
            <w:vMerge w:val="continue"/>
          </w:tcPr>
          <w:p>
            <w:pPr>
              <w:spacing w:after="0"/>
              <w:rPr>
                <w:sz w:val="17"/>
                <w:szCs w:val="17"/>
                <w:color w:val="auto"/>
              </w:rPr>
            </w:pPr>
          </w:p>
        </w:tc>
        <w:tc>
          <w:tcPr>
            <w:tcW w:w="500" w:type="dxa"/>
            <w:vAlign w:val="bottom"/>
            <w:tcBorders>
              <w:right w:val="single" w:sz="8" w:color="CCEEFF"/>
            </w:tcBorders>
            <w:gridSpan w:val="2"/>
            <w:shd w:val="clear" w:color="auto" w:fill="CCEEFF"/>
          </w:tcPr>
          <w:p>
            <w:pPr>
              <w:jc w:val="center"/>
              <w:ind w:left="40"/>
              <w:spacing w:after="0" w:line="196" w:lineRule="exact"/>
              <w:rPr>
                <w:sz w:val="20"/>
                <w:szCs w:val="20"/>
                <w:color w:val="auto"/>
              </w:rPr>
            </w:pPr>
            <w:r>
              <w:rPr>
                <w:rFonts w:ascii="Arial" w:cs="Arial" w:eastAsia="Arial" w:hAnsi="Arial"/>
                <w:sz w:val="20"/>
                <w:szCs w:val="20"/>
                <w:color w:val="auto"/>
                <w:w w:val="89"/>
              </w:rPr>
              <w:t>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tcPr>
          <w:p>
            <w:pPr>
              <w:spacing w:after="0" w:line="196" w:lineRule="exact"/>
              <w:rPr>
                <w:sz w:val="20"/>
                <w:szCs w:val="20"/>
                <w:color w:val="auto"/>
              </w:rPr>
            </w:pPr>
            <w:r>
              <w:rPr>
                <w:rFonts w:ascii="Arial" w:cs="Arial" w:eastAsia="Arial" w:hAnsi="Arial"/>
                <w:sz w:val="20"/>
                <w:szCs w:val="20"/>
                <w:color w:val="0000FF"/>
              </w:rPr>
              <w:t>Consolidated Statements of Income (Loss) for the Three Years Ended December 31, 2025</w:t>
            </w:r>
          </w:p>
        </w:tc>
        <w:tc>
          <w:tcPr>
            <w:tcW w:w="20" w:type="dxa"/>
            <w:vAlign w:val="bottom"/>
            <w:vMerge w:val="continue"/>
          </w:tcPr>
          <w:p>
            <w:pPr>
              <w:spacing w:after="0"/>
              <w:rPr>
                <w:sz w:val="17"/>
                <w:szCs w:val="17"/>
                <w:color w:val="auto"/>
              </w:rPr>
            </w:pPr>
          </w:p>
        </w:tc>
        <w:tc>
          <w:tcPr>
            <w:tcW w:w="500" w:type="dxa"/>
            <w:vAlign w:val="bottom"/>
            <w:gridSpan w:val="2"/>
          </w:tcPr>
          <w:p>
            <w:pPr>
              <w:jc w:val="center"/>
              <w:ind w:left="40"/>
              <w:spacing w:after="0" w:line="196" w:lineRule="exact"/>
              <w:rPr>
                <w:sz w:val="20"/>
                <w:szCs w:val="20"/>
                <w:color w:val="auto"/>
              </w:rPr>
            </w:pPr>
            <w:r>
              <w:rPr>
                <w:rFonts w:ascii="Arial" w:cs="Arial" w:eastAsia="Arial" w:hAnsi="Arial"/>
                <w:sz w:val="20"/>
                <w:szCs w:val="20"/>
                <w:color w:val="auto"/>
                <w:w w:val="89"/>
              </w:rPr>
              <w:t>56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shd w:val="clear" w:color="auto" w:fill="CCEEFF"/>
          </w:tcPr>
          <w:p>
            <w:pPr>
              <w:spacing w:after="0" w:line="196" w:lineRule="exact"/>
              <w:rPr>
                <w:sz w:val="20"/>
                <w:szCs w:val="20"/>
                <w:color w:val="auto"/>
              </w:rPr>
            </w:pPr>
            <w:r>
              <w:rPr>
                <w:rFonts w:ascii="Arial" w:cs="Arial" w:eastAsia="Arial" w:hAnsi="Arial"/>
                <w:sz w:val="20"/>
                <w:szCs w:val="20"/>
                <w:color w:val="0000FF"/>
                <w:w w:val="98"/>
              </w:rPr>
              <w:t>Consolidated Statements of Comprehensive Income for the Three Years Ended December 31, 2025</w:t>
            </w:r>
          </w:p>
        </w:tc>
        <w:tc>
          <w:tcPr>
            <w:tcW w:w="20" w:type="dxa"/>
            <w:vAlign w:val="bottom"/>
            <w:vMerge w:val="continue"/>
          </w:tcPr>
          <w:p>
            <w:pPr>
              <w:spacing w:after="0"/>
              <w:rPr>
                <w:sz w:val="17"/>
                <w:szCs w:val="17"/>
                <w:color w:val="auto"/>
              </w:rPr>
            </w:pPr>
          </w:p>
        </w:tc>
        <w:tc>
          <w:tcPr>
            <w:tcW w:w="500" w:type="dxa"/>
            <w:vAlign w:val="bottom"/>
            <w:tcBorders>
              <w:right w:val="single" w:sz="8" w:color="CCEEFF"/>
            </w:tcBorders>
            <w:gridSpan w:val="2"/>
            <w:shd w:val="clear" w:color="auto" w:fill="CCEEFF"/>
          </w:tcPr>
          <w:p>
            <w:pPr>
              <w:jc w:val="center"/>
              <w:ind w:left="40"/>
              <w:spacing w:after="0" w:line="196" w:lineRule="exact"/>
              <w:rPr>
                <w:sz w:val="20"/>
                <w:szCs w:val="20"/>
                <w:color w:val="auto"/>
              </w:rPr>
            </w:pPr>
            <w:r>
              <w:rPr>
                <w:rFonts w:ascii="Arial" w:cs="Arial" w:eastAsia="Arial" w:hAnsi="Arial"/>
                <w:sz w:val="20"/>
                <w:szCs w:val="20"/>
                <w:color w:val="auto"/>
                <w:w w:val="89"/>
              </w:rPr>
              <w:t>57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tcPr>
          <w:p>
            <w:pPr>
              <w:spacing w:after="0" w:line="196" w:lineRule="exact"/>
              <w:rPr>
                <w:sz w:val="20"/>
                <w:szCs w:val="20"/>
                <w:color w:val="auto"/>
              </w:rPr>
            </w:pPr>
            <w:r>
              <w:rPr>
                <w:rFonts w:ascii="Arial" w:cs="Arial" w:eastAsia="Arial" w:hAnsi="Arial"/>
                <w:sz w:val="20"/>
                <w:szCs w:val="20"/>
                <w:color w:val="0000FF"/>
              </w:rPr>
              <w:t>Consolidated Statements of Stockholders’ Equity for the Three Years Ended December 31, 2025</w:t>
            </w:r>
          </w:p>
        </w:tc>
        <w:tc>
          <w:tcPr>
            <w:tcW w:w="20" w:type="dxa"/>
            <w:vAlign w:val="bottom"/>
            <w:vMerge w:val="continue"/>
          </w:tcPr>
          <w:p>
            <w:pPr>
              <w:spacing w:after="0"/>
              <w:rPr>
                <w:sz w:val="17"/>
                <w:szCs w:val="17"/>
                <w:color w:val="auto"/>
              </w:rPr>
            </w:pPr>
          </w:p>
        </w:tc>
        <w:tc>
          <w:tcPr>
            <w:tcW w:w="500" w:type="dxa"/>
            <w:vAlign w:val="bottom"/>
            <w:gridSpan w:val="2"/>
          </w:tcPr>
          <w:p>
            <w:pPr>
              <w:jc w:val="center"/>
              <w:ind w:left="40"/>
              <w:spacing w:after="0" w:line="196" w:lineRule="exact"/>
              <w:rPr>
                <w:sz w:val="20"/>
                <w:szCs w:val="20"/>
                <w:color w:val="auto"/>
              </w:rPr>
            </w:pPr>
            <w:r>
              <w:rPr>
                <w:rFonts w:ascii="Arial" w:cs="Arial" w:eastAsia="Arial" w:hAnsi="Arial"/>
                <w:sz w:val="20"/>
                <w:szCs w:val="20"/>
                <w:color w:val="auto"/>
                <w:w w:val="89"/>
              </w:rPr>
              <w:t>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shd w:val="clear" w:color="auto" w:fill="CCEEFF"/>
          </w:tcPr>
          <w:p>
            <w:pPr>
              <w:spacing w:after="0" w:line="196" w:lineRule="exact"/>
              <w:rPr>
                <w:sz w:val="20"/>
                <w:szCs w:val="20"/>
                <w:color w:val="auto"/>
              </w:rPr>
            </w:pPr>
            <w:r>
              <w:rPr>
                <w:rFonts w:ascii="Arial" w:cs="Arial" w:eastAsia="Arial" w:hAnsi="Arial"/>
                <w:sz w:val="20"/>
                <w:szCs w:val="20"/>
                <w:color w:val="0000FF"/>
              </w:rPr>
              <w:t>Consolidated Statements of Cash Flows for the Three Years Ended December 31, 2025</w:t>
            </w:r>
          </w:p>
        </w:tc>
        <w:tc>
          <w:tcPr>
            <w:tcW w:w="20" w:type="dxa"/>
            <w:vAlign w:val="bottom"/>
            <w:vMerge w:val="continue"/>
          </w:tcPr>
          <w:p>
            <w:pPr>
              <w:spacing w:after="0"/>
              <w:rPr>
                <w:sz w:val="17"/>
                <w:szCs w:val="17"/>
                <w:color w:val="auto"/>
              </w:rPr>
            </w:pPr>
          </w:p>
        </w:tc>
        <w:tc>
          <w:tcPr>
            <w:tcW w:w="500" w:type="dxa"/>
            <w:vAlign w:val="bottom"/>
            <w:tcBorders>
              <w:right w:val="single" w:sz="8" w:color="CCEEFF"/>
            </w:tcBorders>
            <w:gridSpan w:val="2"/>
            <w:shd w:val="clear" w:color="auto" w:fill="CCEEFF"/>
          </w:tcPr>
          <w:p>
            <w:pPr>
              <w:jc w:val="center"/>
              <w:ind w:left="40"/>
              <w:spacing w:after="0" w:line="196" w:lineRule="exact"/>
              <w:rPr>
                <w:sz w:val="20"/>
                <w:szCs w:val="20"/>
                <w:color w:val="auto"/>
              </w:rPr>
            </w:pPr>
            <w:r>
              <w:rPr>
                <w:rFonts w:ascii="Arial" w:cs="Arial" w:eastAsia="Arial" w:hAnsi="Arial"/>
                <w:sz w:val="20"/>
                <w:szCs w:val="20"/>
                <w:color w:val="auto"/>
                <w:w w:val="89"/>
              </w:rPr>
              <w:t>59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3"/>
          </w:tcPr>
          <w:p>
            <w:pPr>
              <w:spacing w:after="0" w:line="196" w:lineRule="exact"/>
              <w:rPr>
                <w:sz w:val="20"/>
                <w:szCs w:val="20"/>
                <w:color w:val="auto"/>
              </w:rPr>
            </w:pPr>
            <w:r>
              <w:rPr>
                <w:rFonts w:ascii="Arial" w:cs="Arial" w:eastAsia="Arial" w:hAnsi="Arial"/>
                <w:sz w:val="20"/>
                <w:szCs w:val="20"/>
                <w:color w:val="0000FF"/>
              </w:rPr>
              <w:t>Notes to Consolidated Financial Statements</w:t>
            </w:r>
          </w:p>
        </w:tc>
        <w:tc>
          <w:tcPr>
            <w:tcW w:w="20" w:type="dxa"/>
            <w:vAlign w:val="bottom"/>
            <w:vMerge w:val="continue"/>
          </w:tcPr>
          <w:p>
            <w:pPr>
              <w:spacing w:after="0"/>
              <w:rPr>
                <w:sz w:val="17"/>
                <w:szCs w:val="17"/>
                <w:color w:val="auto"/>
              </w:rPr>
            </w:pPr>
          </w:p>
        </w:tc>
        <w:tc>
          <w:tcPr>
            <w:tcW w:w="500" w:type="dxa"/>
            <w:vAlign w:val="bottom"/>
            <w:gridSpan w:val="2"/>
          </w:tcPr>
          <w:p>
            <w:pPr>
              <w:jc w:val="center"/>
              <w:ind w:left="40"/>
              <w:spacing w:after="0" w:line="196" w:lineRule="exact"/>
              <w:rPr>
                <w:sz w:val="20"/>
                <w:szCs w:val="20"/>
                <w:color w:val="auto"/>
              </w:rPr>
            </w:pPr>
            <w:r>
              <w:rPr>
                <w:rFonts w:ascii="Arial" w:cs="Arial" w:eastAsia="Arial" w:hAnsi="Arial"/>
                <w:sz w:val="20"/>
                <w:szCs w:val="20"/>
                <w:color w:val="auto"/>
                <w:w w:val="89"/>
              </w:rPr>
              <w:t>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8680" w:type="dxa"/>
            <w:vAlign w:val="bottom"/>
            <w:gridSpan w:val="12"/>
          </w:tcPr>
          <w:p>
            <w:pPr>
              <w:ind w:left="340"/>
              <w:spacing w:after="0"/>
              <w:rPr>
                <w:sz w:val="20"/>
                <w:szCs w:val="20"/>
                <w:color w:val="auto"/>
              </w:rPr>
            </w:pPr>
            <w:r>
              <w:rPr>
                <w:rFonts w:ascii="Arial" w:cs="Arial" w:eastAsia="Arial" w:hAnsi="Arial"/>
                <w:sz w:val="20"/>
                <w:szCs w:val="20"/>
                <w:i w:val="1"/>
                <w:iCs w:val="1"/>
                <w:color w:val="auto"/>
                <w:w w:val="96"/>
              </w:rPr>
              <w:t>2. Financial Statements and Schedules for the years ended December 31, 2025, 2024, and 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700" w:type="dxa"/>
            <w:vAlign w:val="bottom"/>
            <w:gridSpan w:val="13"/>
          </w:tcPr>
          <w:p>
            <w:pPr>
              <w:spacing w:after="0" w:line="178" w:lineRule="exact"/>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jc w:val="center"/>
              <w:ind w:right="200"/>
              <w:spacing w:after="0" w:line="178" w:lineRule="exact"/>
              <w:rPr>
                <w:sz w:val="20"/>
                <w:szCs w:val="20"/>
                <w:color w:val="auto"/>
              </w:rPr>
            </w:pPr>
            <w:r>
              <w:rPr>
                <w:rFonts w:ascii="Arial" w:cs="Arial" w:eastAsia="Arial" w:hAnsi="Arial"/>
                <w:sz w:val="16"/>
                <w:szCs w:val="16"/>
                <w:b w:val="1"/>
                <w:bCs w:val="1"/>
                <w:color w:val="auto"/>
                <w:w w:val="78"/>
              </w:rPr>
              <w:t>Page</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0000FF"/>
            </w:tcBorders>
            <w:gridSpan w:val="2"/>
            <w:shd w:val="clear" w:color="auto" w:fill="CCEEFF"/>
          </w:tcPr>
          <w:p>
            <w:pPr>
              <w:spacing w:after="0" w:line="192" w:lineRule="exact"/>
              <w:rPr>
                <w:sz w:val="20"/>
                <w:szCs w:val="20"/>
                <w:color w:val="auto"/>
              </w:rPr>
            </w:pPr>
            <w:r>
              <w:rPr>
                <w:rFonts w:ascii="Arial" w:cs="Arial" w:eastAsia="Arial" w:hAnsi="Arial"/>
                <w:sz w:val="20"/>
                <w:szCs w:val="20"/>
                <w:color w:val="0000FF"/>
                <w:w w:val="91"/>
              </w:rPr>
              <w:t>Schedule</w:t>
            </w:r>
          </w:p>
        </w:tc>
        <w:tc>
          <w:tcPr>
            <w:tcW w:w="3140" w:type="dxa"/>
            <w:vAlign w:val="bottom"/>
            <w:tcBorders>
              <w:top w:val="single" w:sz="8" w:color="CCEEFF"/>
              <w:bottom w:val="single" w:sz="8" w:color="0000FF"/>
            </w:tcBorders>
            <w:gridSpan w:val="3"/>
            <w:shd w:val="clear" w:color="auto" w:fill="CCEEFF"/>
          </w:tcPr>
          <w:p>
            <w:pPr>
              <w:spacing w:after="0" w:line="192" w:lineRule="exact"/>
              <w:rPr>
                <w:sz w:val="20"/>
                <w:szCs w:val="20"/>
                <w:color w:val="auto"/>
              </w:rPr>
            </w:pPr>
            <w:r>
              <w:rPr>
                <w:rFonts w:ascii="Arial" w:cs="Arial" w:eastAsia="Arial" w:hAnsi="Arial"/>
                <w:sz w:val="20"/>
                <w:szCs w:val="20"/>
                <w:color w:val="0000FF"/>
                <w:w w:val="92"/>
              </w:rPr>
              <w:t>II – Valuation and Qualifying Accounts</w:t>
            </w:r>
          </w:p>
        </w:tc>
        <w:tc>
          <w:tcPr>
            <w:tcW w:w="476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320" w:type="dxa"/>
            <w:vAlign w:val="bottom"/>
            <w:tcBorders>
              <w:top w:val="single" w:sz="8" w:color="auto"/>
              <w:bottom w:val="single" w:sz="8" w:color="CCEEFF"/>
              <w:right w:val="single" w:sz="8" w:color="CCEEFF"/>
            </w:tcBorders>
            <w:shd w:val="clear" w:color="auto" w:fill="CCEEFF"/>
          </w:tcPr>
          <w:p>
            <w:pPr>
              <w:jc w:val="center"/>
              <w:spacing w:after="0" w:line="192" w:lineRule="exact"/>
              <w:rPr>
                <w:sz w:val="20"/>
                <w:szCs w:val="20"/>
                <w:color w:val="auto"/>
              </w:rPr>
            </w:pPr>
            <w:r>
              <w:rPr>
                <w:rFonts w:ascii="Arial" w:cs="Arial" w:eastAsia="Arial" w:hAnsi="Arial"/>
                <w:sz w:val="20"/>
                <w:szCs w:val="20"/>
                <w:color w:val="auto"/>
                <w:w w:val="89"/>
              </w:rPr>
              <w:t>96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600" w:type="dxa"/>
            <w:vAlign w:val="bottom"/>
            <w:gridSpan w:val="2"/>
          </w:tcPr>
          <w:p>
            <w:pPr>
              <w:ind w:left="360"/>
              <w:spacing w:after="0"/>
              <w:rPr>
                <w:sz w:val="20"/>
                <w:szCs w:val="20"/>
                <w:color w:val="auto"/>
              </w:rPr>
            </w:pPr>
            <w:r>
              <w:rPr>
                <w:rFonts w:ascii="Arial" w:cs="Arial" w:eastAsia="Arial" w:hAnsi="Arial"/>
                <w:sz w:val="20"/>
                <w:szCs w:val="20"/>
                <w:color w:val="auto"/>
              </w:rPr>
              <w:t>3.</w:t>
            </w: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i w:val="1"/>
                <w:iCs w:val="1"/>
                <w:color w:val="0000FF"/>
                <w:w w:val="91"/>
              </w:rPr>
              <w:t>Exhibits</w:t>
            </w:r>
          </w:p>
        </w:tc>
        <w:tc>
          <w:tcPr>
            <w:tcW w:w="74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20"/>
                <w:szCs w:val="20"/>
                <w:color w:val="auto"/>
                <w:w w:val="89"/>
              </w:rPr>
              <w:t>(b)</w:t>
            </w:r>
          </w:p>
        </w:tc>
        <w:tc>
          <w:tcPr>
            <w:tcW w:w="8100" w:type="dxa"/>
            <w:vAlign w:val="bottom"/>
            <w:gridSpan w:val="11"/>
          </w:tcPr>
          <w:p>
            <w:pPr>
              <w:ind w:left="80"/>
              <w:spacing w:after="0"/>
              <w:rPr>
                <w:sz w:val="20"/>
                <w:szCs w:val="20"/>
                <w:color w:val="auto"/>
              </w:rPr>
            </w:pPr>
            <w:r>
              <w:rPr>
                <w:rFonts w:ascii="Arial" w:cs="Arial" w:eastAsia="Arial" w:hAnsi="Arial"/>
                <w:sz w:val="20"/>
                <w:szCs w:val="20"/>
                <w:color w:val="auto"/>
              </w:rPr>
              <w:t>Exhibits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Item (a) 3. Above.</w:t>
      </w:r>
    </w:p>
    <w:p>
      <w:pPr>
        <w:spacing w:after="0" w:line="212" w:lineRule="exact"/>
        <w:rPr>
          <w:sz w:val="20"/>
          <w:szCs w:val="20"/>
          <w:color w:val="auto"/>
        </w:rPr>
      </w:pPr>
    </w:p>
    <w:p>
      <w:pPr>
        <w:ind w:left="360" w:right="6500" w:hanging="6"/>
        <w:spacing w:after="0" w:line="560" w:lineRule="auto"/>
        <w:tabs>
          <w:tab w:leader="none" w:pos="527" w:val="left"/>
        </w:tabs>
        <w:numPr>
          <w:ilvl w:val="0"/>
          <w:numId w:val="65"/>
        </w:numPr>
        <w:rPr>
          <w:rFonts w:ascii="Arial" w:cs="Arial" w:eastAsia="Arial" w:hAnsi="Arial"/>
          <w:sz w:val="17"/>
          <w:szCs w:val="17"/>
          <w:color w:val="auto"/>
        </w:rPr>
      </w:pPr>
      <w:r>
        <w:rPr>
          <w:rFonts w:ascii="Arial" w:cs="Arial" w:eastAsia="Arial" w:hAnsi="Arial"/>
          <w:sz w:val="17"/>
          <w:szCs w:val="17"/>
          <w:color w:val="auto"/>
        </w:rPr>
        <w:t>Financial Statement Schedule See Item (a) 2. Above.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39</w:t>
      </w:r>
    </w:p>
    <w:p>
      <w:pPr>
        <w:sectPr>
          <w:pgSz w:w="11900" w:h="16838" w:orient="portrait"/>
          <w:cols w:equalWidth="0" w:num="1">
            <w:col w:w="9400"/>
          </w:cols>
          <w:pgMar w:left="1260" w:top="1333" w:right="1246" w:bottom="0" w:gutter="0" w:footer="0" w:header="0"/>
          <w:type w:val="continuous"/>
        </w:sectPr>
      </w:pPr>
    </w:p>
    <w:bookmarkStart w:id="152" w:name="page153"/>
    <w:bookmarkEnd w:id="152"/>
    <w:p>
      <w:pPr>
        <w:jc w:val="center"/>
        <w:ind w:right="-339"/>
        <w:spacing w:after="0"/>
        <w:rPr>
          <w:sz w:val="20"/>
          <w:szCs w:val="20"/>
          <w:color w:val="auto"/>
        </w:rPr>
      </w:pPr>
      <w:r>
        <w:rPr>
          <w:rFonts w:ascii="Arial" w:cs="Arial" w:eastAsia="Arial" w:hAnsi="Arial"/>
          <w:sz w:val="28"/>
          <w:szCs w:val="28"/>
          <w:b w:val="1"/>
          <w:bCs w:val="1"/>
          <w:u w:val="single" w:color="auto"/>
          <w:color w:val="auto"/>
        </w:rPr>
        <w:t>EXHIBITS</w:t>
      </w:r>
    </w:p>
    <w:p>
      <w:pPr>
        <w:sectPr>
          <w:pgSz w:w="11900" w:h="16838" w:orient="portrait"/>
          <w:cols w:equalWidth="0" w:num="1">
            <w:col w:w="9400"/>
          </w:cols>
          <w:pgMar w:left="1260" w:top="1333" w:right="1246" w:bottom="0" w:gutter="0" w:footer="0" w:header="0"/>
        </w:sect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Exhibit</w:t>
      </w:r>
    </w:p>
    <w:p>
      <w:pPr>
        <w:ind w:left="320"/>
        <w:spacing w:after="0" w:line="225" w:lineRule="auto"/>
        <w:tabs>
          <w:tab w:leader="none" w:pos="24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jc w:val="both"/>
        <w:ind w:left="860" w:right="280" w:hanging="548"/>
        <w:spacing w:after="0" w:line="238" w:lineRule="auto"/>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Amended and Restated Articles of Incorporation of Reading International, Inc., a Nevada corporation, effective as of August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3108960" cy="3702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8">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ind w:left="880" w:right="120" w:hanging="563"/>
        <w:spacing w:after="0" w:line="255"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Reading International, Inc., a Nevada corporation, effective as</w:t>
      </w:r>
    </w:p>
    <w:p>
      <w:pPr>
        <w:ind w:left="880"/>
        <w:spacing w:after="0"/>
        <w:rPr>
          <w:sz w:val="20"/>
          <w:szCs w:val="20"/>
          <w:color w:val="auto"/>
        </w:rPr>
      </w:pPr>
      <w:r>
        <w:rPr>
          <w:rFonts w:ascii="Arial" w:cs="Arial" w:eastAsia="Arial" w:hAnsi="Arial"/>
          <w:sz w:val="18"/>
          <w:szCs w:val="18"/>
          <w:color w:val="auto"/>
        </w:rPr>
        <w:t>of November 7, 2017</w:t>
      </w:r>
      <w:r>
        <w:rPr>
          <w:rFonts w:ascii="Arial" w:cs="Arial" w:eastAsia="Arial" w:hAnsi="Arial"/>
          <w:sz w:val="28"/>
          <w:szCs w:val="28"/>
          <w:color w:val="auto"/>
          <w:vertAlign w:val="superscript"/>
        </w:rPr>
        <w:t>(1)</w:t>
      </w:r>
    </w:p>
    <w:p>
      <w:pPr>
        <w:spacing w:after="0" w:line="64" w:lineRule="exact"/>
        <w:rPr>
          <w:sz w:val="20"/>
          <w:szCs w:val="20"/>
          <w:color w:val="auto"/>
        </w:rPr>
      </w:pPr>
    </w:p>
    <w:p>
      <w:pPr>
        <w:jc w:val="both"/>
        <w:ind w:left="880" w:hanging="563"/>
        <w:spacing w:after="0" w:line="272" w:lineRule="auto"/>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Preferred Securities Certificate evidencing the preferred securities of Reading International Trust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3108960" cy="3702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9">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spacing w:after="0" w:line="146" w:lineRule="exact"/>
        <w:rPr>
          <w:sz w:val="20"/>
          <w:szCs w:val="20"/>
          <w:color w:val="auto"/>
        </w:rPr>
      </w:pPr>
    </w:p>
    <w:p>
      <w:pPr>
        <w:jc w:val="right"/>
        <w:ind w:left="320" w:right="260"/>
        <w:spacing w:after="0" w:line="242" w:lineRule="auto"/>
        <w:rPr>
          <w:sz w:val="20"/>
          <w:szCs w:val="20"/>
          <w:color w:val="auto"/>
        </w:rPr>
      </w:pPr>
      <w:r>
        <w:rPr>
          <w:rFonts w:ascii="Arial" w:cs="Arial" w:eastAsia="Arial" w:hAnsi="Arial"/>
          <w:sz w:val="17"/>
          <w:szCs w:val="17"/>
          <w:color w:val="auto"/>
        </w:rPr>
        <w:t>4.2    Form of Common Securities Certificate evidencing common securities of Reading International Trust I</w:t>
      </w:r>
    </w:p>
    <w:p>
      <w:pPr>
        <w:spacing w:after="0" w:line="189" w:lineRule="exact"/>
        <w:rPr>
          <w:sz w:val="20"/>
          <w:szCs w:val="20"/>
          <w:color w:val="auto"/>
        </w:rPr>
      </w:pPr>
    </w:p>
    <w:p>
      <w:pPr>
        <w:jc w:val="right"/>
        <w:ind w:left="320" w:right="60"/>
        <w:spacing w:after="0" w:line="242" w:lineRule="auto"/>
        <w:rPr>
          <w:sz w:val="20"/>
          <w:szCs w:val="20"/>
          <w:color w:val="auto"/>
        </w:rPr>
      </w:pPr>
      <w:r>
        <w:rPr>
          <w:rFonts w:ascii="Arial" w:cs="Arial" w:eastAsia="Arial" w:hAnsi="Arial"/>
          <w:sz w:val="17"/>
          <w:szCs w:val="17"/>
          <w:color w:val="auto"/>
        </w:rPr>
        <w:t>4.3    Form of Reading International, Inc. and Reading New Zealand, Limited, Junior Subordinated Note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3108960" cy="370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0">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spacing w:after="0" w:line="169" w:lineRule="exact"/>
        <w:rPr>
          <w:sz w:val="20"/>
          <w:szCs w:val="20"/>
          <w:color w:val="auto"/>
        </w:rPr>
      </w:pPr>
    </w:p>
    <w:p>
      <w:pPr>
        <w:jc w:val="both"/>
        <w:ind w:left="880" w:right="20" w:hanging="563"/>
        <w:spacing w:after="0" w:line="225" w:lineRule="auto"/>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Indenture among Reading International, Inc., Reading New Zealand Limited, and Wells Fargo Bank, N.A., as indenture trustee.</w:t>
      </w:r>
    </w:p>
    <w:p>
      <w:pPr>
        <w:ind w:left="320"/>
        <w:spacing w:after="0"/>
        <w:tabs>
          <w:tab w:leader="none" w:pos="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3108960" cy="247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1">
                      <a:extLst>
                        <a:ext uri="{28A0092B-C50C-407E-A947-70E740481C1C}"/>
                      </a:extLst>
                    </a:blip>
                    <a:srcRect/>
                    <a:stretch>
                      <a:fillRect/>
                    </a:stretch>
                  </pic:blipFill>
                  <pic:spPr bwMode="auto">
                    <a:xfrm>
                      <a:off x="0" y="0"/>
                      <a:ext cx="3108960" cy="247015"/>
                    </a:xfrm>
                    <a:prstGeom prst="rect">
                      <a:avLst/>
                    </a:prstGeom>
                    <a:noFill/>
                  </pic:spPr>
                </pic:pic>
              </a:graphicData>
            </a:graphic>
          </wp:anchor>
        </w:drawing>
      </w:r>
    </w:p>
    <w:p>
      <w:pPr>
        <w:spacing w:after="0" w:line="171" w:lineRule="exact"/>
        <w:rPr>
          <w:sz w:val="20"/>
          <w:szCs w:val="20"/>
          <w:color w:val="auto"/>
        </w:rPr>
      </w:pPr>
    </w:p>
    <w:p>
      <w:pPr>
        <w:ind w:left="880" w:right="60" w:hanging="563"/>
        <w:spacing w:after="0" w:line="225" w:lineRule="auto"/>
        <w:tabs>
          <w:tab w:leader="none" w:pos="8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Description of Registrant’s Securities Registered Pursuant to Section 12 of the Securities Exchange Act of 1934</w:t>
      </w:r>
    </w:p>
    <w:p>
      <w:pPr>
        <w:ind w:left="220"/>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Reading International, Inc.2020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3108960" cy="424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2">
                      <a:extLst>
                        <a:ext uri="{28A0092B-C50C-407E-A947-70E740481C1C}"/>
                      </a:extLst>
                    </a:blip>
                    <a:srcRect/>
                    <a:stretch>
                      <a:fillRect/>
                    </a:stretch>
                  </pic:blipFill>
                  <pic:spPr bwMode="auto">
                    <a:xfrm>
                      <a:off x="0" y="0"/>
                      <a:ext cx="3108960" cy="4241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80" w:right="140" w:hanging="653"/>
        <w:spacing w:after="0" w:line="227" w:lineRule="auto"/>
        <w:tabs>
          <w:tab w:leader="none" w:pos="860" w:val="left"/>
        </w:tabs>
        <w:rPr>
          <w:sz w:val="20"/>
          <w:szCs w:val="20"/>
          <w:color w:val="auto"/>
        </w:rPr>
      </w:pPr>
      <w:r>
        <w:rPr>
          <w:rFonts w:ascii="Arial" w:cs="Arial" w:eastAsia="Arial" w:hAnsi="Arial"/>
          <w:sz w:val="18"/>
          <w:szCs w:val="18"/>
          <w:color w:val="auto"/>
        </w:rPr>
        <w:t>10.2*</w:t>
        <w:tab/>
        <w:t>First Amendment to Reading International, Inc. 2020 Stock Incentive Plan</w:t>
      </w:r>
    </w:p>
    <w:p>
      <w:pPr>
        <w:spacing w:after="0" w:line="264"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3108960" cy="424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3">
                      <a:extLst>
                        <a:ext uri="{28A0092B-C50C-407E-A947-70E740481C1C}"/>
                      </a:extLst>
                    </a:blip>
                    <a:srcRect/>
                    <a:stretch>
                      <a:fillRect/>
                    </a:stretch>
                  </pic:blipFill>
                  <pic:spPr bwMode="auto">
                    <a:xfrm>
                      <a:off x="0" y="0"/>
                      <a:ext cx="3108960" cy="424180"/>
                    </a:xfrm>
                    <a:prstGeom prst="rect">
                      <a:avLst/>
                    </a:prstGeom>
                    <a:noFill/>
                  </pic:spPr>
                </pic:pic>
              </a:graphicData>
            </a:graphic>
          </wp:anchor>
        </w:drawing>
      </w:r>
    </w:p>
    <w:p>
      <w:pPr>
        <w:ind w:left="880"/>
        <w:spacing w:after="0" w:line="230" w:lineRule="auto"/>
        <w:rPr>
          <w:sz w:val="20"/>
          <w:szCs w:val="20"/>
          <w:color w:val="auto"/>
        </w:rPr>
      </w:pPr>
      <w:r>
        <w:rPr>
          <w:rFonts w:ascii="Arial" w:cs="Arial" w:eastAsia="Arial" w:hAnsi="Arial"/>
          <w:sz w:val="18"/>
          <w:szCs w:val="18"/>
          <w:color w:val="auto"/>
        </w:rPr>
        <w:t>2020 Stock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Links for Exhibits Incorporated by Reference</w:t>
      </w:r>
    </w:p>
    <w:p>
      <w:pPr>
        <w:ind w:right="80"/>
        <w:spacing w:after="0" w:line="253" w:lineRule="auto"/>
        <w:rPr>
          <w:rFonts w:ascii="Arial" w:cs="Arial" w:eastAsia="Arial" w:hAnsi="Arial"/>
          <w:sz w:val="16"/>
          <w:szCs w:val="16"/>
          <w:b w:val="1"/>
          <w:bCs w:val="1"/>
          <w:color w:val="0000FF"/>
        </w:rPr>
      </w:pPr>
      <w:r>
        <w:rPr>
          <w:rFonts w:ascii="Arial" w:cs="Arial" w:eastAsia="Arial" w:hAnsi="Arial"/>
          <w:sz w:val="16"/>
          <w:szCs w:val="16"/>
          <w:color w:val="auto"/>
        </w:rPr>
        <w:t xml:space="preserve">Filed as </w:t>
      </w:r>
      <w:hyperlink r:id="rId164">
        <w:r>
          <w:rPr>
            <w:rFonts w:ascii="Arial" w:cs="Arial" w:eastAsia="Arial" w:hAnsi="Arial"/>
            <w:sz w:val="16"/>
            <w:szCs w:val="16"/>
            <w:b w:val="1"/>
            <w:bCs w:val="1"/>
            <w:u w:val="single" w:color="auto"/>
            <w:color w:val="0000FF"/>
          </w:rPr>
          <w:t>Exhibit 3.1 to the Company’s Annual Report on</w:t>
        </w:r>
      </w:hyperlink>
      <w:r>
        <w:rPr>
          <w:rFonts w:ascii="Arial" w:cs="Arial" w:eastAsia="Arial" w:hAnsi="Arial"/>
          <w:sz w:val="16"/>
          <w:szCs w:val="16"/>
          <w:color w:val="auto"/>
        </w:rPr>
        <w:t xml:space="preserve"> </w:t>
      </w:r>
      <w:hyperlink r:id="rId164">
        <w:r>
          <w:rPr>
            <w:rFonts w:ascii="Arial" w:cs="Arial" w:eastAsia="Arial" w:hAnsi="Arial"/>
            <w:sz w:val="16"/>
            <w:szCs w:val="16"/>
            <w:b w:val="1"/>
            <w:bCs w:val="1"/>
            <w:u w:val="single" w:color="auto"/>
            <w:color w:val="0000FF"/>
          </w:rPr>
          <w:t>Form 10-K for the year ended December 31, 2015</w:t>
        </w:r>
      </w:hyperlink>
      <w:r>
        <w:rPr>
          <w:rFonts w:ascii="Arial" w:cs="Arial" w:eastAsia="Arial" w:hAnsi="Arial"/>
          <w:sz w:val="16"/>
          <w:szCs w:val="16"/>
          <w:color w:val="000000"/>
        </w:rPr>
        <w:t>,</w:t>
      </w:r>
      <w:r>
        <w:rPr>
          <w:rFonts w:ascii="Arial" w:cs="Arial" w:eastAsia="Arial" w:hAnsi="Arial"/>
          <w:sz w:val="16"/>
          <w:szCs w:val="16"/>
          <w:b w:val="1"/>
          <w:bCs w:val="1"/>
          <w:color w:val="0000FF"/>
        </w:rPr>
        <w:t xml:space="preserve"> </w:t>
      </w:r>
      <w:r>
        <w:rPr>
          <w:rFonts w:ascii="Arial" w:cs="Arial" w:eastAsia="Arial" w:hAnsi="Arial"/>
          <w:sz w:val="16"/>
          <w:szCs w:val="16"/>
          <w:color w:val="000000"/>
        </w:rPr>
        <w:t>filed on</w:t>
      </w:r>
      <w:r>
        <w:rPr>
          <w:rFonts w:ascii="Arial" w:cs="Arial" w:eastAsia="Arial" w:hAnsi="Arial"/>
          <w:sz w:val="16"/>
          <w:szCs w:val="16"/>
          <w:b w:val="1"/>
          <w:bCs w:val="1"/>
          <w:color w:val="0000FF"/>
        </w:rPr>
        <w:t xml:space="preserve"> </w:t>
      </w:r>
      <w:r>
        <w:rPr>
          <w:rFonts w:ascii="Arial" w:cs="Arial" w:eastAsia="Arial" w:hAnsi="Arial"/>
          <w:sz w:val="16"/>
          <w:szCs w:val="16"/>
          <w:color w:val="000000"/>
        </w:rPr>
        <w:t>April 29, 2016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-367030</wp:posOffset>
            </wp:positionV>
            <wp:extent cx="2858770" cy="3702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5">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ind w:right="220"/>
        <w:spacing w:after="0" w:line="238" w:lineRule="auto"/>
        <w:rPr>
          <w:rFonts w:ascii="Arial" w:cs="Arial" w:eastAsia="Arial" w:hAnsi="Arial"/>
          <w:sz w:val="17"/>
          <w:szCs w:val="17"/>
          <w:b w:val="1"/>
          <w:bCs w:val="1"/>
          <w:u w:val="single" w:color="auto"/>
          <w:color w:val="0000FF"/>
        </w:rPr>
      </w:pPr>
      <w:r>
        <w:rPr>
          <w:rFonts w:ascii="Arial" w:cs="Arial" w:eastAsia="Arial" w:hAnsi="Arial"/>
          <w:sz w:val="17"/>
          <w:szCs w:val="17"/>
          <w:color w:val="auto"/>
        </w:rPr>
        <w:t xml:space="preserve">Filed as </w:t>
      </w:r>
      <w:hyperlink r:id="rId166">
        <w:r>
          <w:rPr>
            <w:rFonts w:ascii="Arial" w:cs="Arial" w:eastAsia="Arial" w:hAnsi="Arial"/>
            <w:sz w:val="17"/>
            <w:szCs w:val="17"/>
            <w:b w:val="1"/>
            <w:bCs w:val="1"/>
            <w:u w:val="single" w:color="auto"/>
            <w:color w:val="0000FF"/>
          </w:rPr>
          <w:t>Exhibit 3.2 to the Company’s Annual Report on</w:t>
        </w:r>
      </w:hyperlink>
      <w:r>
        <w:rPr>
          <w:rFonts w:ascii="Arial" w:cs="Arial" w:eastAsia="Arial" w:hAnsi="Arial"/>
          <w:sz w:val="17"/>
          <w:szCs w:val="17"/>
          <w:color w:val="auto"/>
        </w:rPr>
        <w:t xml:space="preserve"> </w:t>
      </w:r>
      <w:hyperlink r:id="rId166">
        <w:r>
          <w:rPr>
            <w:rFonts w:ascii="Arial" w:cs="Arial" w:eastAsia="Arial" w:hAnsi="Arial"/>
            <w:sz w:val="17"/>
            <w:szCs w:val="17"/>
            <w:b w:val="1"/>
            <w:bCs w:val="1"/>
            <w:u w:val="single" w:color="auto"/>
            <w:color w:val="0000FF"/>
          </w:rPr>
          <w:t>Form 10-K for the year ended December 31,</w:t>
        </w:r>
      </w:hyperlink>
    </w:p>
    <w:p>
      <w:pPr>
        <w:spacing w:after="0" w:line="1" w:lineRule="exact"/>
        <w:rPr>
          <w:sz w:val="20"/>
          <w:szCs w:val="20"/>
          <w:color w:val="auto"/>
        </w:rPr>
      </w:pPr>
    </w:p>
    <w:p>
      <w:pPr>
        <w:ind w:right="320"/>
        <w:spacing w:after="0" w:line="225" w:lineRule="auto"/>
        <w:rPr>
          <w:rFonts w:ascii="Arial" w:cs="Arial" w:eastAsia="Arial" w:hAnsi="Arial"/>
          <w:sz w:val="18"/>
          <w:szCs w:val="18"/>
          <w:b w:val="1"/>
          <w:bCs w:val="1"/>
          <w:color w:val="0000FF"/>
        </w:rPr>
      </w:pPr>
      <w:hyperlink r:id="rId166">
        <w:r>
          <w:rPr>
            <w:rFonts w:ascii="Arial" w:cs="Arial" w:eastAsia="Arial" w:hAnsi="Arial"/>
            <w:sz w:val="18"/>
            <w:szCs w:val="18"/>
            <w:b w:val="1"/>
            <w:bCs w:val="1"/>
            <w:u w:val="single" w:color="auto"/>
            <w:color w:val="0000FF"/>
          </w:rPr>
          <w:t>2017</w:t>
        </w:r>
      </w:hyperlink>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filed on March 16, 2018 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1" w:lineRule="exact"/>
        <w:rPr>
          <w:sz w:val="20"/>
          <w:szCs w:val="20"/>
          <w:color w:val="auto"/>
        </w:rPr>
      </w:pPr>
    </w:p>
    <w:p>
      <w:pPr>
        <w:ind w:right="60"/>
        <w:spacing w:after="0" w:line="225"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167">
        <w:r>
          <w:rPr>
            <w:rFonts w:ascii="Arial" w:cs="Arial" w:eastAsia="Arial" w:hAnsi="Arial"/>
            <w:sz w:val="18"/>
            <w:szCs w:val="18"/>
            <w:b w:val="1"/>
            <w:bCs w:val="1"/>
            <w:u w:val="single" w:color="auto"/>
            <w:color w:val="0000FF"/>
          </w:rPr>
          <w:t>Exhibit 4.1 to the Company’s report on Form 8-K</w:t>
        </w:r>
      </w:hyperlink>
      <w:r>
        <w:rPr>
          <w:rFonts w:ascii="Arial" w:cs="Arial" w:eastAsia="Arial" w:hAnsi="Arial"/>
          <w:sz w:val="18"/>
          <w:szCs w:val="18"/>
          <w:color w:val="auto"/>
        </w:rPr>
        <w:t xml:space="preserve"> </w:t>
      </w:r>
      <w:hyperlink r:id="rId167">
        <w:r>
          <w:rPr>
            <w:rFonts w:ascii="Arial" w:cs="Arial" w:eastAsia="Arial" w:hAnsi="Arial"/>
            <w:sz w:val="18"/>
            <w:szCs w:val="18"/>
            <w:b w:val="1"/>
            <w:bCs w:val="1"/>
            <w:u w:val="single" w:color="auto"/>
            <w:color w:val="0000FF"/>
          </w:rPr>
          <w:t>filed on February 9, 2007</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2858770" cy="3702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ind w:right="60"/>
        <w:spacing w:after="0" w:line="225"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169">
        <w:r>
          <w:rPr>
            <w:rFonts w:ascii="Arial" w:cs="Arial" w:eastAsia="Arial" w:hAnsi="Arial"/>
            <w:sz w:val="18"/>
            <w:szCs w:val="18"/>
            <w:b w:val="1"/>
            <w:bCs w:val="1"/>
            <w:u w:val="single" w:color="auto"/>
            <w:color w:val="0000FF"/>
          </w:rPr>
          <w:t>Exhibit 4.2 to the Company’s report on Form 8-K</w:t>
        </w:r>
      </w:hyperlink>
      <w:r>
        <w:rPr>
          <w:rFonts w:ascii="Arial" w:cs="Arial" w:eastAsia="Arial" w:hAnsi="Arial"/>
          <w:sz w:val="18"/>
          <w:szCs w:val="18"/>
          <w:color w:val="auto"/>
        </w:rPr>
        <w:t xml:space="preserve"> </w:t>
      </w:r>
      <w:hyperlink r:id="rId169">
        <w:r>
          <w:rPr>
            <w:rFonts w:ascii="Arial" w:cs="Arial" w:eastAsia="Arial" w:hAnsi="Arial"/>
            <w:sz w:val="18"/>
            <w:szCs w:val="18"/>
            <w:b w:val="1"/>
            <w:bCs w:val="1"/>
            <w:u w:val="single" w:color="auto"/>
            <w:color w:val="0000FF"/>
          </w:rPr>
          <w:t>filed on February 9, 2007</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1" w:lineRule="exact"/>
        <w:rPr>
          <w:sz w:val="20"/>
          <w:szCs w:val="20"/>
          <w:color w:val="auto"/>
        </w:rPr>
      </w:pPr>
    </w:p>
    <w:p>
      <w:pPr>
        <w:ind w:right="60"/>
        <w:spacing w:after="0" w:line="225"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170">
        <w:r>
          <w:rPr>
            <w:rFonts w:ascii="Arial" w:cs="Arial" w:eastAsia="Arial" w:hAnsi="Arial"/>
            <w:sz w:val="18"/>
            <w:szCs w:val="18"/>
            <w:b w:val="1"/>
            <w:bCs w:val="1"/>
            <w:u w:val="single" w:color="auto"/>
            <w:color w:val="0000FF"/>
          </w:rPr>
          <w:t>Exhibit 4.3 to the Company’s report on Form 8-K</w:t>
        </w:r>
      </w:hyperlink>
      <w:r>
        <w:rPr>
          <w:rFonts w:ascii="Arial" w:cs="Arial" w:eastAsia="Arial" w:hAnsi="Arial"/>
          <w:sz w:val="18"/>
          <w:szCs w:val="18"/>
          <w:color w:val="auto"/>
        </w:rPr>
        <w:t xml:space="preserve"> </w:t>
      </w:r>
      <w:hyperlink r:id="rId170">
        <w:r>
          <w:rPr>
            <w:rFonts w:ascii="Arial" w:cs="Arial" w:eastAsia="Arial" w:hAnsi="Arial"/>
            <w:sz w:val="18"/>
            <w:szCs w:val="18"/>
            <w:b w:val="1"/>
            <w:bCs w:val="1"/>
            <w:u w:val="single" w:color="auto"/>
            <w:color w:val="0000FF"/>
          </w:rPr>
          <w:t>filed on February 9, 2007</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2858770" cy="3702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1">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ind w:right="120"/>
        <w:spacing w:after="0" w:line="225"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172">
        <w:r>
          <w:rPr>
            <w:rFonts w:ascii="Arial" w:cs="Arial" w:eastAsia="Arial" w:hAnsi="Arial"/>
            <w:sz w:val="18"/>
            <w:szCs w:val="18"/>
            <w:b w:val="1"/>
            <w:bCs w:val="1"/>
            <w:u w:val="single" w:color="auto"/>
            <w:color w:val="0000FF"/>
          </w:rPr>
          <w:t>Exhibit 10.4 to the Company’s report on Form 8-</w:t>
        </w:r>
      </w:hyperlink>
      <w:hyperlink r:id="rId172">
        <w:r>
          <w:rPr>
            <w:rFonts w:ascii="Arial" w:cs="Arial" w:eastAsia="Arial" w:hAnsi="Arial"/>
            <w:sz w:val="18"/>
            <w:szCs w:val="18"/>
            <w:b w:val="1"/>
            <w:bCs w:val="1"/>
            <w:u w:val="single" w:color="auto"/>
            <w:color w:val="0000FF"/>
          </w:rPr>
          <w:t>K dated February 5, 2007</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1" w:lineRule="exact"/>
        <w:rPr>
          <w:sz w:val="20"/>
          <w:szCs w:val="20"/>
          <w:color w:val="auto"/>
        </w:rPr>
      </w:pPr>
    </w:p>
    <w:p>
      <w:pPr>
        <w:ind w:right="100"/>
        <w:spacing w:after="0" w:line="258" w:lineRule="auto"/>
        <w:rPr>
          <w:rFonts w:ascii="Arial" w:cs="Arial" w:eastAsia="Arial" w:hAnsi="Arial"/>
          <w:sz w:val="16"/>
          <w:szCs w:val="16"/>
          <w:b w:val="1"/>
          <w:bCs w:val="1"/>
          <w:color w:val="0000FF"/>
        </w:rPr>
      </w:pPr>
      <w:r>
        <w:rPr>
          <w:rFonts w:ascii="Arial" w:cs="Arial" w:eastAsia="Arial" w:hAnsi="Arial"/>
          <w:sz w:val="16"/>
          <w:szCs w:val="16"/>
          <w:color w:val="auto"/>
        </w:rPr>
        <w:t xml:space="preserve">Filed as </w:t>
      </w:r>
      <w:hyperlink r:id="rId173">
        <w:r>
          <w:rPr>
            <w:rFonts w:ascii="Arial" w:cs="Arial" w:eastAsia="Arial" w:hAnsi="Arial"/>
            <w:sz w:val="16"/>
            <w:szCs w:val="16"/>
            <w:b w:val="1"/>
            <w:bCs w:val="1"/>
            <w:u w:val="single" w:color="auto"/>
            <w:color w:val="0000FF"/>
          </w:rPr>
          <w:t>Exhibit 4.4 to the Company’s report on Form S-3</w:t>
        </w:r>
      </w:hyperlink>
      <w:r>
        <w:rPr>
          <w:rFonts w:ascii="Arial" w:cs="Arial" w:eastAsia="Arial" w:hAnsi="Arial"/>
          <w:sz w:val="16"/>
          <w:szCs w:val="16"/>
          <w:color w:val="auto"/>
        </w:rPr>
        <w:t xml:space="preserve"> </w:t>
      </w:r>
      <w:hyperlink r:id="rId173">
        <w:r>
          <w:rPr>
            <w:rFonts w:ascii="Arial" w:cs="Arial" w:eastAsia="Arial" w:hAnsi="Arial"/>
            <w:sz w:val="16"/>
            <w:szCs w:val="16"/>
            <w:b w:val="1"/>
            <w:bCs w:val="1"/>
            <w:u w:val="single" w:color="auto"/>
            <w:color w:val="0000FF"/>
          </w:rPr>
          <w:t>on October 20, 2009</w:t>
        </w:r>
      </w:hyperlink>
      <w:r>
        <w:rPr>
          <w:rFonts w:ascii="Arial" w:cs="Arial" w:eastAsia="Arial" w:hAnsi="Arial"/>
          <w:sz w:val="16"/>
          <w:szCs w:val="16"/>
          <w:color w:val="000000"/>
        </w:rPr>
        <w:t>,</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incorporated herein by reference.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Filed as </w:t>
      </w:r>
      <w:hyperlink r:id="rId174">
        <w:r>
          <w:rPr>
            <w:rFonts w:ascii="Arial" w:cs="Arial" w:eastAsia="Arial" w:hAnsi="Arial"/>
            <w:sz w:val="16"/>
            <w:szCs w:val="16"/>
            <w:b w:val="1"/>
            <w:bCs w:val="1"/>
            <w:u w:val="single" w:color="auto"/>
            <w:color w:val="0000FF"/>
          </w:rPr>
          <w:t>Exhibit 4.6 to the Company’s Annual Report on</w:t>
        </w:r>
      </w:hyperlink>
      <w:r>
        <w:rPr>
          <w:rFonts w:ascii="Arial" w:cs="Arial" w:eastAsia="Arial" w:hAnsi="Arial"/>
          <w:sz w:val="16"/>
          <w:szCs w:val="16"/>
          <w:color w:val="000000"/>
        </w:rPr>
        <w:t xml:space="preserve"> </w:t>
      </w:r>
      <w:hyperlink r:id="rId174">
        <w:r>
          <w:rPr>
            <w:rFonts w:ascii="Arial" w:cs="Arial" w:eastAsia="Arial" w:hAnsi="Arial"/>
            <w:sz w:val="16"/>
            <w:szCs w:val="16"/>
            <w:b w:val="1"/>
            <w:bCs w:val="1"/>
            <w:u w:val="single" w:color="auto"/>
            <w:color w:val="0000FF"/>
          </w:rPr>
          <w:t>Form 10-K for the year ended December 31, 2021</w:t>
        </w:r>
      </w:hyperlink>
      <w:r>
        <w:rPr>
          <w:rFonts w:ascii="Arial" w:cs="Arial" w:eastAsia="Arial" w:hAnsi="Arial"/>
          <w:sz w:val="16"/>
          <w:szCs w:val="16"/>
          <w:b w:val="1"/>
          <w:bCs w:val="1"/>
          <w:color w:val="000000"/>
        </w:rPr>
        <w:t>,</w:t>
      </w:r>
      <w:r>
        <w:rPr>
          <w:rFonts w:ascii="Arial" w:cs="Arial" w:eastAsia="Arial" w:hAnsi="Arial"/>
          <w:sz w:val="16"/>
          <w:szCs w:val="16"/>
          <w:b w:val="1"/>
          <w:bCs w:val="1"/>
          <w:color w:val="0000FF"/>
        </w:rPr>
        <w:t xml:space="preserve"> </w:t>
      </w:r>
      <w:r>
        <w:rPr>
          <w:rFonts w:ascii="Arial" w:cs="Arial" w:eastAsia="Arial" w:hAnsi="Arial"/>
          <w:sz w:val="16"/>
          <w:szCs w:val="16"/>
          <w:color w:val="000000"/>
        </w:rPr>
        <w:t>and</w:t>
      </w:r>
      <w:r>
        <w:rPr>
          <w:rFonts w:ascii="Arial" w:cs="Arial" w:eastAsia="Arial" w:hAnsi="Arial"/>
          <w:sz w:val="16"/>
          <w:szCs w:val="16"/>
          <w:b w:val="1"/>
          <w:bCs w:val="1"/>
          <w:color w:val="0000FF"/>
        </w:rPr>
        <w:t xml:space="preserve"> </w:t>
      </w:r>
      <w:r>
        <w:rPr>
          <w:rFonts w:ascii="Arial" w:cs="Arial" w:eastAsia="Arial" w:hAnsi="Arial"/>
          <w:sz w:val="16"/>
          <w:szCs w:val="16"/>
          <w:color w:val="000000"/>
        </w:rPr>
        <w:t>incorporated herein by reference.</w:t>
      </w:r>
    </w:p>
    <w:p>
      <w:pPr>
        <w:spacing w:after="0" w:line="20" w:lineRule="exact"/>
        <w:rPr>
          <w:rFonts w:ascii="Arial" w:cs="Arial" w:eastAsia="Arial" w:hAnsi="Arial"/>
          <w:sz w:val="16"/>
          <w:szCs w:val="16"/>
          <w:b w:val="1"/>
          <w:bCs w:val="1"/>
          <w:color w:val="0000FF"/>
        </w:rPr>
      </w:pPr>
      <w:r>
        <w:rPr>
          <w:rFonts w:ascii="Arial" w:cs="Arial" w:eastAsia="Arial" w:hAnsi="Arial"/>
          <w:sz w:val="16"/>
          <w:szCs w:val="16"/>
          <w:b w:val="1"/>
          <w:bCs w:val="1"/>
          <w:color w:val="0000FF"/>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2858770" cy="247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8770" cy="247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2858770" cy="424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58770" cy="424180"/>
                    </a:xfrm>
                    <a:prstGeom prst="rect">
                      <a:avLst/>
                    </a:prstGeom>
                    <a:noFill/>
                  </pic:spPr>
                </pic:pic>
              </a:graphicData>
            </a:graphic>
          </wp:anchor>
        </w:drawing>
      </w:r>
    </w:p>
    <w:p>
      <w:pPr>
        <w:spacing w:after="0"/>
        <w:rPr>
          <w:rFonts w:ascii="Arial" w:cs="Arial" w:eastAsia="Arial" w:hAnsi="Arial"/>
          <w:sz w:val="16"/>
          <w:szCs w:val="16"/>
          <w:color w:val="auto"/>
        </w:rPr>
      </w:pPr>
      <w:r>
        <w:rPr>
          <w:rFonts w:ascii="Arial" w:cs="Arial" w:eastAsia="Arial" w:hAnsi="Arial"/>
          <w:sz w:val="16"/>
          <w:szCs w:val="16"/>
          <w:color w:val="auto"/>
        </w:rPr>
        <w:t xml:space="preserve">Filed as </w:t>
      </w:r>
      <w:hyperlink r:id="rId177">
        <w:r>
          <w:rPr>
            <w:rFonts w:ascii="Arial" w:cs="Arial" w:eastAsia="Arial" w:hAnsi="Arial"/>
            <w:sz w:val="16"/>
            <w:szCs w:val="16"/>
            <w:b w:val="1"/>
            <w:bCs w:val="1"/>
            <w:u w:val="single" w:color="auto"/>
            <w:color w:val="0000FF"/>
          </w:rPr>
          <w:t>Appendix A to the Company’s Proxy Statement</w:t>
        </w:r>
      </w:hyperlink>
    </w:p>
    <w:p>
      <w:pPr>
        <w:spacing w:after="0" w:line="39" w:lineRule="exact"/>
        <w:rPr>
          <w:rFonts w:ascii="Arial" w:cs="Arial" w:eastAsia="Arial" w:hAnsi="Arial"/>
          <w:sz w:val="16"/>
          <w:szCs w:val="16"/>
          <w:b w:val="1"/>
          <w:bCs w:val="1"/>
          <w:color w:val="0000FF"/>
        </w:rPr>
      </w:pPr>
    </w:p>
    <w:p>
      <w:pPr>
        <w:ind w:right="460"/>
        <w:spacing w:after="0" w:line="247" w:lineRule="auto"/>
        <w:rPr>
          <w:rFonts w:ascii="Arial" w:cs="Arial" w:eastAsia="Arial" w:hAnsi="Arial"/>
          <w:sz w:val="18"/>
          <w:szCs w:val="18"/>
          <w:b w:val="1"/>
          <w:bCs w:val="1"/>
          <w:color w:val="0000FF"/>
        </w:rPr>
      </w:pPr>
      <w:hyperlink r:id="rId177">
        <w:r>
          <w:rPr>
            <w:rFonts w:ascii="Arial" w:cs="Arial" w:eastAsia="Arial" w:hAnsi="Arial"/>
            <w:sz w:val="18"/>
            <w:szCs w:val="18"/>
            <w:b w:val="1"/>
            <w:bCs w:val="1"/>
            <w:u w:val="single" w:color="auto"/>
            <w:color w:val="0000FF"/>
          </w:rPr>
          <w:t>filed on November 6,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r>
        <w:rPr>
          <w:rFonts w:ascii="Arial" w:cs="Arial" w:eastAsia="Arial" w:hAnsi="Arial"/>
          <w:sz w:val="18"/>
          <w:szCs w:val="18"/>
          <w:b w:val="1"/>
          <w:bCs w:val="1"/>
          <w:color w:val="0000FF"/>
        </w:rPr>
        <w:t xml:space="preserve"> </w:t>
      </w:r>
      <w:r>
        <w:rPr>
          <w:rFonts w:ascii="Arial" w:cs="Arial" w:eastAsia="Arial" w:hAnsi="Arial"/>
          <w:sz w:val="18"/>
          <w:szCs w:val="18"/>
          <w:color w:val="000000"/>
        </w:rPr>
        <w:t>reference.</w:t>
      </w:r>
    </w:p>
    <w:p>
      <w:pPr>
        <w:spacing w:after="0" w:line="2" w:lineRule="exact"/>
        <w:rPr>
          <w:rFonts w:ascii="Arial" w:cs="Arial" w:eastAsia="Arial" w:hAnsi="Arial"/>
          <w:sz w:val="16"/>
          <w:szCs w:val="16"/>
          <w:b w:val="1"/>
          <w:bCs w:val="1"/>
          <w:color w:val="0000FF"/>
        </w:rPr>
      </w:pPr>
    </w:p>
    <w:p>
      <w:pPr>
        <w:ind w:right="80"/>
        <w:spacing w:after="0" w:line="268" w:lineRule="auto"/>
        <w:rPr>
          <w:rFonts w:ascii="Arial" w:cs="Arial" w:eastAsia="Arial" w:hAnsi="Arial"/>
          <w:sz w:val="18"/>
          <w:szCs w:val="18"/>
          <w:color w:val="0000FF"/>
        </w:rPr>
      </w:pPr>
      <w:r>
        <w:rPr>
          <w:rFonts w:ascii="Arial" w:cs="Arial" w:eastAsia="Arial" w:hAnsi="Arial"/>
          <w:sz w:val="17"/>
          <w:szCs w:val="17"/>
          <w:color w:val="auto"/>
        </w:rPr>
        <w:t xml:space="preserve">Filed as </w:t>
      </w:r>
      <w:hyperlink r:id="rId178">
        <w:r>
          <w:rPr>
            <w:rFonts w:ascii="Arial" w:cs="Arial" w:eastAsia="Arial" w:hAnsi="Arial"/>
            <w:sz w:val="18"/>
            <w:szCs w:val="18"/>
            <w:u w:val="single" w:color="auto"/>
            <w:color w:val="0000FF"/>
          </w:rPr>
          <w:t>Appendix A to the Company’s Proxy Statement</w:t>
        </w:r>
      </w:hyperlink>
      <w:r>
        <w:rPr>
          <w:rFonts w:ascii="Arial" w:cs="Arial" w:eastAsia="Arial" w:hAnsi="Arial"/>
          <w:sz w:val="17"/>
          <w:szCs w:val="17"/>
          <w:color w:val="auto"/>
        </w:rPr>
        <w:t xml:space="preserve"> </w:t>
      </w:r>
      <w:hyperlink r:id="rId178">
        <w:r>
          <w:rPr>
            <w:rFonts w:ascii="Arial" w:cs="Arial" w:eastAsia="Arial" w:hAnsi="Arial"/>
            <w:sz w:val="18"/>
            <w:szCs w:val="18"/>
            <w:u w:val="single" w:color="auto"/>
            <w:color w:val="0000FF"/>
          </w:rPr>
          <w:t>filed on October 27, 2023</w:t>
        </w:r>
        <w:r>
          <w:rPr>
            <w:rFonts w:ascii="Arial" w:cs="Arial" w:eastAsia="Arial" w:hAnsi="Arial"/>
            <w:sz w:val="18"/>
            <w:szCs w:val="18"/>
            <w:color w:val="0000FF"/>
          </w:rPr>
          <w:t xml:space="preserve"> </w:t>
        </w:r>
      </w:hyperlink>
      <w:r>
        <w:rPr>
          <w:rFonts w:ascii="Arial" w:cs="Arial" w:eastAsia="Arial" w:hAnsi="Arial"/>
          <w:sz w:val="18"/>
          <w:szCs w:val="18"/>
          <w:color w:val="000000"/>
        </w:rPr>
        <w:t>a</w:t>
      </w:r>
      <w:r>
        <w:rPr>
          <w:rFonts w:ascii="Arial" w:cs="Arial" w:eastAsia="Arial" w:hAnsi="Arial"/>
          <w:sz w:val="17"/>
          <w:szCs w:val="17"/>
          <w:color w:val="000000"/>
        </w:rPr>
        <w:t>nd incorporated herein by</w:t>
      </w:r>
    </w:p>
    <w:p>
      <w:pPr>
        <w:spacing w:after="0" w:line="231" w:lineRule="auto"/>
        <w:rPr>
          <w:sz w:val="20"/>
          <w:szCs w:val="20"/>
          <w:color w:val="auto"/>
        </w:rPr>
      </w:pPr>
      <w:r>
        <w:rPr>
          <w:rFonts w:ascii="Arial" w:cs="Arial" w:eastAsia="Arial" w:hAnsi="Arial"/>
          <w:sz w:val="18"/>
          <w:szCs w:val="18"/>
          <w:color w:val="auto"/>
        </w:rPr>
        <w:t>reference.</w:t>
      </w:r>
    </w:p>
    <w:p>
      <w:pPr>
        <w:spacing w:after="0" w:line="7" w:lineRule="exact"/>
        <w:rPr>
          <w:sz w:val="20"/>
          <w:szCs w:val="20"/>
          <w:color w:val="auto"/>
        </w:rPr>
      </w:pPr>
    </w:p>
    <w:p>
      <w:pPr>
        <w:ind w:right="80"/>
        <w:spacing w:after="0" w:line="268" w:lineRule="auto"/>
        <w:rPr>
          <w:rFonts w:ascii="Arial" w:cs="Arial" w:eastAsia="Arial" w:hAnsi="Arial"/>
          <w:sz w:val="18"/>
          <w:szCs w:val="18"/>
          <w:color w:val="0000FF"/>
        </w:rPr>
      </w:pPr>
      <w:r>
        <w:rPr>
          <w:rFonts w:ascii="Arial" w:cs="Arial" w:eastAsia="Arial" w:hAnsi="Arial"/>
          <w:sz w:val="17"/>
          <w:szCs w:val="17"/>
          <w:color w:val="auto"/>
        </w:rPr>
        <w:t xml:space="preserve">Filed as </w:t>
      </w:r>
      <w:hyperlink r:id="rId179">
        <w:r>
          <w:rPr>
            <w:rFonts w:ascii="Arial" w:cs="Arial" w:eastAsia="Arial" w:hAnsi="Arial"/>
            <w:sz w:val="18"/>
            <w:szCs w:val="18"/>
            <w:u w:val="single" w:color="auto"/>
            <w:color w:val="0000FF"/>
          </w:rPr>
          <w:t>Appendix A to the Company’s Proxy Statement</w:t>
        </w:r>
      </w:hyperlink>
      <w:r>
        <w:rPr>
          <w:rFonts w:ascii="Arial" w:cs="Arial" w:eastAsia="Arial" w:hAnsi="Arial"/>
          <w:sz w:val="17"/>
          <w:szCs w:val="17"/>
          <w:color w:val="auto"/>
        </w:rPr>
        <w:t xml:space="preserve"> </w:t>
      </w:r>
      <w:hyperlink r:id="rId179">
        <w:r>
          <w:rPr>
            <w:rFonts w:ascii="Arial" w:cs="Arial" w:eastAsia="Arial" w:hAnsi="Arial"/>
            <w:sz w:val="18"/>
            <w:szCs w:val="18"/>
            <w:u w:val="single" w:color="auto"/>
            <w:color w:val="0000FF"/>
          </w:rPr>
          <w:t>filed on October 25, 2024</w:t>
        </w:r>
        <w:r>
          <w:rPr>
            <w:rFonts w:ascii="Arial" w:cs="Arial" w:eastAsia="Arial" w:hAnsi="Arial"/>
            <w:sz w:val="18"/>
            <w:szCs w:val="18"/>
            <w:color w:val="0000FF"/>
          </w:rPr>
          <w:t xml:space="preserve"> </w:t>
        </w:r>
      </w:hyperlink>
      <w:r>
        <w:rPr>
          <w:rFonts w:ascii="Arial" w:cs="Arial" w:eastAsia="Arial" w:hAnsi="Arial"/>
          <w:sz w:val="18"/>
          <w:szCs w:val="18"/>
          <w:color w:val="000000"/>
        </w:rPr>
        <w:t>a</w:t>
      </w:r>
      <w:r>
        <w:rPr>
          <w:rFonts w:ascii="Arial" w:cs="Arial" w:eastAsia="Arial" w:hAnsi="Arial"/>
          <w:sz w:val="17"/>
          <w:szCs w:val="17"/>
          <w:color w:val="000000"/>
        </w:rPr>
        <w:t>nd incorporated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2858770" cy="424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2858770" cy="42418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reference.</w:t>
      </w:r>
    </w:p>
    <w:p>
      <w:pPr>
        <w:spacing w:after="0" w:line="1" w:lineRule="exact"/>
        <w:rPr>
          <w:sz w:val="20"/>
          <w:szCs w:val="20"/>
          <w:color w:val="auto"/>
        </w:rPr>
      </w:pPr>
    </w:p>
    <w:p>
      <w:pPr>
        <w:sectPr>
          <w:pgSz w:w="11900" w:h="16838" w:orient="portrait"/>
          <w:cols w:equalWidth="0" w:num="2">
            <w:col w:w="4840" w:space="60"/>
            <w:col w:w="4500"/>
          </w:cols>
          <w:pgMar w:left="1260" w:top="1333" w:right="1246" w:bottom="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860" w:type="dxa"/>
            <w:vAlign w:val="bottom"/>
          </w:tcPr>
          <w:p>
            <w:pPr>
              <w:jc w:val="center"/>
              <w:spacing w:after="0" w:line="187" w:lineRule="exact"/>
              <w:rPr>
                <w:sz w:val="20"/>
                <w:szCs w:val="20"/>
                <w:color w:val="auto"/>
              </w:rPr>
            </w:pPr>
            <w:r>
              <w:rPr>
                <w:rFonts w:ascii="Arial" w:cs="Arial" w:eastAsia="Arial" w:hAnsi="Arial"/>
                <w:sz w:val="18"/>
                <w:szCs w:val="18"/>
                <w:color w:val="auto"/>
                <w:w w:val="99"/>
              </w:rPr>
              <w:t>10.4*</w:t>
            </w:r>
          </w:p>
        </w:tc>
        <w:tc>
          <w:tcPr>
            <w:tcW w:w="4040" w:type="dxa"/>
            <w:vAlign w:val="bottom"/>
          </w:tcPr>
          <w:p>
            <w:pPr>
              <w:ind w:left="20"/>
              <w:spacing w:after="0" w:line="187" w:lineRule="exact"/>
              <w:rPr>
                <w:sz w:val="20"/>
                <w:szCs w:val="20"/>
                <w:color w:val="auto"/>
              </w:rPr>
            </w:pPr>
            <w:r>
              <w:rPr>
                <w:rFonts w:ascii="Arial" w:cs="Arial" w:eastAsia="Arial" w:hAnsi="Arial"/>
                <w:sz w:val="18"/>
                <w:szCs w:val="18"/>
                <w:color w:val="auto"/>
                <w:w w:val="94"/>
              </w:rPr>
              <w:t>Form of Restricted Stock Unit Agreement (with Grant</w:t>
            </w:r>
          </w:p>
        </w:tc>
        <w:tc>
          <w:tcPr>
            <w:tcW w:w="4500" w:type="dxa"/>
            <w:vAlign w:val="bottom"/>
            <w:gridSpan w:val="13"/>
          </w:tcPr>
          <w:p>
            <w:pPr>
              <w:spacing w:after="0" w:line="18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81">
              <w:r>
                <w:rPr>
                  <w:rFonts w:ascii="Arial" w:cs="Arial" w:eastAsia="Arial" w:hAnsi="Arial"/>
                  <w:sz w:val="18"/>
                  <w:szCs w:val="18"/>
                  <w:b w:val="1"/>
                  <w:bCs w:val="1"/>
                  <w:color w:val="0000FF"/>
                  <w:w w:val="93"/>
                </w:rPr>
                <w:t>Exhibit 10.7 to the Company’s Annual Report on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4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Notice) (Non-Employee Directors) under the 2020</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4420" w:type="dxa"/>
            <w:vAlign w:val="bottom"/>
            <w:gridSpan w:val="12"/>
          </w:tcPr>
          <w:p>
            <w:pPr>
              <w:spacing w:after="0" w:line="175" w:lineRule="exact"/>
              <w:rPr>
                <w:rFonts w:ascii="Arial" w:cs="Arial" w:eastAsia="Arial" w:hAnsi="Arial"/>
                <w:sz w:val="18"/>
                <w:szCs w:val="18"/>
                <w:b w:val="1"/>
                <w:bCs w:val="1"/>
                <w:color w:val="0000FF"/>
                <w:w w:val="95"/>
              </w:rPr>
            </w:pPr>
            <w:hyperlink r:id="rId181">
              <w:r>
                <w:rPr>
                  <w:rFonts w:ascii="Arial" w:cs="Arial" w:eastAsia="Arial" w:hAnsi="Arial"/>
                  <w:sz w:val="18"/>
                  <w:szCs w:val="18"/>
                  <w:b w:val="1"/>
                  <w:bCs w:val="1"/>
                  <w:color w:val="0000FF"/>
                  <w:w w:val="95"/>
                </w:rPr>
                <w:t>Form 10-K for the year ended December 31, 2021</w:t>
              </w:r>
            </w:hyperlink>
            <w:r>
              <w:rPr>
                <w:rFonts w:ascii="Arial" w:cs="Arial" w:eastAsia="Arial" w:hAnsi="Arial"/>
                <w:sz w:val="18"/>
                <w:szCs w:val="18"/>
                <w:color w:val="000000"/>
                <w:w w:val="95"/>
              </w:rPr>
              <w:t>,</w:t>
            </w:r>
            <w:r>
              <w:rPr>
                <w:rFonts w:ascii="Arial" w:cs="Arial" w:eastAsia="Arial" w:hAnsi="Arial"/>
                <w:sz w:val="18"/>
                <w:szCs w:val="18"/>
                <w:b w:val="1"/>
                <w:bCs w:val="1"/>
                <w:color w:val="0000FF"/>
                <w:w w:val="95"/>
              </w:rPr>
              <w:t xml:space="preserve"> </w:t>
            </w:r>
            <w:r>
              <w:rPr>
                <w:rFonts w:ascii="Arial" w:cs="Arial" w:eastAsia="Arial" w:hAnsi="Arial"/>
                <w:sz w:val="18"/>
                <w:szCs w:val="18"/>
                <w:color w:val="000000"/>
                <w:w w:val="95"/>
              </w:rPr>
              <w:t>and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Arial" w:cs="Arial" w:eastAsia="Arial" w:hAnsi="Arial"/>
                <w:sz w:val="18"/>
                <w:szCs w:val="18"/>
                <w:color w:val="auto"/>
              </w:rPr>
              <w:t>Stock Incentive Plan</w:t>
            </w:r>
          </w:p>
        </w:tc>
        <w:tc>
          <w:tcPr>
            <w:tcW w:w="3800" w:type="dxa"/>
            <w:vAlign w:val="bottom"/>
            <w:tcBorders>
              <w:top w:val="single" w:sz="8" w:color="0000FF"/>
            </w:tcBorders>
            <w:gridSpan w:val="7"/>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10.5*</w:t>
            </w:r>
          </w:p>
        </w:tc>
        <w:tc>
          <w:tcPr>
            <w:tcW w:w="40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4"/>
              </w:rPr>
              <w:t>Form of Restricted Stock Unit Agreement (with Grant</w:t>
            </w:r>
          </w:p>
        </w:tc>
        <w:tc>
          <w:tcPr>
            <w:tcW w:w="4500" w:type="dxa"/>
            <w:vAlign w:val="bottom"/>
            <w:gridSpan w:val="13"/>
            <w:shd w:val="clear" w:color="auto" w:fill="CCEEFF"/>
          </w:tcPr>
          <w:p>
            <w:pPr>
              <w:spacing w:after="0" w:line="17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82">
              <w:r>
                <w:rPr>
                  <w:rFonts w:ascii="Arial" w:cs="Arial" w:eastAsia="Arial" w:hAnsi="Arial"/>
                  <w:sz w:val="18"/>
                  <w:szCs w:val="18"/>
                  <w:b w:val="1"/>
                  <w:bCs w:val="1"/>
                  <w:color w:val="0000FF"/>
                  <w:w w:val="93"/>
                </w:rPr>
                <w:t>Exhibit 10.8 to the Company’s Annual Report on</w:t>
              </w:r>
            </w:hyperlink>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040" w:type="dxa"/>
            <w:vAlign w:val="bottom"/>
            <w:vMerge w:val="restart"/>
            <w:shd w:val="clear" w:color="auto" w:fill="CCEEFF"/>
          </w:tcPr>
          <w:p>
            <w:pPr>
              <w:ind w:left="20"/>
              <w:spacing w:after="0" w:line="195" w:lineRule="exact"/>
              <w:rPr>
                <w:sz w:val="20"/>
                <w:szCs w:val="20"/>
                <w:color w:val="auto"/>
              </w:rPr>
            </w:pPr>
            <w:r>
              <w:rPr>
                <w:rFonts w:ascii="Arial" w:cs="Arial" w:eastAsia="Arial" w:hAnsi="Arial"/>
                <w:sz w:val="18"/>
                <w:szCs w:val="18"/>
                <w:color w:val="auto"/>
              </w:rPr>
              <w:t>Notice) (Executive Officer) under the 2020 Stock</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0" w:type="dxa"/>
            <w:vAlign w:val="bottom"/>
            <w:shd w:val="clear" w:color="auto" w:fill="CCEEFF"/>
          </w:tcPr>
          <w:p>
            <w:pPr>
              <w:spacing w:after="0"/>
              <w:rPr>
                <w:sz w:val="15"/>
                <w:szCs w:val="15"/>
                <w:color w:val="auto"/>
              </w:rPr>
            </w:pPr>
          </w:p>
        </w:tc>
        <w:tc>
          <w:tcPr>
            <w:tcW w:w="4040" w:type="dxa"/>
            <w:vAlign w:val="bottom"/>
            <w:vMerge w:val="continue"/>
            <w:shd w:val="clear" w:color="auto" w:fill="CCEEFF"/>
          </w:tcPr>
          <w:p>
            <w:pPr>
              <w:spacing w:after="0"/>
              <w:rPr>
                <w:sz w:val="15"/>
                <w:szCs w:val="15"/>
                <w:color w:val="auto"/>
              </w:rPr>
            </w:pPr>
          </w:p>
        </w:tc>
        <w:tc>
          <w:tcPr>
            <w:tcW w:w="4420" w:type="dxa"/>
            <w:vAlign w:val="bottom"/>
            <w:tcBorders>
              <w:right w:val="single" w:sz="8" w:color="CCEEFF"/>
            </w:tcBorders>
            <w:gridSpan w:val="12"/>
            <w:shd w:val="clear" w:color="auto" w:fill="CCEEFF"/>
          </w:tcPr>
          <w:p>
            <w:pPr>
              <w:spacing w:after="0" w:line="175" w:lineRule="exact"/>
              <w:rPr>
                <w:rFonts w:ascii="Arial" w:cs="Arial" w:eastAsia="Arial" w:hAnsi="Arial"/>
                <w:sz w:val="18"/>
                <w:szCs w:val="18"/>
                <w:b w:val="1"/>
                <w:bCs w:val="1"/>
                <w:color w:val="0000FF"/>
                <w:w w:val="95"/>
              </w:rPr>
            </w:pPr>
            <w:hyperlink r:id="rId182">
              <w:r>
                <w:rPr>
                  <w:rFonts w:ascii="Arial" w:cs="Arial" w:eastAsia="Arial" w:hAnsi="Arial"/>
                  <w:sz w:val="18"/>
                  <w:szCs w:val="18"/>
                  <w:b w:val="1"/>
                  <w:bCs w:val="1"/>
                  <w:color w:val="0000FF"/>
                  <w:w w:val="95"/>
                </w:rPr>
                <w:t>Form 10-K for the year ended December 31, 2021</w:t>
              </w:r>
            </w:hyperlink>
            <w:r>
              <w:rPr>
                <w:rFonts w:ascii="Arial" w:cs="Arial" w:eastAsia="Arial" w:hAnsi="Arial"/>
                <w:sz w:val="18"/>
                <w:szCs w:val="18"/>
                <w:color w:val="000000"/>
                <w:w w:val="95"/>
              </w:rPr>
              <w:t>,</w:t>
            </w:r>
            <w:r>
              <w:rPr>
                <w:rFonts w:ascii="Arial" w:cs="Arial" w:eastAsia="Arial" w:hAnsi="Arial"/>
                <w:sz w:val="18"/>
                <w:szCs w:val="18"/>
                <w:b w:val="1"/>
                <w:bCs w:val="1"/>
                <w:color w:val="0000FF"/>
                <w:w w:val="95"/>
              </w:rPr>
              <w:t xml:space="preserve"> </w:t>
            </w:r>
            <w:r>
              <w:rPr>
                <w:rFonts w:ascii="Arial" w:cs="Arial" w:eastAsia="Arial" w:hAnsi="Arial"/>
                <w:sz w:val="18"/>
                <w:szCs w:val="18"/>
                <w:color w:val="000000"/>
                <w:w w:val="95"/>
              </w:rPr>
              <w:t>and</w:t>
            </w: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Incentive Plan</w:t>
            </w:r>
          </w:p>
        </w:tc>
        <w:tc>
          <w:tcPr>
            <w:tcW w:w="3800" w:type="dxa"/>
            <w:vAlign w:val="bottom"/>
            <w:tcBorders>
              <w:top w:val="single" w:sz="8" w:color="0000FF"/>
            </w:tcBorders>
            <w:gridSpan w:val="7"/>
            <w:shd w:val="clear" w:color="auto" w:fill="CCEEFF"/>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w w:val="99"/>
              </w:rPr>
              <w:t>10.6*</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rPr>
              <w:t>Form of Stock Option Agreement (Employee/</w:t>
            </w:r>
          </w:p>
        </w:tc>
        <w:tc>
          <w:tcPr>
            <w:tcW w:w="4500" w:type="dxa"/>
            <w:vAlign w:val="bottom"/>
            <w:gridSpan w:val="13"/>
          </w:tcPr>
          <w:p>
            <w:pPr>
              <w:spacing w:after="0" w:line="177" w:lineRule="exact"/>
              <w:rPr>
                <w:rFonts w:ascii="Arial" w:cs="Arial" w:eastAsia="Arial" w:hAnsi="Arial"/>
                <w:sz w:val="18"/>
                <w:szCs w:val="18"/>
                <w:color w:val="auto"/>
                <w:w w:val="97"/>
              </w:rPr>
            </w:pPr>
            <w:r>
              <w:rPr>
                <w:rFonts w:ascii="Arial" w:cs="Arial" w:eastAsia="Arial" w:hAnsi="Arial"/>
                <w:sz w:val="18"/>
                <w:szCs w:val="18"/>
                <w:color w:val="auto"/>
                <w:w w:val="97"/>
              </w:rPr>
              <w:t xml:space="preserve">Filed as </w:t>
            </w:r>
            <w:hyperlink r:id="rId183">
              <w:r>
                <w:rPr>
                  <w:rFonts w:ascii="Arial" w:cs="Arial" w:eastAsia="Arial" w:hAnsi="Arial"/>
                  <w:sz w:val="18"/>
                  <w:szCs w:val="18"/>
                  <w:color w:val="0000FF"/>
                  <w:w w:val="97"/>
                </w:rPr>
                <w:t>Exhibit 10.2 to the Company’s quarterly report on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0" w:type="dxa"/>
            <w:vAlign w:val="bottom"/>
          </w:tcPr>
          <w:p>
            <w:pPr>
              <w:spacing w:after="0"/>
              <w:rPr>
                <w:sz w:val="15"/>
                <w:szCs w:val="15"/>
                <w:color w:val="auto"/>
              </w:rPr>
            </w:pPr>
          </w:p>
        </w:tc>
        <w:tc>
          <w:tcPr>
            <w:tcW w:w="4040" w:type="dxa"/>
            <w:vAlign w:val="bottom"/>
          </w:tcPr>
          <w:p>
            <w:pPr>
              <w:ind w:left="20"/>
              <w:spacing w:after="0" w:line="175" w:lineRule="exact"/>
              <w:rPr>
                <w:sz w:val="20"/>
                <w:szCs w:val="20"/>
                <w:color w:val="auto"/>
              </w:rPr>
            </w:pPr>
            <w:r>
              <w:rPr>
                <w:rFonts w:ascii="Arial" w:cs="Arial" w:eastAsia="Arial" w:hAnsi="Arial"/>
                <w:sz w:val="18"/>
                <w:szCs w:val="18"/>
                <w:color w:val="auto"/>
              </w:rPr>
              <w:t>Executive Officer) under the 2020 Stock Incentive</w:t>
            </w:r>
          </w:p>
        </w:tc>
        <w:tc>
          <w:tcPr>
            <w:tcW w:w="4500" w:type="dxa"/>
            <w:vAlign w:val="bottom"/>
            <w:gridSpan w:val="13"/>
          </w:tcPr>
          <w:p>
            <w:pPr>
              <w:spacing w:after="0" w:line="175"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Form 10-Q for the quarter ended September 30, 2025</w:t>
              </w:r>
            </w:hyperlink>
            <w:r>
              <w:rPr>
                <w:rFonts w:ascii="Arial" w:cs="Arial" w:eastAsia="Arial" w:hAnsi="Arial"/>
                <w:sz w:val="18"/>
                <w:szCs w:val="18"/>
                <w:color w:val="000000"/>
                <w:w w:val="95"/>
              </w:rPr>
              <w:t>,</w:t>
            </w:r>
            <w:r>
              <w:rPr>
                <w:rFonts w:ascii="Arial" w:cs="Arial" w:eastAsia="Arial" w:hAnsi="Arial"/>
                <w:sz w:val="18"/>
                <w:szCs w:val="18"/>
                <w:color w:val="0000FF"/>
                <w:w w:val="95"/>
              </w:rPr>
              <w:t xml:space="preserve"> </w:t>
            </w:r>
            <w:r>
              <w:rPr>
                <w:rFonts w:ascii="Arial" w:cs="Arial" w:eastAsia="Arial" w:hAnsi="Arial"/>
                <w:sz w:val="18"/>
                <w:szCs w:val="18"/>
                <w:color w:val="000000"/>
                <w:w w:val="95"/>
              </w:rPr>
              <w:t>and</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Arial" w:cs="Arial" w:eastAsia="Arial" w:hAnsi="Arial"/>
                <w:sz w:val="18"/>
                <w:szCs w:val="18"/>
                <w:color w:val="auto"/>
              </w:rPr>
              <w:t>Plan</w:t>
            </w:r>
          </w:p>
        </w:tc>
        <w:tc>
          <w:tcPr>
            <w:tcW w:w="3840" w:type="dxa"/>
            <w:vAlign w:val="bottom"/>
            <w:tcBorders>
              <w:top w:val="single" w:sz="8" w:color="0000FF"/>
            </w:tcBorders>
            <w:gridSpan w:val="8"/>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6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10.7*</w:t>
            </w:r>
          </w:p>
        </w:tc>
        <w:tc>
          <w:tcPr>
            <w:tcW w:w="40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2"/>
              </w:rPr>
              <w:t>Form of Stock Option Agreement (Directors) under the</w:t>
            </w:r>
          </w:p>
        </w:tc>
        <w:tc>
          <w:tcPr>
            <w:tcW w:w="4500" w:type="dxa"/>
            <w:vAlign w:val="bottom"/>
            <w:gridSpan w:val="13"/>
            <w:shd w:val="clear" w:color="auto" w:fill="CCEEFF"/>
          </w:tcPr>
          <w:p>
            <w:pPr>
              <w:spacing w:after="0" w:line="17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84">
              <w:r>
                <w:rPr>
                  <w:rFonts w:ascii="Arial" w:cs="Arial" w:eastAsia="Arial" w:hAnsi="Arial"/>
                  <w:sz w:val="18"/>
                  <w:szCs w:val="18"/>
                  <w:b w:val="1"/>
                  <w:bCs w:val="1"/>
                  <w:color w:val="0000FF"/>
                  <w:w w:val="93"/>
                </w:rPr>
                <w:t>Exhibit 10.9 to the Company’s Annual Report on</w:t>
              </w:r>
            </w:hyperlink>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040" w:type="dxa"/>
            <w:vAlign w:val="bottom"/>
            <w:vMerge w:val="restart"/>
            <w:shd w:val="clear" w:color="auto" w:fill="CCEEFF"/>
          </w:tcPr>
          <w:p>
            <w:pPr>
              <w:ind w:left="20"/>
              <w:spacing w:after="0" w:line="195" w:lineRule="exact"/>
              <w:rPr>
                <w:sz w:val="20"/>
                <w:szCs w:val="20"/>
                <w:color w:val="auto"/>
              </w:rPr>
            </w:pPr>
            <w:r>
              <w:rPr>
                <w:rFonts w:ascii="Arial" w:cs="Arial" w:eastAsia="Arial" w:hAnsi="Arial"/>
                <w:sz w:val="18"/>
                <w:szCs w:val="18"/>
                <w:color w:val="auto"/>
              </w:rPr>
              <w:t>2020 Stock Incentive Plan</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0" w:type="dxa"/>
            <w:vAlign w:val="bottom"/>
            <w:shd w:val="clear" w:color="auto" w:fill="CCEEFF"/>
          </w:tcPr>
          <w:p>
            <w:pPr>
              <w:spacing w:after="0"/>
              <w:rPr>
                <w:sz w:val="15"/>
                <w:szCs w:val="15"/>
                <w:color w:val="auto"/>
              </w:rPr>
            </w:pPr>
          </w:p>
        </w:tc>
        <w:tc>
          <w:tcPr>
            <w:tcW w:w="4040" w:type="dxa"/>
            <w:vAlign w:val="bottom"/>
            <w:vMerge w:val="continue"/>
            <w:shd w:val="clear" w:color="auto" w:fill="CCEEFF"/>
          </w:tcPr>
          <w:p>
            <w:pPr>
              <w:spacing w:after="0"/>
              <w:rPr>
                <w:sz w:val="15"/>
                <w:szCs w:val="15"/>
                <w:color w:val="auto"/>
              </w:rPr>
            </w:pPr>
          </w:p>
        </w:tc>
        <w:tc>
          <w:tcPr>
            <w:tcW w:w="4420" w:type="dxa"/>
            <w:vAlign w:val="bottom"/>
            <w:tcBorders>
              <w:right w:val="single" w:sz="8" w:color="CCEEFF"/>
            </w:tcBorders>
            <w:gridSpan w:val="12"/>
            <w:shd w:val="clear" w:color="auto" w:fill="CCEEFF"/>
          </w:tcPr>
          <w:p>
            <w:pPr>
              <w:spacing w:after="0" w:line="175" w:lineRule="exact"/>
              <w:rPr>
                <w:rFonts w:ascii="Arial" w:cs="Arial" w:eastAsia="Arial" w:hAnsi="Arial"/>
                <w:sz w:val="18"/>
                <w:szCs w:val="18"/>
                <w:b w:val="1"/>
                <w:bCs w:val="1"/>
                <w:color w:val="0000FF"/>
                <w:w w:val="95"/>
              </w:rPr>
            </w:pPr>
            <w:hyperlink r:id="rId184">
              <w:r>
                <w:rPr>
                  <w:rFonts w:ascii="Arial" w:cs="Arial" w:eastAsia="Arial" w:hAnsi="Arial"/>
                  <w:sz w:val="18"/>
                  <w:szCs w:val="18"/>
                  <w:b w:val="1"/>
                  <w:bCs w:val="1"/>
                  <w:color w:val="0000FF"/>
                  <w:w w:val="95"/>
                </w:rPr>
                <w:t>Form 10-K for the year ended December 31, 2021</w:t>
              </w:r>
            </w:hyperlink>
            <w:r>
              <w:rPr>
                <w:rFonts w:ascii="Arial" w:cs="Arial" w:eastAsia="Arial" w:hAnsi="Arial"/>
                <w:sz w:val="18"/>
                <w:szCs w:val="18"/>
                <w:color w:val="000000"/>
                <w:w w:val="95"/>
              </w:rPr>
              <w:t>,</w:t>
            </w:r>
            <w:r>
              <w:rPr>
                <w:rFonts w:ascii="Arial" w:cs="Arial" w:eastAsia="Arial" w:hAnsi="Arial"/>
                <w:sz w:val="18"/>
                <w:szCs w:val="18"/>
                <w:b w:val="1"/>
                <w:bCs w:val="1"/>
                <w:color w:val="0000FF"/>
                <w:w w:val="95"/>
              </w:rPr>
              <w:t xml:space="preserve"> </w:t>
            </w:r>
            <w:r>
              <w:rPr>
                <w:rFonts w:ascii="Arial" w:cs="Arial" w:eastAsia="Arial" w:hAnsi="Arial"/>
                <w:sz w:val="18"/>
                <w:szCs w:val="18"/>
                <w:color w:val="000000"/>
                <w:w w:val="95"/>
              </w:rPr>
              <w:t>and</w:t>
            </w: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7"/>
            <w:shd w:val="clear" w:color="auto" w:fill="CCEEFF"/>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48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w w:val="95"/>
              </w:rPr>
              <w:t>10.8*+</w:t>
            </w:r>
          </w:p>
        </w:tc>
        <w:tc>
          <w:tcPr>
            <w:tcW w:w="4040" w:type="dxa"/>
            <w:vAlign w:val="bottom"/>
          </w:tcPr>
          <w:p>
            <w:pPr>
              <w:ind w:left="20"/>
              <w:spacing w:after="0" w:line="178" w:lineRule="exact"/>
              <w:rPr>
                <w:sz w:val="20"/>
                <w:szCs w:val="20"/>
                <w:color w:val="auto"/>
              </w:rPr>
            </w:pPr>
            <w:r>
              <w:rPr>
                <w:rFonts w:ascii="Arial" w:cs="Arial" w:eastAsia="Arial" w:hAnsi="Arial"/>
                <w:sz w:val="20"/>
                <w:szCs w:val="20"/>
                <w:color w:val="auto"/>
              </w:rPr>
              <w:t>2023 Reading International, Inc. Executive</w:t>
            </w:r>
          </w:p>
        </w:tc>
        <w:tc>
          <w:tcPr>
            <w:tcW w:w="4500" w:type="dxa"/>
            <w:vAlign w:val="bottom"/>
            <w:gridSpan w:val="13"/>
          </w:tcPr>
          <w:p>
            <w:pPr>
              <w:spacing w:after="0" w:line="177" w:lineRule="exact"/>
              <w:rPr>
                <w:rFonts w:ascii="Arial" w:cs="Arial" w:eastAsia="Arial" w:hAnsi="Arial"/>
                <w:sz w:val="18"/>
                <w:szCs w:val="18"/>
                <w:color w:val="auto"/>
                <w:w w:val="96"/>
              </w:rPr>
            </w:pPr>
            <w:r>
              <w:rPr>
                <w:rFonts w:ascii="Arial" w:cs="Arial" w:eastAsia="Arial" w:hAnsi="Arial"/>
                <w:sz w:val="18"/>
                <w:szCs w:val="18"/>
                <w:color w:val="auto"/>
                <w:w w:val="96"/>
              </w:rPr>
              <w:t xml:space="preserve">Filed as </w:t>
            </w:r>
            <w:hyperlink r:id="rId185">
              <w:r>
                <w:rPr>
                  <w:rFonts w:ascii="Arial" w:cs="Arial" w:eastAsia="Arial" w:hAnsi="Arial"/>
                  <w:sz w:val="18"/>
                  <w:szCs w:val="18"/>
                  <w:color w:val="0000FF"/>
                  <w:w w:val="96"/>
                </w:rPr>
                <w:t>Exhibit 10.47 to the Company’s Annual Report on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0" w:type="dxa"/>
            <w:vAlign w:val="bottom"/>
          </w:tcPr>
          <w:p>
            <w:pPr>
              <w:spacing w:after="0"/>
              <w:rPr>
                <w:sz w:val="15"/>
                <w:szCs w:val="15"/>
                <w:color w:val="auto"/>
              </w:rPr>
            </w:pPr>
          </w:p>
        </w:tc>
        <w:tc>
          <w:tcPr>
            <w:tcW w:w="4040" w:type="dxa"/>
            <w:vAlign w:val="bottom"/>
          </w:tcPr>
          <w:p>
            <w:pPr>
              <w:ind w:left="20"/>
              <w:spacing w:after="0" w:line="174" w:lineRule="exact"/>
              <w:rPr>
                <w:sz w:val="20"/>
                <w:szCs w:val="20"/>
                <w:color w:val="auto"/>
              </w:rPr>
            </w:pPr>
            <w:r>
              <w:rPr>
                <w:rFonts w:ascii="Arial" w:cs="Arial" w:eastAsia="Arial" w:hAnsi="Arial"/>
                <w:sz w:val="20"/>
                <w:szCs w:val="20"/>
                <w:color w:val="auto"/>
              </w:rPr>
              <w:t>Incentive Plan</w:t>
            </w:r>
          </w:p>
        </w:tc>
        <w:tc>
          <w:tcPr>
            <w:tcW w:w="3780" w:type="dxa"/>
            <w:vAlign w:val="bottom"/>
            <w:tcBorders>
              <w:bottom w:val="single" w:sz="8" w:color="0000FF"/>
            </w:tcBorders>
            <w:gridSpan w:val="6"/>
          </w:tcPr>
          <w:p>
            <w:pPr>
              <w:spacing w:after="0" w:line="16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Form 10-K/A for the year ended December 31, 2022</w:t>
              </w:r>
            </w:hyperlink>
          </w:p>
        </w:tc>
        <w:tc>
          <w:tcPr>
            <w:tcW w:w="720" w:type="dxa"/>
            <w:vAlign w:val="bottom"/>
            <w:gridSpan w:val="7"/>
          </w:tcPr>
          <w:p>
            <w:pPr>
              <w:spacing w:after="0" w:line="175" w:lineRule="exact"/>
              <w:rPr>
                <w:sz w:val="20"/>
                <w:szCs w:val="20"/>
                <w:color w:val="auto"/>
              </w:rPr>
            </w:pPr>
            <w:r>
              <w:rPr>
                <w:rFonts w:ascii="Arial" w:cs="Arial" w:eastAsia="Arial" w:hAnsi="Arial"/>
                <w:sz w:val="18"/>
                <w:szCs w:val="18"/>
                <w:color w:val="auto"/>
              </w:rPr>
              <w:t>, and</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500" w:type="dxa"/>
            <w:vAlign w:val="bottom"/>
            <w:gridSpan w:val="13"/>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192"/>
        </w:trPr>
        <w:tc>
          <w:tcPr>
            <w:tcW w:w="8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85"/>
              </w:rPr>
              <w:t>10.9</w:t>
            </w:r>
          </w:p>
        </w:tc>
        <w:tc>
          <w:tcPr>
            <w:tcW w:w="40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w w:val="91"/>
              </w:rPr>
              <w:t>Amended and Restated Lease Agreement, dated as of</w:t>
            </w:r>
          </w:p>
        </w:tc>
        <w:tc>
          <w:tcPr>
            <w:tcW w:w="4500" w:type="dxa"/>
            <w:vAlign w:val="bottom"/>
            <w:gridSpan w:val="13"/>
            <w:shd w:val="clear" w:color="auto" w:fill="CCEEFF"/>
          </w:tcPr>
          <w:p>
            <w:pPr>
              <w:spacing w:after="0" w:line="192" w:lineRule="exact"/>
              <w:rPr>
                <w:sz w:val="20"/>
                <w:szCs w:val="20"/>
                <w:color w:val="auto"/>
              </w:rPr>
            </w:pPr>
            <w:r>
              <w:rPr>
                <w:rFonts w:ascii="Arial" w:cs="Arial" w:eastAsia="Arial" w:hAnsi="Arial"/>
                <w:sz w:val="18"/>
                <w:szCs w:val="18"/>
                <w:color w:val="auto"/>
              </w:rPr>
              <w:t>Filed as</w:t>
            </w:r>
          </w:p>
        </w:tc>
        <w:tc>
          <w:tcPr>
            <w:tcW w:w="0" w:type="dxa"/>
            <w:vAlign w:val="bottom"/>
          </w:tcPr>
          <w:p>
            <w:pPr>
              <w:spacing w:after="0"/>
              <w:rPr>
                <w:sz w:val="1"/>
                <w:szCs w:val="1"/>
                <w:color w:val="auto"/>
              </w:rPr>
            </w:pPr>
          </w:p>
        </w:tc>
      </w:tr>
      <w:tr>
        <w:trPr>
          <w:trHeight w:val="180"/>
        </w:trPr>
        <w:tc>
          <w:tcPr>
            <w:tcW w:w="860" w:type="dxa"/>
            <w:vAlign w:val="bottom"/>
            <w:shd w:val="clear" w:color="auto" w:fill="CCEEFF"/>
          </w:tcPr>
          <w:p>
            <w:pPr>
              <w:spacing w:after="0"/>
              <w:rPr>
                <w:sz w:val="15"/>
                <w:szCs w:val="15"/>
                <w:color w:val="auto"/>
              </w:rPr>
            </w:pPr>
          </w:p>
        </w:tc>
        <w:tc>
          <w:tcPr>
            <w:tcW w:w="40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July 28, 2000, as amended and restated as of</w:t>
            </w:r>
          </w:p>
        </w:tc>
        <w:tc>
          <w:tcPr>
            <w:tcW w:w="4500" w:type="dxa"/>
            <w:vAlign w:val="bottom"/>
            <w:gridSpan w:val="13"/>
            <w:shd w:val="clear" w:color="auto" w:fill="CCEEFF"/>
          </w:tcPr>
          <w:p>
            <w:pPr>
              <w:spacing w:after="0" w:line="180" w:lineRule="exact"/>
              <w:rPr>
                <w:rFonts w:ascii="Arial" w:cs="Arial" w:eastAsia="Arial" w:hAnsi="Arial"/>
                <w:sz w:val="18"/>
                <w:szCs w:val="18"/>
                <w:b w:val="1"/>
                <w:bCs w:val="1"/>
                <w:color w:val="0000FF"/>
                <w:w w:val="94"/>
              </w:rPr>
            </w:pPr>
            <w:hyperlink r:id="rId186">
              <w:r>
                <w:rPr>
                  <w:rFonts w:ascii="Arial" w:cs="Arial" w:eastAsia="Arial" w:hAnsi="Arial"/>
                  <w:sz w:val="18"/>
                  <w:szCs w:val="18"/>
                  <w:b w:val="1"/>
                  <w:bCs w:val="1"/>
                  <w:color w:val="0000FF"/>
                  <w:w w:val="94"/>
                </w:rPr>
                <w:t>Exhibit 10.40 to the Company’s Annual Report on Form</w:t>
              </w:r>
            </w:hyperlink>
          </w:p>
        </w:tc>
        <w:tc>
          <w:tcPr>
            <w:tcW w:w="0" w:type="dxa"/>
            <w:vAlign w:val="bottom"/>
          </w:tcPr>
          <w:p>
            <w:pPr>
              <w:spacing w:after="0"/>
              <w:rPr>
                <w:sz w:val="1"/>
                <w:szCs w:val="1"/>
                <w:color w:val="auto"/>
              </w:rPr>
            </w:pPr>
          </w:p>
        </w:tc>
      </w:tr>
      <w:tr>
        <w:trPr>
          <w:trHeight w:val="174"/>
        </w:trPr>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4040" w:type="dxa"/>
            <w:vAlign w:val="bottom"/>
            <w:tcBorders>
              <w:top w:val="single" w:sz="8" w:color="CCEEFF"/>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4"/>
              </w:rPr>
              <w:t>January 29, 2002, between Sutton Hill Capital, L.L.C.</w:t>
            </w:r>
          </w:p>
        </w:tc>
        <w:tc>
          <w:tcPr>
            <w:tcW w:w="240" w:type="dxa"/>
            <w:vAlign w:val="bottom"/>
            <w:tcBorders>
              <w:top w:val="single" w:sz="8" w:color="0000FF"/>
              <w:bottom w:val="single" w:sz="8" w:color="0000FF"/>
            </w:tcBorders>
            <w:gridSpan w:val="2"/>
            <w:shd w:val="clear" w:color="auto" w:fill="CCEEFF"/>
          </w:tcPr>
          <w:p>
            <w:pPr>
              <w:spacing w:after="0" w:line="175" w:lineRule="exact"/>
              <w:rPr>
                <w:rFonts w:ascii="Arial" w:cs="Arial" w:eastAsia="Arial" w:hAnsi="Arial"/>
                <w:sz w:val="18"/>
                <w:szCs w:val="18"/>
                <w:b w:val="1"/>
                <w:bCs w:val="1"/>
                <w:color w:val="0000FF"/>
                <w:w w:val="84"/>
              </w:rPr>
            </w:pPr>
            <w:hyperlink r:id="rId186">
              <w:r>
                <w:rPr>
                  <w:rFonts w:ascii="Arial" w:cs="Arial" w:eastAsia="Arial" w:hAnsi="Arial"/>
                  <w:sz w:val="18"/>
                  <w:szCs w:val="18"/>
                  <w:b w:val="1"/>
                  <w:bCs w:val="1"/>
                  <w:color w:val="0000FF"/>
                  <w:w w:val="84"/>
                </w:rPr>
                <w:t>10-</w:t>
              </w:r>
            </w:hyperlink>
          </w:p>
        </w:tc>
        <w:tc>
          <w:tcPr>
            <w:tcW w:w="380" w:type="dxa"/>
            <w:vAlign w:val="bottom"/>
            <w:tcBorders>
              <w:top w:val="single" w:sz="8" w:color="0000FF"/>
              <w:bottom w:val="single" w:sz="8" w:color="CCEEFF"/>
            </w:tcBorders>
            <w:shd w:val="clear" w:color="auto" w:fill="CCEEFF"/>
          </w:tcPr>
          <w:p>
            <w:pPr>
              <w:spacing w:after="0"/>
              <w:rPr>
                <w:sz w:val="15"/>
                <w:szCs w:val="15"/>
                <w:color w:val="auto"/>
              </w:rPr>
            </w:pPr>
          </w:p>
        </w:tc>
        <w:tc>
          <w:tcPr>
            <w:tcW w:w="1700" w:type="dxa"/>
            <w:vAlign w:val="bottom"/>
            <w:tcBorders>
              <w:top w:val="single" w:sz="8" w:color="0000FF"/>
              <w:bottom w:val="single" w:sz="8" w:color="CCEEFF"/>
            </w:tcBorders>
            <w:shd w:val="clear" w:color="auto" w:fill="CCEEFF"/>
          </w:tcPr>
          <w:p>
            <w:pPr>
              <w:spacing w:after="0"/>
              <w:rPr>
                <w:sz w:val="15"/>
                <w:szCs w:val="15"/>
                <w:color w:val="auto"/>
              </w:rPr>
            </w:pPr>
          </w:p>
        </w:tc>
        <w:tc>
          <w:tcPr>
            <w:tcW w:w="100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0" w:type="dxa"/>
            <w:vAlign w:val="bottom"/>
            <w:shd w:val="clear" w:color="auto" w:fill="CCEEFF"/>
          </w:tcPr>
          <w:p>
            <w:pPr>
              <w:spacing w:after="0"/>
              <w:rPr>
                <w:sz w:val="15"/>
                <w:szCs w:val="15"/>
                <w:color w:val="auto"/>
              </w:rPr>
            </w:pPr>
          </w:p>
        </w:tc>
        <w:tc>
          <w:tcPr>
            <w:tcW w:w="40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and Citadel Cinemas, Inc.</w:t>
            </w:r>
          </w:p>
        </w:tc>
        <w:tc>
          <w:tcPr>
            <w:tcW w:w="4500" w:type="dxa"/>
            <w:vAlign w:val="bottom"/>
            <w:gridSpan w:val="13"/>
            <w:shd w:val="clear" w:color="auto" w:fill="CCEEFF"/>
          </w:tcPr>
          <w:p>
            <w:pPr>
              <w:spacing w:after="0" w:line="175" w:lineRule="exact"/>
              <w:rPr>
                <w:rFonts w:ascii="Arial" w:cs="Arial" w:eastAsia="Arial" w:hAnsi="Arial"/>
                <w:sz w:val="18"/>
                <w:szCs w:val="18"/>
                <w:b w:val="1"/>
                <w:bCs w:val="1"/>
                <w:color w:val="0000FF"/>
                <w:w w:val="95"/>
              </w:rPr>
            </w:pPr>
            <w:hyperlink r:id="rId186">
              <w:r>
                <w:rPr>
                  <w:rFonts w:ascii="Arial" w:cs="Arial" w:eastAsia="Arial" w:hAnsi="Arial"/>
                  <w:sz w:val="18"/>
                  <w:szCs w:val="18"/>
                  <w:b w:val="1"/>
                  <w:bCs w:val="1"/>
                  <w:color w:val="0000FF"/>
                  <w:w w:val="95"/>
                </w:rPr>
                <w:t xml:space="preserve">K </w:t>
              </w:r>
            </w:hyperlink>
            <w:r>
              <w:rPr>
                <w:rFonts w:ascii="Arial" w:cs="Arial" w:eastAsia="Arial" w:hAnsi="Arial"/>
                <w:sz w:val="18"/>
                <w:szCs w:val="18"/>
                <w:color w:val="000000"/>
                <w:w w:val="95"/>
              </w:rPr>
              <w:t>for</w:t>
            </w:r>
            <w:r>
              <w:rPr>
                <w:rFonts w:ascii="Arial" w:cs="Arial" w:eastAsia="Arial" w:hAnsi="Arial"/>
                <w:sz w:val="18"/>
                <w:szCs w:val="18"/>
                <w:b w:val="1"/>
                <w:bCs w:val="1"/>
                <w:color w:val="0000FF"/>
                <w:w w:val="95"/>
              </w:rPr>
              <w:t xml:space="preserve"> </w:t>
            </w:r>
            <w:r>
              <w:rPr>
                <w:rFonts w:ascii="Arial" w:cs="Arial" w:eastAsia="Arial" w:hAnsi="Arial"/>
                <w:sz w:val="18"/>
                <w:szCs w:val="18"/>
                <w:color w:val="000000"/>
                <w:w w:val="95"/>
              </w:rPr>
              <w:t>the year ended December 31, 2002 and incorporated</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0" w:type="dxa"/>
            <w:vAlign w:val="bottom"/>
            <w:gridSpan w:val="6"/>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4500" w:type="dxa"/>
            <w:vAlign w:val="bottom"/>
            <w:gridSpan w:val="13"/>
            <w:shd w:val="clear" w:color="auto" w:fill="CCEEFF"/>
          </w:tcPr>
          <w:p>
            <w:pPr>
              <w:spacing w:after="0" w:line="191" w:lineRule="exact"/>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w w:val="93"/>
              </w:rPr>
              <w:t>10.10</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w w:val="91"/>
              </w:rPr>
              <w:t>Second Amendment to Amended and Restated Master</w:t>
            </w:r>
          </w:p>
        </w:tc>
        <w:tc>
          <w:tcPr>
            <w:tcW w:w="4500" w:type="dxa"/>
            <w:vAlign w:val="bottom"/>
            <w:gridSpan w:val="13"/>
          </w:tcPr>
          <w:p>
            <w:pPr>
              <w:spacing w:after="0" w:line="177" w:lineRule="exact"/>
              <w:rPr>
                <w:rFonts w:ascii="Arial" w:cs="Arial" w:eastAsia="Arial" w:hAnsi="Arial"/>
                <w:sz w:val="18"/>
                <w:szCs w:val="18"/>
                <w:color w:val="auto"/>
                <w:w w:val="91"/>
              </w:rPr>
            </w:pPr>
            <w:r>
              <w:rPr>
                <w:rFonts w:ascii="Arial" w:cs="Arial" w:eastAsia="Arial" w:hAnsi="Arial"/>
                <w:sz w:val="18"/>
                <w:szCs w:val="18"/>
                <w:color w:val="auto"/>
                <w:w w:val="91"/>
              </w:rPr>
              <w:t xml:space="preserve">Filed as </w:t>
            </w:r>
            <w:hyperlink r:id="rId187">
              <w:r>
                <w:rPr>
                  <w:rFonts w:ascii="Arial" w:cs="Arial" w:eastAsia="Arial" w:hAnsi="Arial"/>
                  <w:sz w:val="18"/>
                  <w:szCs w:val="18"/>
                  <w:b w:val="1"/>
                  <w:bCs w:val="1"/>
                  <w:color w:val="0000FF"/>
                  <w:w w:val="91"/>
                </w:rPr>
                <w:t>Exhibit 10.58 to the Company’s report on Form 8-</w:t>
              </w:r>
            </w:hyperlink>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4040" w:type="dxa"/>
            <w:vAlign w:val="bottom"/>
          </w:tcPr>
          <w:p>
            <w:pPr>
              <w:ind w:left="20"/>
              <w:spacing w:after="0" w:line="175" w:lineRule="exact"/>
              <w:rPr>
                <w:sz w:val="20"/>
                <w:szCs w:val="20"/>
                <w:color w:val="auto"/>
              </w:rPr>
            </w:pPr>
            <w:r>
              <w:rPr>
                <w:rFonts w:ascii="Arial" w:cs="Arial" w:eastAsia="Arial" w:hAnsi="Arial"/>
                <w:sz w:val="18"/>
                <w:szCs w:val="18"/>
                <w:color w:val="auto"/>
              </w:rPr>
              <w:t>Operating Lease dated as of September 1, 2005</w:t>
            </w:r>
          </w:p>
        </w:tc>
        <w:tc>
          <w:tcPr>
            <w:tcW w:w="620" w:type="dxa"/>
            <w:vAlign w:val="bottom"/>
            <w:gridSpan w:val="3"/>
          </w:tcPr>
          <w:p>
            <w:pPr>
              <w:spacing w:after="0" w:line="175" w:lineRule="exact"/>
              <w:rPr>
                <w:rFonts w:ascii="Arial" w:cs="Arial" w:eastAsia="Arial" w:hAnsi="Arial"/>
                <w:sz w:val="18"/>
                <w:szCs w:val="18"/>
                <w:b w:val="1"/>
                <w:bCs w:val="1"/>
                <w:color w:val="0000FF"/>
              </w:rPr>
            </w:pPr>
            <w:hyperlink r:id="rId187">
              <w:r>
                <w:rPr>
                  <w:rFonts w:ascii="Arial" w:cs="Arial" w:eastAsia="Arial" w:hAnsi="Arial"/>
                  <w:sz w:val="18"/>
                  <w:szCs w:val="18"/>
                  <w:b w:val="1"/>
                  <w:bCs w:val="1"/>
                  <w:color w:val="0000FF"/>
                </w:rPr>
                <w:t>K filed</w:t>
              </w:r>
            </w:hyperlink>
          </w:p>
        </w:tc>
        <w:tc>
          <w:tcPr>
            <w:tcW w:w="3800" w:type="dxa"/>
            <w:vAlign w:val="bottom"/>
            <w:tcBorders>
              <w:top w:val="single" w:sz="8" w:color="0000FF"/>
            </w:tcBorders>
            <w:gridSpan w:val="9"/>
          </w:tcPr>
          <w:p>
            <w:pPr>
              <w:spacing w:after="0" w:line="175" w:lineRule="exact"/>
              <w:rPr>
                <w:rFonts w:ascii="Arial" w:cs="Arial" w:eastAsia="Arial" w:hAnsi="Arial"/>
                <w:sz w:val="18"/>
                <w:szCs w:val="18"/>
                <w:b w:val="1"/>
                <w:bCs w:val="1"/>
                <w:color w:val="0000FF"/>
                <w:w w:val="89"/>
              </w:rPr>
            </w:pPr>
            <w:hyperlink r:id="rId187">
              <w:r>
                <w:rPr>
                  <w:rFonts w:ascii="Arial" w:cs="Arial" w:eastAsia="Arial" w:hAnsi="Arial"/>
                  <w:sz w:val="18"/>
                  <w:szCs w:val="18"/>
                  <w:b w:val="1"/>
                  <w:bCs w:val="1"/>
                  <w:color w:val="0000FF"/>
                  <w:w w:val="89"/>
                </w:rPr>
                <w:t>on September 21, 2005</w:t>
              </w:r>
            </w:hyperlink>
            <w:r>
              <w:rPr>
                <w:rFonts w:ascii="Arial" w:cs="Arial" w:eastAsia="Arial" w:hAnsi="Arial"/>
                <w:sz w:val="18"/>
                <w:szCs w:val="18"/>
                <w:color w:val="000000"/>
                <w:w w:val="89"/>
              </w:rPr>
              <w:t>,</w:t>
            </w:r>
            <w:r>
              <w:rPr>
                <w:rFonts w:ascii="Arial" w:cs="Arial" w:eastAsia="Arial" w:hAnsi="Arial"/>
                <w:sz w:val="18"/>
                <w:szCs w:val="18"/>
                <w:b w:val="1"/>
                <w:bCs w:val="1"/>
                <w:color w:val="0000FF"/>
                <w:w w:val="89"/>
              </w:rPr>
              <w:t xml:space="preserve"> </w:t>
            </w:r>
            <w:r>
              <w:rPr>
                <w:rFonts w:ascii="Arial" w:cs="Arial" w:eastAsia="Arial" w:hAnsi="Arial"/>
                <w:sz w:val="18"/>
                <w:szCs w:val="18"/>
                <w:color w:val="000000"/>
                <w:w w:val="89"/>
              </w:rPr>
              <w:t>and incorporated herein by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20" w:type="dxa"/>
            <w:vAlign w:val="bottom"/>
            <w:tcBorders>
              <w:top w:val="single" w:sz="8" w:color="0000FF"/>
            </w:tcBorders>
            <w:gridSpan w:val="4"/>
          </w:tcPr>
          <w:p>
            <w:pPr>
              <w:spacing w:after="0" w:line="191" w:lineRule="exact"/>
              <w:rPr>
                <w:sz w:val="20"/>
                <w:szCs w:val="20"/>
                <w:color w:val="auto"/>
              </w:rPr>
            </w:pPr>
            <w:r>
              <w:rPr>
                <w:rFonts w:ascii="Arial" w:cs="Arial" w:eastAsia="Arial" w:hAnsi="Arial"/>
                <w:sz w:val="18"/>
                <w:szCs w:val="18"/>
                <w:color w:val="auto"/>
              </w:rPr>
              <w:t>reference.</w:t>
            </w:r>
          </w:p>
        </w:tc>
        <w:tc>
          <w:tcPr>
            <w:tcW w:w="1000" w:type="dxa"/>
            <w:vAlign w:val="bottom"/>
          </w:tcPr>
          <w:p>
            <w:pPr>
              <w:spacing w:after="0"/>
              <w:rPr>
                <w:sz w:val="16"/>
                <w:szCs w:val="16"/>
                <w:color w:val="auto"/>
              </w:rPr>
            </w:pPr>
          </w:p>
        </w:tc>
        <w:tc>
          <w:tcPr>
            <w:tcW w:w="1000" w:type="dxa"/>
            <w:vAlign w:val="bottom"/>
            <w:gridSpan w:val="6"/>
          </w:tcPr>
          <w:p>
            <w:pPr>
              <w:spacing w:after="0"/>
              <w:rPr>
                <w:sz w:val="16"/>
                <w:szCs w:val="16"/>
                <w:color w:val="auto"/>
              </w:rPr>
            </w:pP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88"/>
              </w:rPr>
              <w:t>10.11</w:t>
            </w:r>
          </w:p>
        </w:tc>
        <w:tc>
          <w:tcPr>
            <w:tcW w:w="40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2"/>
              </w:rPr>
              <w:t>Assignment and Assumption of Lease between Sutton</w:t>
            </w:r>
          </w:p>
        </w:tc>
        <w:tc>
          <w:tcPr>
            <w:tcW w:w="4500" w:type="dxa"/>
            <w:vAlign w:val="bottom"/>
            <w:gridSpan w:val="13"/>
            <w:shd w:val="clear" w:color="auto" w:fill="CCEEFF"/>
          </w:tcPr>
          <w:p>
            <w:pPr>
              <w:spacing w:after="0" w:line="177" w:lineRule="exact"/>
              <w:rPr>
                <w:rFonts w:ascii="Arial" w:cs="Arial" w:eastAsia="Arial" w:hAnsi="Arial"/>
                <w:sz w:val="18"/>
                <w:szCs w:val="18"/>
                <w:color w:val="auto"/>
                <w:w w:val="91"/>
              </w:rPr>
            </w:pPr>
            <w:r>
              <w:rPr>
                <w:rFonts w:ascii="Arial" w:cs="Arial" w:eastAsia="Arial" w:hAnsi="Arial"/>
                <w:sz w:val="18"/>
                <w:szCs w:val="18"/>
                <w:color w:val="auto"/>
                <w:w w:val="91"/>
              </w:rPr>
              <w:t xml:space="preserve">Filed as </w:t>
            </w:r>
            <w:hyperlink r:id="rId188">
              <w:r>
                <w:rPr>
                  <w:rFonts w:ascii="Arial" w:cs="Arial" w:eastAsia="Arial" w:hAnsi="Arial"/>
                  <w:sz w:val="18"/>
                  <w:szCs w:val="18"/>
                  <w:b w:val="1"/>
                  <w:bCs w:val="1"/>
                  <w:color w:val="0000FF"/>
                  <w:w w:val="91"/>
                </w:rPr>
                <w:t>Exhibit 10.56 to the Company’s report on Form 8-</w:t>
              </w:r>
            </w:hyperlink>
          </w:p>
        </w:tc>
        <w:tc>
          <w:tcPr>
            <w:tcW w:w="0" w:type="dxa"/>
            <w:vAlign w:val="bottom"/>
          </w:tcPr>
          <w:p>
            <w:pPr>
              <w:spacing w:after="0"/>
              <w:rPr>
                <w:sz w:val="1"/>
                <w:szCs w:val="1"/>
                <w:color w:val="auto"/>
              </w:rPr>
            </w:pPr>
          </w:p>
        </w:tc>
      </w:tr>
      <w:tr>
        <w:trPr>
          <w:trHeight w:val="174"/>
        </w:trPr>
        <w:tc>
          <w:tcPr>
            <w:tcW w:w="860" w:type="dxa"/>
            <w:vAlign w:val="bottom"/>
            <w:tcBorders>
              <w:top w:val="single" w:sz="8" w:color="CCEEFF"/>
            </w:tcBorders>
            <w:shd w:val="clear" w:color="auto" w:fill="CCEEFF"/>
          </w:tcPr>
          <w:p>
            <w:pPr>
              <w:spacing w:after="0"/>
              <w:rPr>
                <w:sz w:val="15"/>
                <w:szCs w:val="15"/>
                <w:color w:val="auto"/>
              </w:rPr>
            </w:pPr>
          </w:p>
        </w:tc>
        <w:tc>
          <w:tcPr>
            <w:tcW w:w="404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Hill Capital L.L.C. and Sutton Hill Properties, LLC</w:t>
            </w:r>
          </w:p>
        </w:tc>
        <w:tc>
          <w:tcPr>
            <w:tcW w:w="620" w:type="dxa"/>
            <w:vAlign w:val="bottom"/>
            <w:tcBorders>
              <w:top w:val="single" w:sz="8" w:color="CCEEFF"/>
            </w:tcBorders>
            <w:gridSpan w:val="3"/>
            <w:shd w:val="clear" w:color="auto" w:fill="CCEEFF"/>
          </w:tcPr>
          <w:p>
            <w:pPr>
              <w:spacing w:after="0" w:line="175" w:lineRule="exact"/>
              <w:rPr>
                <w:rFonts w:ascii="Arial" w:cs="Arial" w:eastAsia="Arial" w:hAnsi="Arial"/>
                <w:sz w:val="18"/>
                <w:szCs w:val="18"/>
                <w:b w:val="1"/>
                <w:bCs w:val="1"/>
                <w:color w:val="0000FF"/>
              </w:rPr>
            </w:pPr>
            <w:hyperlink r:id="rId188">
              <w:r>
                <w:rPr>
                  <w:rFonts w:ascii="Arial" w:cs="Arial" w:eastAsia="Arial" w:hAnsi="Arial"/>
                  <w:sz w:val="18"/>
                  <w:szCs w:val="18"/>
                  <w:b w:val="1"/>
                  <w:bCs w:val="1"/>
                  <w:color w:val="0000FF"/>
                </w:rPr>
                <w:t>K filed</w:t>
              </w:r>
            </w:hyperlink>
          </w:p>
        </w:tc>
        <w:tc>
          <w:tcPr>
            <w:tcW w:w="3800" w:type="dxa"/>
            <w:vAlign w:val="bottom"/>
            <w:tcBorders>
              <w:top w:val="single" w:sz="8" w:color="0000FF"/>
              <w:right w:val="single" w:sz="8" w:color="CCEEFF"/>
            </w:tcBorders>
            <w:gridSpan w:val="9"/>
            <w:shd w:val="clear" w:color="auto" w:fill="CCEEFF"/>
          </w:tcPr>
          <w:p>
            <w:pPr>
              <w:spacing w:after="0" w:line="175" w:lineRule="exact"/>
              <w:rPr>
                <w:rFonts w:ascii="Arial" w:cs="Arial" w:eastAsia="Arial" w:hAnsi="Arial"/>
                <w:sz w:val="18"/>
                <w:szCs w:val="18"/>
                <w:b w:val="1"/>
                <w:bCs w:val="1"/>
                <w:color w:val="0000FF"/>
                <w:w w:val="89"/>
              </w:rPr>
            </w:pPr>
            <w:hyperlink r:id="rId188">
              <w:r>
                <w:rPr>
                  <w:rFonts w:ascii="Arial" w:cs="Arial" w:eastAsia="Arial" w:hAnsi="Arial"/>
                  <w:sz w:val="18"/>
                  <w:szCs w:val="18"/>
                  <w:b w:val="1"/>
                  <w:bCs w:val="1"/>
                  <w:color w:val="0000FF"/>
                  <w:w w:val="89"/>
                </w:rPr>
                <w:t>on September 21, 2005</w:t>
              </w:r>
            </w:hyperlink>
            <w:r>
              <w:rPr>
                <w:rFonts w:ascii="Arial" w:cs="Arial" w:eastAsia="Arial" w:hAnsi="Arial"/>
                <w:sz w:val="18"/>
                <w:szCs w:val="18"/>
                <w:color w:val="000000"/>
                <w:w w:val="89"/>
              </w:rPr>
              <w:t>,</w:t>
            </w:r>
            <w:r>
              <w:rPr>
                <w:rFonts w:ascii="Arial" w:cs="Arial" w:eastAsia="Arial" w:hAnsi="Arial"/>
                <w:sz w:val="18"/>
                <w:szCs w:val="18"/>
                <w:b w:val="1"/>
                <w:bCs w:val="1"/>
                <w:color w:val="0000FF"/>
                <w:w w:val="89"/>
              </w:rPr>
              <w:t xml:space="preserve"> </w:t>
            </w:r>
            <w:r>
              <w:rPr>
                <w:rFonts w:ascii="Arial" w:cs="Arial" w:eastAsia="Arial" w:hAnsi="Arial"/>
                <w:sz w:val="18"/>
                <w:szCs w:val="18"/>
                <w:color w:val="000000"/>
                <w:w w:val="89"/>
              </w:rPr>
              <w:t>and incorporated herein by</w:t>
            </w: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dated as of September 19, 2005</w:t>
            </w:r>
          </w:p>
        </w:tc>
        <w:tc>
          <w:tcPr>
            <w:tcW w:w="2320" w:type="dxa"/>
            <w:vAlign w:val="bottom"/>
            <w:tcBorders>
              <w:top w:val="single" w:sz="8" w:color="0000FF"/>
            </w:tcBorders>
            <w:gridSpan w:val="4"/>
            <w:shd w:val="clear" w:color="auto" w:fill="CCEEFF"/>
          </w:tcPr>
          <w:p>
            <w:pPr>
              <w:spacing w:after="0" w:line="191" w:lineRule="exact"/>
              <w:rPr>
                <w:sz w:val="20"/>
                <w:szCs w:val="20"/>
                <w:color w:val="auto"/>
              </w:rPr>
            </w:pPr>
            <w:r>
              <w:rPr>
                <w:rFonts w:ascii="Arial" w:cs="Arial" w:eastAsia="Arial" w:hAnsi="Arial"/>
                <w:sz w:val="18"/>
                <w:szCs w:val="18"/>
                <w:color w:val="auto"/>
              </w:rPr>
              <w:t>reference.</w:t>
            </w:r>
          </w:p>
        </w:tc>
        <w:tc>
          <w:tcPr>
            <w:tcW w:w="10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gridSpan w:val="6"/>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w w:val="93"/>
              </w:rPr>
              <w:t>10.12</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w w:val="95"/>
              </w:rPr>
              <w:t>Third Amendment to Amended and Restated Master</w:t>
            </w:r>
          </w:p>
        </w:tc>
        <w:tc>
          <w:tcPr>
            <w:tcW w:w="4500" w:type="dxa"/>
            <w:vAlign w:val="bottom"/>
            <w:gridSpan w:val="13"/>
          </w:tcPr>
          <w:p>
            <w:pPr>
              <w:spacing w:after="0" w:line="177"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as </w:t>
            </w:r>
            <w:hyperlink r:id="rId189">
              <w:r>
                <w:rPr>
                  <w:rFonts w:ascii="Arial" w:cs="Arial" w:eastAsia="Arial" w:hAnsi="Arial"/>
                  <w:sz w:val="18"/>
                  <w:szCs w:val="18"/>
                  <w:b w:val="1"/>
                  <w:bCs w:val="1"/>
                  <w:color w:val="0000FF"/>
                  <w:w w:val="95"/>
                </w:rPr>
                <w:t>Exhibit 10.21 to the Company’s report on Form</w:t>
              </w:r>
            </w:hyperlink>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4040" w:type="dxa"/>
            <w:vAlign w:val="bottom"/>
          </w:tcPr>
          <w:p>
            <w:pPr>
              <w:ind w:left="20"/>
              <w:spacing w:after="0" w:line="175" w:lineRule="exact"/>
              <w:rPr>
                <w:sz w:val="20"/>
                <w:szCs w:val="20"/>
                <w:color w:val="auto"/>
              </w:rPr>
            </w:pPr>
            <w:r>
              <w:rPr>
                <w:rFonts w:ascii="Arial" w:cs="Arial" w:eastAsia="Arial" w:hAnsi="Arial"/>
                <w:sz w:val="18"/>
                <w:szCs w:val="18"/>
                <w:color w:val="auto"/>
                <w:w w:val="98"/>
              </w:rPr>
              <w:t>Operating Lease Agreement, dated June 29, 2010,</w:t>
            </w:r>
          </w:p>
        </w:tc>
        <w:tc>
          <w:tcPr>
            <w:tcW w:w="620" w:type="dxa"/>
            <w:vAlign w:val="bottom"/>
            <w:gridSpan w:val="3"/>
          </w:tcPr>
          <w:p>
            <w:pPr>
              <w:spacing w:after="0" w:line="175" w:lineRule="exact"/>
              <w:rPr>
                <w:rFonts w:ascii="Arial" w:cs="Arial" w:eastAsia="Arial" w:hAnsi="Arial"/>
                <w:sz w:val="18"/>
                <w:szCs w:val="18"/>
                <w:b w:val="1"/>
                <w:bCs w:val="1"/>
                <w:color w:val="0000FF"/>
                <w:w w:val="88"/>
              </w:rPr>
            </w:pPr>
            <w:hyperlink r:id="rId189">
              <w:r>
                <w:rPr>
                  <w:rFonts w:ascii="Arial" w:cs="Arial" w:eastAsia="Arial" w:hAnsi="Arial"/>
                  <w:sz w:val="18"/>
                  <w:szCs w:val="18"/>
                  <w:b w:val="1"/>
                  <w:bCs w:val="1"/>
                  <w:color w:val="0000FF"/>
                  <w:w w:val="88"/>
                </w:rPr>
                <w:t>10-K for</w:t>
              </w:r>
            </w:hyperlink>
          </w:p>
        </w:tc>
        <w:tc>
          <w:tcPr>
            <w:tcW w:w="3700" w:type="dxa"/>
            <w:vAlign w:val="bottom"/>
            <w:tcBorders>
              <w:top w:val="single" w:sz="8" w:color="0000FF"/>
            </w:tcBorders>
            <w:gridSpan w:val="8"/>
          </w:tcPr>
          <w:p>
            <w:pPr>
              <w:ind w:left="80"/>
              <w:spacing w:after="0" w:line="175" w:lineRule="exact"/>
              <w:rPr>
                <w:rFonts w:ascii="Arial" w:cs="Arial" w:eastAsia="Arial" w:hAnsi="Arial"/>
                <w:sz w:val="18"/>
                <w:szCs w:val="18"/>
                <w:b w:val="1"/>
                <w:bCs w:val="1"/>
                <w:color w:val="0000FF"/>
              </w:rPr>
            </w:pPr>
            <w:hyperlink r:id="rId189">
              <w:r>
                <w:rPr>
                  <w:rFonts w:ascii="Arial" w:cs="Arial" w:eastAsia="Arial" w:hAnsi="Arial"/>
                  <w:sz w:val="18"/>
                  <w:szCs w:val="18"/>
                  <w:b w:val="1"/>
                  <w:bCs w:val="1"/>
                  <w:color w:val="0000FF"/>
                </w:rPr>
                <w:t>the year ended December 31, 2010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4040" w:type="dxa"/>
            <w:vAlign w:val="bottom"/>
          </w:tcPr>
          <w:p>
            <w:pPr>
              <w:ind w:left="20"/>
              <w:spacing w:after="0" w:line="189" w:lineRule="exact"/>
              <w:rPr>
                <w:sz w:val="20"/>
                <w:szCs w:val="20"/>
                <w:color w:val="auto"/>
              </w:rPr>
            </w:pPr>
            <w:r>
              <w:rPr>
                <w:rFonts w:ascii="Arial" w:cs="Arial" w:eastAsia="Arial" w:hAnsi="Arial"/>
                <w:sz w:val="18"/>
                <w:szCs w:val="18"/>
                <w:color w:val="auto"/>
              </w:rPr>
              <w:t>between Sutton Hill Capital, L.L.C. and Citadel</w:t>
            </w:r>
          </w:p>
        </w:tc>
        <w:tc>
          <w:tcPr>
            <w:tcW w:w="3320" w:type="dxa"/>
            <w:vAlign w:val="bottom"/>
            <w:tcBorders>
              <w:top w:val="single" w:sz="8" w:color="0000FF"/>
            </w:tcBorders>
            <w:gridSpan w:val="5"/>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1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4040" w:type="dxa"/>
            <w:vAlign w:val="bottom"/>
          </w:tcPr>
          <w:p>
            <w:pPr>
              <w:ind w:left="20"/>
              <w:spacing w:after="0" w:line="199" w:lineRule="exact"/>
              <w:rPr>
                <w:sz w:val="20"/>
                <w:szCs w:val="20"/>
                <w:color w:val="auto"/>
              </w:rPr>
            </w:pPr>
            <w:r>
              <w:rPr>
                <w:rFonts w:ascii="Arial" w:cs="Arial" w:eastAsia="Arial" w:hAnsi="Arial"/>
                <w:sz w:val="18"/>
                <w:szCs w:val="18"/>
                <w:color w:val="auto"/>
              </w:rPr>
              <w:t>Cinemas, Inc.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33"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39</w:t>
      </w:r>
    </w:p>
    <w:p>
      <w:pPr>
        <w:sectPr>
          <w:pgSz w:w="11900" w:h="16838" w:orient="portrait"/>
          <w:cols w:equalWidth="0" w:num="1">
            <w:col w:w="9400"/>
          </w:cols>
          <w:pgMar w:left="1260" w:top="1333" w:right="1246"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10.13</w:t>
            </w: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Omnibus Amendment Agreement, dated as of</w:t>
            </w:r>
          </w:p>
        </w:tc>
        <w:tc>
          <w:tcPr>
            <w:tcW w:w="4500" w:type="dxa"/>
            <w:vAlign w:val="bottom"/>
            <w:gridSpan w:val="6"/>
            <w:shd w:val="clear" w:color="auto" w:fill="CCEEFF"/>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Filed as </w:t>
            </w:r>
            <w:hyperlink r:id="rId190">
              <w:r>
                <w:rPr>
                  <w:rFonts w:ascii="Arial" w:cs="Arial" w:eastAsia="Arial" w:hAnsi="Arial"/>
                  <w:sz w:val="18"/>
                  <w:szCs w:val="18"/>
                  <w:b w:val="1"/>
                  <w:bCs w:val="1"/>
                  <w:color w:val="0000FF"/>
                  <w:w w:val="95"/>
                </w:rPr>
                <w:t>Exhibit 10.49 to the Company’s report on Form</w:t>
              </w:r>
            </w:hyperlink>
          </w:p>
        </w:tc>
      </w:tr>
      <w:tr>
        <w:trPr>
          <w:trHeight w:val="174"/>
        </w:trPr>
        <w:tc>
          <w:tcPr>
            <w:tcW w:w="860" w:type="dxa"/>
            <w:vAlign w:val="bottom"/>
            <w:tcBorders>
              <w:top w:val="single" w:sz="8" w:color="CCEEFF"/>
            </w:tcBorders>
            <w:shd w:val="clear" w:color="auto" w:fill="CCEEFF"/>
          </w:tcPr>
          <w:p>
            <w:pPr>
              <w:spacing w:after="0"/>
              <w:rPr>
                <w:sz w:val="15"/>
                <w:szCs w:val="15"/>
                <w:color w:val="auto"/>
              </w:rPr>
            </w:pPr>
          </w:p>
        </w:tc>
        <w:tc>
          <w:tcPr>
            <w:tcW w:w="404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October 22, 2003, between Citadel Cinemas, Inc.,</w:t>
            </w:r>
          </w:p>
        </w:tc>
        <w:tc>
          <w:tcPr>
            <w:tcW w:w="620" w:type="dxa"/>
            <w:vAlign w:val="bottom"/>
            <w:tcBorders>
              <w:top w:val="single" w:sz="8" w:color="CCEEFF"/>
            </w:tcBorders>
            <w:shd w:val="clear" w:color="auto" w:fill="CCEEFF"/>
          </w:tcPr>
          <w:p>
            <w:pPr>
              <w:spacing w:after="0" w:line="175" w:lineRule="exact"/>
              <w:rPr>
                <w:rFonts w:ascii="Arial" w:cs="Arial" w:eastAsia="Arial" w:hAnsi="Arial"/>
                <w:sz w:val="18"/>
                <w:szCs w:val="18"/>
                <w:b w:val="1"/>
                <w:bCs w:val="1"/>
                <w:color w:val="0000FF"/>
                <w:w w:val="86"/>
              </w:rPr>
            </w:pPr>
            <w:hyperlink r:id="rId190">
              <w:r>
                <w:rPr>
                  <w:rFonts w:ascii="Arial" w:cs="Arial" w:eastAsia="Arial" w:hAnsi="Arial"/>
                  <w:sz w:val="18"/>
                  <w:szCs w:val="18"/>
                  <w:b w:val="1"/>
                  <w:bCs w:val="1"/>
                  <w:color w:val="0000FF"/>
                  <w:w w:val="86"/>
                </w:rPr>
                <w:t>10-Q for</w:t>
              </w:r>
            </w:hyperlink>
          </w:p>
        </w:tc>
        <w:tc>
          <w:tcPr>
            <w:tcW w:w="3700" w:type="dxa"/>
            <w:vAlign w:val="bottom"/>
            <w:tcBorders>
              <w:top w:val="single" w:sz="8" w:color="0000FF"/>
            </w:tcBorders>
            <w:gridSpan w:val="3"/>
            <w:shd w:val="clear" w:color="auto" w:fill="CCEEFF"/>
          </w:tcPr>
          <w:p>
            <w:pPr>
              <w:ind w:left="80"/>
              <w:spacing w:after="0" w:line="175" w:lineRule="exact"/>
              <w:rPr>
                <w:rFonts w:ascii="Arial" w:cs="Arial" w:eastAsia="Arial" w:hAnsi="Arial"/>
                <w:sz w:val="18"/>
                <w:szCs w:val="18"/>
                <w:b w:val="1"/>
                <w:bCs w:val="1"/>
                <w:color w:val="0000FF"/>
              </w:rPr>
            </w:pPr>
            <w:hyperlink r:id="rId190">
              <w:r>
                <w:rPr>
                  <w:rFonts w:ascii="Arial" w:cs="Arial" w:eastAsia="Arial" w:hAnsi="Arial"/>
                  <w:sz w:val="18"/>
                  <w:szCs w:val="18"/>
                  <w:b w:val="1"/>
                  <w:bCs w:val="1"/>
                  <w:color w:val="0000FF"/>
                </w:rPr>
                <w:t>the period ended September 30, 2003</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9"/>
        </w:trPr>
        <w:tc>
          <w:tcPr>
            <w:tcW w:w="86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Sutton Hill Capital, L.L.C., Nationwide Theatres</w:t>
            </w:r>
          </w:p>
        </w:tc>
        <w:tc>
          <w:tcPr>
            <w:tcW w:w="3540" w:type="dxa"/>
            <w:vAlign w:val="bottom"/>
            <w:tcBorders>
              <w:top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84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4"/>
        </w:trPr>
        <w:tc>
          <w:tcPr>
            <w:tcW w:w="860" w:type="dxa"/>
            <w:vAlign w:val="bottom"/>
            <w:shd w:val="clear" w:color="auto" w:fill="CCEEFF"/>
          </w:tcPr>
          <w:p>
            <w:pPr>
              <w:spacing w:after="0"/>
              <w:rPr>
                <w:sz w:val="16"/>
                <w:szCs w:val="16"/>
                <w:color w:val="auto"/>
              </w:rPr>
            </w:pPr>
          </w:p>
        </w:tc>
        <w:tc>
          <w:tcPr>
            <w:tcW w:w="4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Corp., Sutton Hill Associates, and Reading</w:t>
            </w: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7"/>
        </w:trPr>
        <w:tc>
          <w:tcPr>
            <w:tcW w:w="860" w:type="dxa"/>
            <w:vAlign w:val="bottom"/>
            <w:shd w:val="clear" w:color="auto" w:fill="CCEEFF"/>
          </w:tcPr>
          <w:p>
            <w:pPr>
              <w:spacing w:after="0"/>
              <w:rPr>
                <w:sz w:val="17"/>
                <w:szCs w:val="17"/>
                <w:color w:val="auto"/>
              </w:rPr>
            </w:pPr>
          </w:p>
        </w:tc>
        <w:tc>
          <w:tcPr>
            <w:tcW w:w="404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International, Inc.</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8"/>
        </w:trPr>
        <w:tc>
          <w:tcPr>
            <w:tcW w:w="86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10.14</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w w:val="98"/>
              </w:rPr>
              <w:t>Amended and Restated Declaration of Trust, dated</w:t>
            </w:r>
          </w:p>
        </w:tc>
        <w:tc>
          <w:tcPr>
            <w:tcW w:w="4500" w:type="dxa"/>
            <w:vAlign w:val="bottom"/>
            <w:gridSpan w:val="6"/>
          </w:tcPr>
          <w:p>
            <w:pPr>
              <w:spacing w:after="0" w:line="17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91">
              <w:r>
                <w:rPr>
                  <w:rFonts w:ascii="Arial" w:cs="Arial" w:eastAsia="Arial" w:hAnsi="Arial"/>
                  <w:sz w:val="18"/>
                  <w:szCs w:val="18"/>
                  <w:b w:val="1"/>
                  <w:bCs w:val="1"/>
                  <w:color w:val="0000FF"/>
                  <w:w w:val="93"/>
                </w:rPr>
                <w:t>Exhibit 10.2 to the Company’s report on Form 8-</w:t>
              </w:r>
            </w:hyperlink>
          </w:p>
        </w:tc>
      </w:tr>
      <w:tr>
        <w:trPr>
          <w:trHeight w:val="174"/>
        </w:trPr>
        <w:tc>
          <w:tcPr>
            <w:tcW w:w="860" w:type="dxa"/>
            <w:vAlign w:val="bottom"/>
          </w:tcPr>
          <w:p>
            <w:pPr>
              <w:spacing w:after="0"/>
              <w:rPr>
                <w:sz w:val="15"/>
                <w:szCs w:val="15"/>
                <w:color w:val="auto"/>
              </w:rPr>
            </w:pPr>
          </w:p>
        </w:tc>
        <w:tc>
          <w:tcPr>
            <w:tcW w:w="4660" w:type="dxa"/>
            <w:vAlign w:val="bottom"/>
            <w:gridSpan w:val="2"/>
          </w:tcPr>
          <w:p>
            <w:pPr>
              <w:ind w:left="20"/>
              <w:spacing w:after="0" w:line="175" w:lineRule="exact"/>
              <w:rPr>
                <w:rFonts w:ascii="Arial" w:cs="Arial" w:eastAsia="Arial" w:hAnsi="Arial"/>
                <w:sz w:val="18"/>
                <w:szCs w:val="18"/>
                <w:color w:val="auto"/>
                <w:w w:val="90"/>
              </w:rPr>
            </w:pPr>
            <w:r>
              <w:rPr>
                <w:rFonts w:ascii="Arial" w:cs="Arial" w:eastAsia="Arial" w:hAnsi="Arial"/>
                <w:sz w:val="18"/>
                <w:szCs w:val="18"/>
                <w:color w:val="auto"/>
                <w:w w:val="90"/>
              </w:rPr>
              <w:t xml:space="preserve">February 5, 2007, among Reading International Inc., as </w:t>
            </w:r>
            <w:hyperlink r:id="rId191">
              <w:r>
                <w:rPr>
                  <w:rFonts w:ascii="Arial" w:cs="Arial" w:eastAsia="Arial" w:hAnsi="Arial"/>
                  <w:sz w:val="18"/>
                  <w:szCs w:val="18"/>
                  <w:b w:val="1"/>
                  <w:bCs w:val="1"/>
                  <w:color w:val="0000FF"/>
                  <w:w w:val="90"/>
                </w:rPr>
                <w:t>K dated</w:t>
              </w:r>
            </w:hyperlink>
          </w:p>
        </w:tc>
        <w:tc>
          <w:tcPr>
            <w:tcW w:w="3760" w:type="dxa"/>
            <w:vAlign w:val="bottom"/>
            <w:tcBorders>
              <w:top w:val="single" w:sz="8" w:color="0000FF"/>
            </w:tcBorders>
            <w:gridSpan w:val="4"/>
          </w:tcPr>
          <w:p>
            <w:pPr>
              <w:ind w:left="40"/>
              <w:spacing w:after="0" w:line="175" w:lineRule="exact"/>
              <w:rPr>
                <w:rFonts w:ascii="Arial" w:cs="Arial" w:eastAsia="Arial" w:hAnsi="Arial"/>
                <w:sz w:val="18"/>
                <w:szCs w:val="18"/>
                <w:b w:val="1"/>
                <w:bCs w:val="1"/>
                <w:color w:val="0000FF"/>
              </w:rPr>
            </w:pPr>
            <w:hyperlink r:id="rId191">
              <w:r>
                <w:rPr>
                  <w:rFonts w:ascii="Arial" w:cs="Arial" w:eastAsia="Arial" w:hAnsi="Arial"/>
                  <w:sz w:val="18"/>
                  <w:szCs w:val="18"/>
                  <w:b w:val="1"/>
                  <w:bCs w:val="1"/>
                  <w:color w:val="0000FF"/>
                </w:rPr>
                <w:t>February 5, 2007</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incorporated herein by</w:t>
            </w:r>
          </w:p>
        </w:tc>
        <w:tc>
          <w:tcPr>
            <w:tcW w:w="120" w:type="dxa"/>
            <w:vAlign w:val="bottom"/>
          </w:tcPr>
          <w:p>
            <w:pPr>
              <w:spacing w:after="0"/>
              <w:rPr>
                <w:sz w:val="15"/>
                <w:szCs w:val="15"/>
                <w:color w:val="auto"/>
              </w:rPr>
            </w:pPr>
          </w:p>
        </w:tc>
      </w:tr>
      <w:tr>
        <w:trPr>
          <w:trHeight w:val="189"/>
        </w:trPr>
        <w:tc>
          <w:tcPr>
            <w:tcW w:w="860" w:type="dxa"/>
            <w:vAlign w:val="bottom"/>
          </w:tcPr>
          <w:p>
            <w:pPr>
              <w:spacing w:after="0"/>
              <w:rPr>
                <w:sz w:val="16"/>
                <w:szCs w:val="16"/>
                <w:color w:val="auto"/>
              </w:rPr>
            </w:pPr>
          </w:p>
        </w:tc>
        <w:tc>
          <w:tcPr>
            <w:tcW w:w="4040" w:type="dxa"/>
            <w:vAlign w:val="bottom"/>
          </w:tcPr>
          <w:p>
            <w:pPr>
              <w:ind w:left="20"/>
              <w:spacing w:after="0" w:line="189" w:lineRule="exact"/>
              <w:rPr>
                <w:sz w:val="20"/>
                <w:szCs w:val="20"/>
                <w:color w:val="auto"/>
              </w:rPr>
            </w:pPr>
            <w:r>
              <w:rPr>
                <w:rFonts w:ascii="Arial" w:cs="Arial" w:eastAsia="Arial" w:hAnsi="Arial"/>
                <w:sz w:val="18"/>
                <w:szCs w:val="18"/>
                <w:color w:val="auto"/>
                <w:w w:val="93"/>
              </w:rPr>
              <w:t>sponsor, the Administrators named therein, and Wells</w:t>
            </w:r>
          </w:p>
        </w:tc>
        <w:tc>
          <w:tcPr>
            <w:tcW w:w="19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auto"/>
              </w:rPr>
              <w:t>reference.</w:t>
            </w:r>
          </w:p>
        </w:tc>
        <w:tc>
          <w:tcPr>
            <w:tcW w:w="2520" w:type="dxa"/>
            <w:vAlign w:val="bottom"/>
            <w:gridSpan w:val="4"/>
          </w:tcPr>
          <w:p>
            <w:pPr>
              <w:spacing w:after="0"/>
              <w:rPr>
                <w:sz w:val="16"/>
                <w:szCs w:val="16"/>
                <w:color w:val="auto"/>
              </w:rPr>
            </w:pPr>
          </w:p>
        </w:tc>
      </w:tr>
      <w:tr>
        <w:trPr>
          <w:trHeight w:val="194"/>
        </w:trPr>
        <w:tc>
          <w:tcPr>
            <w:tcW w:w="860" w:type="dxa"/>
            <w:vAlign w:val="bottom"/>
          </w:tcPr>
          <w:p>
            <w:pPr>
              <w:spacing w:after="0"/>
              <w:rPr>
                <w:sz w:val="16"/>
                <w:szCs w:val="16"/>
                <w:color w:val="auto"/>
              </w:rPr>
            </w:pPr>
          </w:p>
        </w:tc>
        <w:tc>
          <w:tcPr>
            <w:tcW w:w="4040" w:type="dxa"/>
            <w:vAlign w:val="bottom"/>
          </w:tcPr>
          <w:p>
            <w:pPr>
              <w:ind w:left="20"/>
              <w:spacing w:after="0" w:line="195" w:lineRule="exact"/>
              <w:rPr>
                <w:sz w:val="20"/>
                <w:szCs w:val="20"/>
                <w:color w:val="auto"/>
              </w:rPr>
            </w:pPr>
            <w:r>
              <w:rPr>
                <w:rFonts w:ascii="Arial" w:cs="Arial" w:eastAsia="Arial" w:hAnsi="Arial"/>
                <w:sz w:val="18"/>
                <w:szCs w:val="18"/>
                <w:color w:val="auto"/>
                <w:w w:val="91"/>
              </w:rPr>
              <w:t>Fargo Bank, N.A., as property trustee, and Wells Fargo</w:t>
            </w: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60" w:type="dxa"/>
            <w:vAlign w:val="bottom"/>
          </w:tcPr>
          <w:p>
            <w:pPr>
              <w:spacing w:after="0"/>
              <w:rPr>
                <w:sz w:val="16"/>
                <w:szCs w:val="16"/>
                <w:color w:val="auto"/>
              </w:rPr>
            </w:pPr>
          </w:p>
        </w:tc>
        <w:tc>
          <w:tcPr>
            <w:tcW w:w="4040" w:type="dxa"/>
            <w:vAlign w:val="bottom"/>
          </w:tcPr>
          <w:p>
            <w:pPr>
              <w:ind w:left="20"/>
              <w:spacing w:after="0" w:line="195" w:lineRule="exact"/>
              <w:rPr>
                <w:sz w:val="20"/>
                <w:szCs w:val="20"/>
                <w:color w:val="auto"/>
              </w:rPr>
            </w:pPr>
            <w:r>
              <w:rPr>
                <w:rFonts w:ascii="Arial" w:cs="Arial" w:eastAsia="Arial" w:hAnsi="Arial"/>
                <w:sz w:val="18"/>
                <w:szCs w:val="18"/>
                <w:color w:val="auto"/>
              </w:rPr>
              <w:t>Delaware Trust Company as Delaware trustee</w:t>
            </w: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jc w:val="center"/>
        <w:ind w:right="20"/>
        <w:spacing w:after="0" w:line="229" w:lineRule="auto"/>
        <w:rPr>
          <w:sz w:val="20"/>
          <w:szCs w:val="20"/>
          <w:color w:val="auto"/>
        </w:rPr>
      </w:pPr>
      <w:r>
        <w:rPr>
          <w:rFonts w:ascii="Arial" w:cs="Arial" w:eastAsia="Arial" w:hAnsi="Arial"/>
          <w:sz w:val="20"/>
          <w:szCs w:val="20"/>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39</w:t>
      </w:r>
    </w:p>
    <w:p>
      <w:pPr>
        <w:sectPr>
          <w:pgSz w:w="11900" w:h="16838" w:orient="portrait"/>
          <w:cols w:equalWidth="0" w:num="1">
            <w:col w:w="9400"/>
          </w:cols>
          <w:pgMar w:left="1260" w:top="1104" w:right="1246"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8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10.15</w:t>
            </w: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Amended and Restated Corporate Markets Loan &amp;</w:t>
            </w:r>
          </w:p>
        </w:tc>
        <w:tc>
          <w:tcPr>
            <w:tcW w:w="4500" w:type="dxa"/>
            <w:vAlign w:val="bottom"/>
            <w:gridSpan w:val="18"/>
            <w:shd w:val="clear" w:color="auto" w:fill="CCEEFF"/>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93">
              <w:r>
                <w:rPr>
                  <w:rFonts w:ascii="Arial" w:cs="Arial" w:eastAsia="Arial" w:hAnsi="Arial"/>
                  <w:sz w:val="18"/>
                  <w:szCs w:val="18"/>
                  <w:b w:val="1"/>
                  <w:bCs w:val="1"/>
                  <w:color w:val="0000FF"/>
                  <w:w w:val="93"/>
                </w:rPr>
                <w:t>Exhibit 10.9 to the Company’s Annual Report on</w:t>
              </w:r>
            </w:hyperlink>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20" w:type="dxa"/>
            <w:vAlign w:val="bottom"/>
            <w:gridSpan w:val="4"/>
            <w:vMerge w:val="restart"/>
            <w:shd w:val="clear" w:color="auto" w:fill="CCEEFF"/>
          </w:tcPr>
          <w:p>
            <w:pPr>
              <w:spacing w:after="0" w:line="195" w:lineRule="exact"/>
              <w:rPr>
                <w:sz w:val="20"/>
                <w:szCs w:val="20"/>
                <w:color w:val="auto"/>
              </w:rPr>
            </w:pPr>
            <w:r>
              <w:rPr>
                <w:rFonts w:ascii="Arial" w:cs="Arial" w:eastAsia="Arial" w:hAnsi="Arial"/>
                <w:sz w:val="18"/>
                <w:szCs w:val="18"/>
                <w:color w:val="auto"/>
              </w:rPr>
              <w:t>Bank Guarantee Facility Agreement dated</w:t>
            </w:r>
          </w:p>
        </w:tc>
        <w:tc>
          <w:tcPr>
            <w:tcW w:w="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20" w:type="dxa"/>
            <w:vAlign w:val="bottom"/>
            <w:gridSpan w:val="4"/>
            <w:vMerge w:val="continue"/>
            <w:shd w:val="clear" w:color="auto" w:fill="CCEEFF"/>
          </w:tcPr>
          <w:p>
            <w:pPr>
              <w:spacing w:after="0"/>
              <w:rPr>
                <w:sz w:val="15"/>
                <w:szCs w:val="15"/>
                <w:color w:val="auto"/>
              </w:rPr>
            </w:pPr>
          </w:p>
        </w:tc>
        <w:tc>
          <w:tcPr>
            <w:tcW w:w="4420" w:type="dxa"/>
            <w:vAlign w:val="bottom"/>
            <w:gridSpan w:val="17"/>
            <w:shd w:val="clear" w:color="auto" w:fill="CCEEFF"/>
          </w:tcPr>
          <w:p>
            <w:pPr>
              <w:spacing w:after="0" w:line="175" w:lineRule="exact"/>
              <w:rPr>
                <w:rFonts w:ascii="Arial" w:cs="Arial" w:eastAsia="Arial" w:hAnsi="Arial"/>
                <w:sz w:val="18"/>
                <w:szCs w:val="18"/>
                <w:b w:val="1"/>
                <w:bCs w:val="1"/>
                <w:color w:val="0000FF"/>
              </w:rPr>
            </w:pPr>
            <w:hyperlink r:id="rId193">
              <w:r>
                <w:rPr>
                  <w:rFonts w:ascii="Arial" w:cs="Arial" w:eastAsia="Arial" w:hAnsi="Arial"/>
                  <w:sz w:val="18"/>
                  <w:szCs w:val="18"/>
                  <w:b w:val="1"/>
                  <w:bCs w:val="1"/>
                  <w:color w:val="0000FF"/>
                </w:rPr>
                <w:t>Form 10-K for the year ended December 31,</w:t>
              </w:r>
            </w:hyperlink>
          </w:p>
        </w:tc>
        <w:tc>
          <w:tcPr>
            <w:tcW w:w="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w w:val="97"/>
              </w:rPr>
              <w:t>December 23, 2015, among Reading Entertainment</w:t>
            </w:r>
          </w:p>
        </w:tc>
        <w:tc>
          <w:tcPr>
            <w:tcW w:w="3440" w:type="dxa"/>
            <w:vAlign w:val="bottom"/>
            <w:tcBorders>
              <w:top w:val="single" w:sz="8" w:color="0000FF"/>
            </w:tcBorders>
            <w:gridSpan w:val="8"/>
            <w:shd w:val="clear" w:color="auto" w:fill="CCEEFF"/>
          </w:tcPr>
          <w:p>
            <w:pPr>
              <w:spacing w:after="0" w:line="175" w:lineRule="exact"/>
              <w:rPr>
                <w:rFonts w:ascii="Arial" w:cs="Arial" w:eastAsia="Arial" w:hAnsi="Arial"/>
                <w:sz w:val="18"/>
                <w:szCs w:val="18"/>
                <w:b w:val="1"/>
                <w:bCs w:val="1"/>
                <w:color w:val="0000FF"/>
                <w:w w:val="93"/>
              </w:rPr>
            </w:pPr>
            <w:hyperlink r:id="rId193">
              <w:r>
                <w:rPr>
                  <w:rFonts w:ascii="Arial" w:cs="Arial" w:eastAsia="Arial" w:hAnsi="Arial"/>
                  <w:sz w:val="18"/>
                  <w:szCs w:val="18"/>
                  <w:b w:val="1"/>
                  <w:bCs w:val="1"/>
                  <w:color w:val="0000FF"/>
                  <w:w w:val="93"/>
                </w:rPr>
                <w:t>2015</w:t>
              </w:r>
            </w:hyperlink>
            <w:r>
              <w:rPr>
                <w:rFonts w:ascii="Arial" w:cs="Arial" w:eastAsia="Arial" w:hAnsi="Arial"/>
                <w:sz w:val="18"/>
                <w:szCs w:val="18"/>
                <w:color w:val="000000"/>
                <w:w w:val="93"/>
              </w:rPr>
              <w:t>,</w:t>
            </w:r>
            <w:r>
              <w:rPr>
                <w:rFonts w:ascii="Arial" w:cs="Arial" w:eastAsia="Arial" w:hAnsi="Arial"/>
                <w:sz w:val="18"/>
                <w:szCs w:val="18"/>
                <w:b w:val="1"/>
                <w:bCs w:val="1"/>
                <w:color w:val="0000FF"/>
                <w:w w:val="93"/>
              </w:rPr>
              <w:t xml:space="preserve"> </w:t>
            </w:r>
            <w:r>
              <w:rPr>
                <w:rFonts w:ascii="Arial" w:cs="Arial" w:eastAsia="Arial" w:hAnsi="Arial"/>
                <w:sz w:val="18"/>
                <w:szCs w:val="18"/>
                <w:color w:val="000000"/>
                <w:w w:val="93"/>
              </w:rPr>
              <w:t>filed on April 29, 2016 and incorporated</w:t>
            </w:r>
          </w:p>
        </w:tc>
        <w:tc>
          <w:tcPr>
            <w:tcW w:w="1060" w:type="dxa"/>
            <w:vAlign w:val="bottom"/>
            <w:tcBorders>
              <w:top w:val="single" w:sz="8" w:color="CCEEFF"/>
            </w:tcBorders>
            <w:gridSpan w:val="10"/>
            <w:shd w:val="clear" w:color="auto" w:fill="CCEEFF"/>
          </w:tcPr>
          <w:p>
            <w:pPr>
              <w:spacing w:after="0" w:line="175" w:lineRule="exact"/>
              <w:rPr>
                <w:sz w:val="20"/>
                <w:szCs w:val="20"/>
                <w:color w:val="auto"/>
              </w:rPr>
            </w:pPr>
            <w:r>
              <w:rPr>
                <w:rFonts w:ascii="Arial" w:cs="Arial" w:eastAsia="Arial" w:hAnsi="Arial"/>
                <w:sz w:val="18"/>
                <w:szCs w:val="18"/>
                <w:color w:val="auto"/>
              </w:rPr>
              <w:t>herein by</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w w:val="94"/>
              </w:rPr>
              <w:t>Australia Pty Ltd and National Australia Bank Limited</w:t>
            </w: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20" w:type="dxa"/>
            <w:vAlign w:val="bottom"/>
            <w:gridSpan w:val="4"/>
            <w:vMerge w:val="continue"/>
            <w:shd w:val="clear" w:color="auto" w:fill="CCEEFF"/>
          </w:tcPr>
          <w:p>
            <w:pPr>
              <w:spacing w:after="0"/>
              <w:rPr>
                <w:sz w:val="16"/>
                <w:szCs w:val="16"/>
                <w:color w:val="auto"/>
              </w:rPr>
            </w:pPr>
          </w:p>
        </w:tc>
        <w:tc>
          <w:tcPr>
            <w:tcW w:w="4500" w:type="dxa"/>
            <w:vAlign w:val="bottom"/>
            <w:gridSpan w:val="18"/>
            <w:shd w:val="clear" w:color="auto" w:fill="CCEEFF"/>
          </w:tcPr>
          <w:p>
            <w:pPr>
              <w:spacing w:after="0" w:line="19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10.16</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rPr>
              <w:t>Amendment Deed dated June 12, 2018 between</w:t>
            </w:r>
          </w:p>
        </w:tc>
        <w:tc>
          <w:tcPr>
            <w:tcW w:w="4500" w:type="dxa"/>
            <w:vAlign w:val="bottom"/>
            <w:gridSpan w:val="18"/>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4">
              <w:r>
                <w:rPr>
                  <w:rFonts w:ascii="Arial" w:cs="Arial" w:eastAsia="Arial" w:hAnsi="Arial"/>
                  <w:sz w:val="18"/>
                  <w:szCs w:val="18"/>
                  <w:b w:val="1"/>
                  <w:bCs w:val="1"/>
                  <w:color w:val="0000FF"/>
                  <w:w w:val="94"/>
                </w:rPr>
                <w:t>Exhibit 10.1.2 to the Company’s report on Form</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rPr>
              <w:t>National Australia Bank Limited and Reading</w:t>
            </w:r>
          </w:p>
        </w:tc>
        <w:tc>
          <w:tcPr>
            <w:tcW w:w="620" w:type="dxa"/>
            <w:vAlign w:val="bottom"/>
            <w:gridSpan w:val="2"/>
          </w:tcPr>
          <w:p>
            <w:pPr>
              <w:spacing w:after="0" w:line="175" w:lineRule="exact"/>
              <w:rPr>
                <w:rFonts w:ascii="Arial" w:cs="Arial" w:eastAsia="Arial" w:hAnsi="Arial"/>
                <w:sz w:val="18"/>
                <w:szCs w:val="18"/>
                <w:b w:val="1"/>
                <w:bCs w:val="1"/>
                <w:color w:val="0000FF"/>
                <w:w w:val="87"/>
              </w:rPr>
            </w:pPr>
            <w:hyperlink r:id="rId194">
              <w:r>
                <w:rPr>
                  <w:rFonts w:ascii="Arial" w:cs="Arial" w:eastAsia="Arial" w:hAnsi="Arial"/>
                  <w:sz w:val="18"/>
                  <w:szCs w:val="18"/>
                  <w:b w:val="1"/>
                  <w:bCs w:val="1"/>
                  <w:color w:val="0000FF"/>
                  <w:w w:val="87"/>
                </w:rPr>
                <w:t>8-K (file</w:t>
              </w:r>
            </w:hyperlink>
          </w:p>
        </w:tc>
        <w:tc>
          <w:tcPr>
            <w:tcW w:w="3760" w:type="dxa"/>
            <w:vAlign w:val="bottom"/>
            <w:tcBorders>
              <w:top w:val="single" w:sz="8" w:color="0000FF"/>
            </w:tcBorders>
            <w:gridSpan w:val="13"/>
          </w:tcPr>
          <w:p>
            <w:pPr>
              <w:ind w:left="60"/>
              <w:spacing w:after="0" w:line="175" w:lineRule="exact"/>
              <w:rPr>
                <w:rFonts w:ascii="Arial" w:cs="Arial" w:eastAsia="Arial" w:hAnsi="Arial"/>
                <w:sz w:val="18"/>
                <w:szCs w:val="18"/>
                <w:b w:val="1"/>
                <w:bCs w:val="1"/>
                <w:color w:val="0000FF"/>
              </w:rPr>
            </w:pPr>
            <w:hyperlink r:id="rId194">
              <w:r>
                <w:rPr>
                  <w:rFonts w:ascii="Arial" w:cs="Arial" w:eastAsia="Arial" w:hAnsi="Arial"/>
                  <w:sz w:val="18"/>
                  <w:szCs w:val="18"/>
                  <w:b w:val="1"/>
                  <w:bCs w:val="1"/>
                  <w:color w:val="0000FF"/>
                </w:rPr>
                <w:t>no. 1-8625), filed on June 2,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1" w:lineRule="exact"/>
              <w:rPr>
                <w:sz w:val="20"/>
                <w:szCs w:val="20"/>
                <w:color w:val="auto"/>
              </w:rPr>
            </w:pPr>
            <w:r>
              <w:rPr>
                <w:rFonts w:ascii="Arial" w:cs="Arial" w:eastAsia="Arial" w:hAnsi="Arial"/>
                <w:sz w:val="18"/>
                <w:szCs w:val="18"/>
                <w:color w:val="auto"/>
              </w:rPr>
              <w:t>Entertainment Australia Pty Ltd.</w:t>
            </w:r>
          </w:p>
        </w:tc>
        <w:tc>
          <w:tcPr>
            <w:tcW w:w="3200" w:type="dxa"/>
            <w:vAlign w:val="bottom"/>
            <w:tcBorders>
              <w:top w:val="single" w:sz="8" w:color="0000FF"/>
            </w:tcBorders>
            <w:gridSpan w:val="5"/>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shd w:val="clear" w:color="auto" w:fill="CCEEFF"/>
          </w:tcPr>
          <w:p>
            <w:pPr>
              <w:jc w:val="center"/>
              <w:ind w:right="20"/>
              <w:spacing w:after="0" w:line="177" w:lineRule="exact"/>
              <w:rPr>
                <w:sz w:val="20"/>
                <w:szCs w:val="20"/>
                <w:color w:val="auto"/>
              </w:rPr>
            </w:pPr>
            <w:r>
              <w:rPr>
                <w:rFonts w:ascii="Arial" w:cs="Arial" w:eastAsia="Arial" w:hAnsi="Arial"/>
                <w:sz w:val="18"/>
                <w:szCs w:val="18"/>
                <w:color w:val="auto"/>
                <w:w w:val="93"/>
              </w:rPr>
              <w:t>10.17</w:t>
            </w:r>
          </w:p>
        </w:tc>
        <w:tc>
          <w:tcPr>
            <w:tcW w:w="4020" w:type="dxa"/>
            <w:vAlign w:val="bottom"/>
            <w:gridSpan w:val="4"/>
            <w:shd w:val="clear" w:color="auto" w:fill="CCEEFF"/>
          </w:tcPr>
          <w:p>
            <w:pPr>
              <w:spacing w:after="0" w:line="177" w:lineRule="exact"/>
              <w:rPr>
                <w:sz w:val="20"/>
                <w:szCs w:val="20"/>
                <w:color w:val="auto"/>
              </w:rPr>
            </w:pPr>
            <w:r>
              <w:rPr>
                <w:rFonts w:ascii="Arial" w:cs="Arial" w:eastAsia="Arial" w:hAnsi="Arial"/>
                <w:sz w:val="18"/>
                <w:szCs w:val="18"/>
                <w:color w:val="auto"/>
              </w:rPr>
              <w:t>Amendment Deed dated March 27, 2019 between</w:t>
            </w:r>
          </w:p>
        </w:tc>
        <w:tc>
          <w:tcPr>
            <w:tcW w:w="4500" w:type="dxa"/>
            <w:vAlign w:val="bottom"/>
            <w:gridSpan w:val="18"/>
            <w:shd w:val="clear" w:color="auto" w:fill="CCEEFF"/>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4">
              <w:r>
                <w:rPr>
                  <w:rFonts w:ascii="Arial" w:cs="Arial" w:eastAsia="Arial" w:hAnsi="Arial"/>
                  <w:sz w:val="18"/>
                  <w:szCs w:val="18"/>
                  <w:b w:val="1"/>
                  <w:bCs w:val="1"/>
                  <w:color w:val="0000FF"/>
                  <w:w w:val="94"/>
                </w:rPr>
                <w:t>Exhibit 10.1.3 to the Company’s report on Form</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rPr>
              <w:t>National Australia Bank Limited and Reading</w:t>
            </w:r>
          </w:p>
        </w:tc>
        <w:tc>
          <w:tcPr>
            <w:tcW w:w="620" w:type="dxa"/>
            <w:vAlign w:val="bottom"/>
            <w:tcBorders>
              <w:top w:val="single" w:sz="8" w:color="CCEEFF"/>
              <w:right w:val="single" w:sz="8" w:color="CCEEFF"/>
            </w:tcBorders>
            <w:gridSpan w:val="2"/>
            <w:shd w:val="clear" w:color="auto" w:fill="CCEEFF"/>
          </w:tcPr>
          <w:p>
            <w:pPr>
              <w:spacing w:after="0" w:line="175" w:lineRule="exact"/>
              <w:rPr>
                <w:rFonts w:ascii="Arial" w:cs="Arial" w:eastAsia="Arial" w:hAnsi="Arial"/>
                <w:sz w:val="18"/>
                <w:szCs w:val="18"/>
                <w:b w:val="1"/>
                <w:bCs w:val="1"/>
                <w:color w:val="0000FF"/>
                <w:w w:val="87"/>
              </w:rPr>
            </w:pPr>
            <w:hyperlink r:id="rId194">
              <w:r>
                <w:rPr>
                  <w:rFonts w:ascii="Arial" w:cs="Arial" w:eastAsia="Arial" w:hAnsi="Arial"/>
                  <w:sz w:val="18"/>
                  <w:szCs w:val="18"/>
                  <w:b w:val="1"/>
                  <w:bCs w:val="1"/>
                  <w:color w:val="0000FF"/>
                  <w:w w:val="87"/>
                </w:rPr>
                <w:t>8-K (file</w:t>
              </w:r>
            </w:hyperlink>
          </w:p>
        </w:tc>
        <w:tc>
          <w:tcPr>
            <w:tcW w:w="3760" w:type="dxa"/>
            <w:vAlign w:val="bottom"/>
            <w:tcBorders>
              <w:top w:val="single" w:sz="8" w:color="0000FF"/>
            </w:tcBorders>
            <w:gridSpan w:val="13"/>
            <w:shd w:val="clear" w:color="auto" w:fill="CCEEFF"/>
          </w:tcPr>
          <w:p>
            <w:pPr>
              <w:ind w:left="60"/>
              <w:spacing w:after="0" w:line="175" w:lineRule="exact"/>
              <w:rPr>
                <w:rFonts w:ascii="Arial" w:cs="Arial" w:eastAsia="Arial" w:hAnsi="Arial"/>
                <w:sz w:val="18"/>
                <w:szCs w:val="18"/>
                <w:b w:val="1"/>
                <w:bCs w:val="1"/>
                <w:color w:val="0000FF"/>
              </w:rPr>
            </w:pPr>
            <w:hyperlink r:id="rId194">
              <w:r>
                <w:rPr>
                  <w:rFonts w:ascii="Arial" w:cs="Arial" w:eastAsia="Arial" w:hAnsi="Arial"/>
                  <w:sz w:val="18"/>
                  <w:szCs w:val="18"/>
                  <w:b w:val="1"/>
                  <w:bCs w:val="1"/>
                  <w:color w:val="0000FF"/>
                </w:rPr>
                <w:t>no. 1-8625), filed on June 2,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4"/>
            <w:shd w:val="clear" w:color="auto" w:fill="CCEEFF"/>
          </w:tcPr>
          <w:p>
            <w:pPr>
              <w:spacing w:after="0" w:line="191" w:lineRule="exact"/>
              <w:rPr>
                <w:sz w:val="20"/>
                <w:szCs w:val="20"/>
                <w:color w:val="auto"/>
              </w:rPr>
            </w:pPr>
            <w:r>
              <w:rPr>
                <w:rFonts w:ascii="Arial" w:cs="Arial" w:eastAsia="Arial" w:hAnsi="Arial"/>
                <w:sz w:val="18"/>
                <w:szCs w:val="18"/>
                <w:color w:val="auto"/>
              </w:rPr>
              <w:t>Entertainment Australia Pty Ltd.</w:t>
            </w:r>
          </w:p>
        </w:tc>
        <w:tc>
          <w:tcPr>
            <w:tcW w:w="3200" w:type="dxa"/>
            <w:vAlign w:val="bottom"/>
            <w:tcBorders>
              <w:top w:val="single" w:sz="8" w:color="0000FF"/>
            </w:tcBorders>
            <w:gridSpan w:val="5"/>
            <w:shd w:val="clear" w:color="auto" w:fill="CCEEFF"/>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10.18</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w w:val="93"/>
              </w:rPr>
              <w:t>Letter of Waiver dated April 9, 2020 between National</w:t>
            </w:r>
          </w:p>
        </w:tc>
        <w:tc>
          <w:tcPr>
            <w:tcW w:w="4500" w:type="dxa"/>
            <w:vAlign w:val="bottom"/>
            <w:gridSpan w:val="18"/>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4">
              <w:r>
                <w:rPr>
                  <w:rFonts w:ascii="Arial" w:cs="Arial" w:eastAsia="Arial" w:hAnsi="Arial"/>
                  <w:sz w:val="18"/>
                  <w:szCs w:val="18"/>
                  <w:b w:val="1"/>
                  <w:bCs w:val="1"/>
                  <w:color w:val="0000FF"/>
                  <w:w w:val="94"/>
                </w:rPr>
                <w:t>Exhibit 10.1.4 to the Company’s report on Form</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w w:val="99"/>
              </w:rPr>
              <w:t>Australia Bank Limited and Reading Entertainment</w:t>
            </w:r>
          </w:p>
        </w:tc>
        <w:tc>
          <w:tcPr>
            <w:tcW w:w="620" w:type="dxa"/>
            <w:vAlign w:val="bottom"/>
            <w:gridSpan w:val="2"/>
          </w:tcPr>
          <w:p>
            <w:pPr>
              <w:spacing w:after="0" w:line="175" w:lineRule="exact"/>
              <w:rPr>
                <w:rFonts w:ascii="Arial" w:cs="Arial" w:eastAsia="Arial" w:hAnsi="Arial"/>
                <w:sz w:val="18"/>
                <w:szCs w:val="18"/>
                <w:b w:val="1"/>
                <w:bCs w:val="1"/>
                <w:color w:val="0000FF"/>
                <w:w w:val="87"/>
              </w:rPr>
            </w:pPr>
            <w:hyperlink r:id="rId194">
              <w:r>
                <w:rPr>
                  <w:rFonts w:ascii="Arial" w:cs="Arial" w:eastAsia="Arial" w:hAnsi="Arial"/>
                  <w:sz w:val="18"/>
                  <w:szCs w:val="18"/>
                  <w:b w:val="1"/>
                  <w:bCs w:val="1"/>
                  <w:color w:val="0000FF"/>
                  <w:w w:val="87"/>
                </w:rPr>
                <w:t>8-K (file</w:t>
              </w:r>
            </w:hyperlink>
          </w:p>
        </w:tc>
        <w:tc>
          <w:tcPr>
            <w:tcW w:w="3760" w:type="dxa"/>
            <w:vAlign w:val="bottom"/>
            <w:tcBorders>
              <w:top w:val="single" w:sz="8" w:color="0000FF"/>
            </w:tcBorders>
            <w:gridSpan w:val="13"/>
          </w:tcPr>
          <w:p>
            <w:pPr>
              <w:ind w:left="60"/>
              <w:spacing w:after="0" w:line="175" w:lineRule="exact"/>
              <w:rPr>
                <w:rFonts w:ascii="Arial" w:cs="Arial" w:eastAsia="Arial" w:hAnsi="Arial"/>
                <w:sz w:val="18"/>
                <w:szCs w:val="18"/>
                <w:b w:val="1"/>
                <w:bCs w:val="1"/>
                <w:color w:val="0000FF"/>
              </w:rPr>
            </w:pPr>
            <w:hyperlink r:id="rId194">
              <w:r>
                <w:rPr>
                  <w:rFonts w:ascii="Arial" w:cs="Arial" w:eastAsia="Arial" w:hAnsi="Arial"/>
                  <w:sz w:val="18"/>
                  <w:szCs w:val="18"/>
                  <w:b w:val="1"/>
                  <w:bCs w:val="1"/>
                  <w:color w:val="0000FF"/>
                </w:rPr>
                <w:t>no. 1-8625), filed on June 2,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1" w:lineRule="exact"/>
              <w:rPr>
                <w:sz w:val="20"/>
                <w:szCs w:val="20"/>
                <w:color w:val="auto"/>
              </w:rPr>
            </w:pPr>
            <w:r>
              <w:rPr>
                <w:rFonts w:ascii="Arial" w:cs="Arial" w:eastAsia="Arial" w:hAnsi="Arial"/>
                <w:sz w:val="18"/>
                <w:szCs w:val="18"/>
                <w:color w:val="auto"/>
              </w:rPr>
              <w:t>Australia Pty Ltd.</w:t>
            </w:r>
          </w:p>
        </w:tc>
        <w:tc>
          <w:tcPr>
            <w:tcW w:w="3200" w:type="dxa"/>
            <w:vAlign w:val="bottom"/>
            <w:tcBorders>
              <w:top w:val="single" w:sz="8" w:color="0000FF"/>
            </w:tcBorders>
            <w:gridSpan w:val="5"/>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shd w:val="clear" w:color="auto" w:fill="CCEEFF"/>
          </w:tcPr>
          <w:p>
            <w:pPr>
              <w:jc w:val="center"/>
              <w:ind w:right="20"/>
              <w:spacing w:after="0" w:line="177" w:lineRule="exact"/>
              <w:rPr>
                <w:sz w:val="20"/>
                <w:szCs w:val="20"/>
                <w:color w:val="auto"/>
              </w:rPr>
            </w:pPr>
            <w:r>
              <w:rPr>
                <w:rFonts w:ascii="Arial" w:cs="Arial" w:eastAsia="Arial" w:hAnsi="Arial"/>
                <w:sz w:val="18"/>
                <w:szCs w:val="18"/>
                <w:color w:val="auto"/>
                <w:w w:val="93"/>
              </w:rPr>
              <w:t>10.19</w:t>
            </w:r>
          </w:p>
        </w:tc>
        <w:tc>
          <w:tcPr>
            <w:tcW w:w="4020" w:type="dxa"/>
            <w:vAlign w:val="bottom"/>
            <w:gridSpan w:val="4"/>
            <w:shd w:val="clear" w:color="auto" w:fill="CCEEFF"/>
          </w:tcPr>
          <w:p>
            <w:pPr>
              <w:spacing w:after="0" w:line="177" w:lineRule="exact"/>
              <w:rPr>
                <w:sz w:val="20"/>
                <w:szCs w:val="20"/>
                <w:color w:val="auto"/>
              </w:rPr>
            </w:pPr>
            <w:r>
              <w:rPr>
                <w:rFonts w:ascii="Arial" w:cs="Arial" w:eastAsia="Arial" w:hAnsi="Arial"/>
                <w:sz w:val="18"/>
                <w:szCs w:val="18"/>
                <w:color w:val="auto"/>
              </w:rPr>
              <w:t>Amendment Letter dated August 7, 2020 between</w:t>
            </w:r>
          </w:p>
        </w:tc>
        <w:tc>
          <w:tcPr>
            <w:tcW w:w="4500" w:type="dxa"/>
            <w:vAlign w:val="bottom"/>
            <w:gridSpan w:val="18"/>
            <w:shd w:val="clear" w:color="auto" w:fill="CCEEFF"/>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5">
              <w:r>
                <w:rPr>
                  <w:rFonts w:ascii="Arial" w:cs="Arial" w:eastAsia="Arial" w:hAnsi="Arial"/>
                  <w:sz w:val="18"/>
                  <w:szCs w:val="18"/>
                  <w:b w:val="1"/>
                  <w:bCs w:val="1"/>
                  <w:color w:val="0000FF"/>
                  <w:w w:val="94"/>
                </w:rPr>
                <w:t>Exhibit 10.2 to the Company’s Quarterly Report</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rPr>
              <w:t>National Australian Bank Limited and Reading</w:t>
            </w:r>
          </w:p>
        </w:tc>
        <w:tc>
          <w:tcPr>
            <w:tcW w:w="620" w:type="dxa"/>
            <w:vAlign w:val="bottom"/>
            <w:tcBorders>
              <w:top w:val="single" w:sz="8" w:color="CCEEFF"/>
              <w:right w:val="single" w:sz="8" w:color="CCEEFF"/>
            </w:tcBorders>
            <w:gridSpan w:val="2"/>
            <w:shd w:val="clear" w:color="auto" w:fill="CCEEFF"/>
          </w:tcPr>
          <w:p>
            <w:pPr>
              <w:spacing w:after="0" w:line="175" w:lineRule="exact"/>
              <w:rPr>
                <w:rFonts w:ascii="Arial" w:cs="Arial" w:eastAsia="Arial" w:hAnsi="Arial"/>
                <w:sz w:val="18"/>
                <w:szCs w:val="18"/>
                <w:b w:val="1"/>
                <w:bCs w:val="1"/>
                <w:color w:val="0000FF"/>
                <w:w w:val="80"/>
              </w:rPr>
            </w:pPr>
            <w:hyperlink r:id="rId195">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15"/>
            <w:shd w:val="clear" w:color="auto" w:fill="CCEEFF"/>
          </w:tcPr>
          <w:p>
            <w:pPr>
              <w:ind w:left="100"/>
              <w:spacing w:after="0" w:line="175" w:lineRule="exact"/>
              <w:rPr>
                <w:rFonts w:ascii="Arial" w:cs="Arial" w:eastAsia="Arial" w:hAnsi="Arial"/>
                <w:sz w:val="18"/>
                <w:szCs w:val="18"/>
                <w:b w:val="1"/>
                <w:bCs w:val="1"/>
                <w:color w:val="0000FF"/>
                <w:w w:val="94"/>
              </w:rPr>
            </w:pPr>
            <w:hyperlink r:id="rId195">
              <w:r>
                <w:rPr>
                  <w:rFonts w:ascii="Arial" w:cs="Arial" w:eastAsia="Arial" w:hAnsi="Arial"/>
                  <w:sz w:val="18"/>
                  <w:szCs w:val="18"/>
                  <w:b w:val="1"/>
                  <w:bCs w:val="1"/>
                  <w:color w:val="0000FF"/>
                  <w:w w:val="94"/>
                </w:rPr>
                <w:t>10-Q for the quarter ended June 30, 2020</w:t>
              </w:r>
            </w:hyperlink>
            <w:r>
              <w:rPr>
                <w:rFonts w:ascii="Arial" w:cs="Arial" w:eastAsia="Arial" w:hAnsi="Arial"/>
                <w:sz w:val="18"/>
                <w:szCs w:val="18"/>
                <w:b w:val="1"/>
                <w:bCs w:val="1"/>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4"/>
            <w:shd w:val="clear" w:color="auto" w:fill="CCEEFF"/>
          </w:tcPr>
          <w:p>
            <w:pPr>
              <w:spacing w:after="0" w:line="191" w:lineRule="exact"/>
              <w:rPr>
                <w:sz w:val="20"/>
                <w:szCs w:val="20"/>
                <w:color w:val="auto"/>
              </w:rPr>
            </w:pPr>
            <w:r>
              <w:rPr>
                <w:rFonts w:ascii="Arial" w:cs="Arial" w:eastAsia="Arial" w:hAnsi="Arial"/>
                <w:sz w:val="18"/>
                <w:szCs w:val="18"/>
                <w:color w:val="auto"/>
              </w:rPr>
              <w:t>Entertainment Australia Pty. Ltd.</w:t>
            </w:r>
          </w:p>
        </w:tc>
        <w:tc>
          <w:tcPr>
            <w:tcW w:w="3880" w:type="dxa"/>
            <w:vAlign w:val="bottom"/>
            <w:tcBorders>
              <w:top w:val="single" w:sz="8" w:color="0000FF"/>
            </w:tcBorders>
            <w:gridSpan w:val="10"/>
            <w:shd w:val="clear" w:color="auto" w:fill="CCEEFF"/>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10.20</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w w:val="90"/>
              </w:rPr>
              <w:t>Amendment Deed dated June 8, 2021, by and between</w:t>
            </w:r>
          </w:p>
        </w:tc>
        <w:tc>
          <w:tcPr>
            <w:tcW w:w="4500" w:type="dxa"/>
            <w:vAlign w:val="bottom"/>
            <w:gridSpan w:val="18"/>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6">
              <w:r>
                <w:rPr>
                  <w:rFonts w:ascii="Arial" w:cs="Arial" w:eastAsia="Arial" w:hAnsi="Arial"/>
                  <w:sz w:val="18"/>
                  <w:szCs w:val="18"/>
                  <w:b w:val="1"/>
                  <w:bCs w:val="1"/>
                  <w:color w:val="0000FF"/>
                  <w:w w:val="94"/>
                </w:rPr>
                <w:t>Exhibit 10.2 to the Company’s Quarterly Report</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w w:val="93"/>
              </w:rPr>
              <w:t>Reading Entertainment Australia Pty Ltd and National</w:t>
            </w:r>
          </w:p>
        </w:tc>
        <w:tc>
          <w:tcPr>
            <w:tcW w:w="620" w:type="dxa"/>
            <w:vAlign w:val="bottom"/>
            <w:gridSpan w:val="2"/>
          </w:tcPr>
          <w:p>
            <w:pPr>
              <w:spacing w:after="0" w:line="175" w:lineRule="exact"/>
              <w:rPr>
                <w:rFonts w:ascii="Arial" w:cs="Arial" w:eastAsia="Arial" w:hAnsi="Arial"/>
                <w:sz w:val="18"/>
                <w:szCs w:val="18"/>
                <w:b w:val="1"/>
                <w:bCs w:val="1"/>
                <w:color w:val="0000FF"/>
                <w:w w:val="80"/>
              </w:rPr>
            </w:pPr>
            <w:hyperlink r:id="rId196">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15"/>
          </w:tcPr>
          <w:p>
            <w:pPr>
              <w:ind w:left="100"/>
              <w:spacing w:after="0" w:line="175" w:lineRule="exact"/>
              <w:rPr>
                <w:rFonts w:ascii="Arial" w:cs="Arial" w:eastAsia="Arial" w:hAnsi="Arial"/>
                <w:sz w:val="18"/>
                <w:szCs w:val="18"/>
                <w:b w:val="1"/>
                <w:bCs w:val="1"/>
                <w:color w:val="0000FF"/>
                <w:w w:val="94"/>
              </w:rPr>
            </w:pPr>
            <w:hyperlink r:id="rId196">
              <w:r>
                <w:rPr>
                  <w:rFonts w:ascii="Arial" w:cs="Arial" w:eastAsia="Arial" w:hAnsi="Arial"/>
                  <w:sz w:val="18"/>
                  <w:szCs w:val="18"/>
                  <w:b w:val="1"/>
                  <w:bCs w:val="1"/>
                  <w:color w:val="0000FF"/>
                  <w:w w:val="94"/>
                </w:rPr>
                <w:t>10-Q for the quarter ended June 30, 2021</w:t>
              </w:r>
            </w:hyperlink>
            <w:r>
              <w:rPr>
                <w:rFonts w:ascii="Arial" w:cs="Arial" w:eastAsia="Arial" w:hAnsi="Arial"/>
                <w:sz w:val="18"/>
                <w:szCs w:val="18"/>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1" w:lineRule="exact"/>
              <w:rPr>
                <w:sz w:val="20"/>
                <w:szCs w:val="20"/>
                <w:color w:val="auto"/>
              </w:rPr>
            </w:pPr>
            <w:r>
              <w:rPr>
                <w:rFonts w:ascii="Arial" w:cs="Arial" w:eastAsia="Arial" w:hAnsi="Arial"/>
                <w:sz w:val="18"/>
                <w:szCs w:val="18"/>
                <w:color w:val="auto"/>
              </w:rPr>
              <w:t>Australia Bank Limited.</w:t>
            </w:r>
          </w:p>
        </w:tc>
        <w:tc>
          <w:tcPr>
            <w:tcW w:w="3880" w:type="dxa"/>
            <w:vAlign w:val="bottom"/>
            <w:tcBorders>
              <w:top w:val="single" w:sz="8" w:color="0000FF"/>
            </w:tcBorders>
            <w:gridSpan w:val="10"/>
          </w:tcPr>
          <w:p>
            <w:pPr>
              <w:spacing w:after="0" w:line="191" w:lineRule="exact"/>
              <w:rPr>
                <w:sz w:val="20"/>
                <w:szCs w:val="20"/>
                <w:color w:val="auto"/>
              </w:rPr>
            </w:pPr>
            <w:r>
              <w:rPr>
                <w:rFonts w:ascii="Arial" w:cs="Arial" w:eastAsia="Arial" w:hAnsi="Arial"/>
                <w:sz w:val="18"/>
                <w:szCs w:val="18"/>
                <w:color w:val="auto"/>
                <w:w w:val="99"/>
              </w:rPr>
              <w:t>incorporated herein by reference.in by reference.</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shd w:val="clear" w:color="auto" w:fill="CCEEFF"/>
          </w:tcPr>
          <w:p>
            <w:pPr>
              <w:jc w:val="center"/>
              <w:ind w:right="20"/>
              <w:spacing w:after="0" w:line="177" w:lineRule="exact"/>
              <w:rPr>
                <w:sz w:val="20"/>
                <w:szCs w:val="20"/>
                <w:color w:val="auto"/>
              </w:rPr>
            </w:pPr>
            <w:r>
              <w:rPr>
                <w:rFonts w:ascii="Arial" w:cs="Arial" w:eastAsia="Arial" w:hAnsi="Arial"/>
                <w:sz w:val="18"/>
                <w:szCs w:val="18"/>
                <w:color w:val="auto"/>
                <w:w w:val="93"/>
              </w:rPr>
              <w:t>10.21</w:t>
            </w:r>
          </w:p>
        </w:tc>
        <w:tc>
          <w:tcPr>
            <w:tcW w:w="4020" w:type="dxa"/>
            <w:vAlign w:val="bottom"/>
            <w:gridSpan w:val="4"/>
            <w:shd w:val="clear" w:color="auto" w:fill="CCEEFF"/>
          </w:tcPr>
          <w:p>
            <w:pPr>
              <w:spacing w:after="0" w:line="177" w:lineRule="exact"/>
              <w:rPr>
                <w:sz w:val="20"/>
                <w:szCs w:val="20"/>
                <w:color w:val="auto"/>
              </w:rPr>
            </w:pPr>
            <w:r>
              <w:rPr>
                <w:rFonts w:ascii="Arial" w:cs="Arial" w:eastAsia="Arial" w:hAnsi="Arial"/>
                <w:sz w:val="18"/>
                <w:szCs w:val="18"/>
                <w:color w:val="auto"/>
                <w:w w:val="97"/>
              </w:rPr>
              <w:t>Corporate Markets Loan &amp; Bank Guarantee Facility</w:t>
            </w:r>
          </w:p>
        </w:tc>
        <w:tc>
          <w:tcPr>
            <w:tcW w:w="4500" w:type="dxa"/>
            <w:vAlign w:val="bottom"/>
            <w:gridSpan w:val="18"/>
            <w:shd w:val="clear" w:color="auto" w:fill="CCEEFF"/>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6">
              <w:r>
                <w:rPr>
                  <w:rFonts w:ascii="Arial" w:cs="Arial" w:eastAsia="Arial" w:hAnsi="Arial"/>
                  <w:sz w:val="18"/>
                  <w:szCs w:val="18"/>
                  <w:b w:val="1"/>
                  <w:bCs w:val="1"/>
                  <w:color w:val="0000FF"/>
                  <w:w w:val="94"/>
                </w:rPr>
                <w:t>Exhibit 10.3 to the Company’s Quarterly Report</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rPr>
              <w:t>Agreement dated June 8, 2021, by and between</w:t>
            </w:r>
          </w:p>
        </w:tc>
        <w:tc>
          <w:tcPr>
            <w:tcW w:w="620" w:type="dxa"/>
            <w:vAlign w:val="bottom"/>
            <w:tcBorders>
              <w:top w:val="single" w:sz="8" w:color="CCEEFF"/>
              <w:right w:val="single" w:sz="8" w:color="CCEEFF"/>
            </w:tcBorders>
            <w:gridSpan w:val="2"/>
            <w:shd w:val="clear" w:color="auto" w:fill="CCEEFF"/>
          </w:tcPr>
          <w:p>
            <w:pPr>
              <w:spacing w:after="0" w:line="175" w:lineRule="exact"/>
              <w:rPr>
                <w:rFonts w:ascii="Arial" w:cs="Arial" w:eastAsia="Arial" w:hAnsi="Arial"/>
                <w:sz w:val="18"/>
                <w:szCs w:val="18"/>
                <w:b w:val="1"/>
                <w:bCs w:val="1"/>
                <w:color w:val="0000FF"/>
                <w:w w:val="80"/>
              </w:rPr>
            </w:pPr>
            <w:hyperlink r:id="rId196">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15"/>
            <w:shd w:val="clear" w:color="auto" w:fill="CCEEFF"/>
          </w:tcPr>
          <w:p>
            <w:pPr>
              <w:ind w:left="100"/>
              <w:spacing w:after="0" w:line="175" w:lineRule="exact"/>
              <w:rPr>
                <w:rFonts w:ascii="Arial" w:cs="Arial" w:eastAsia="Arial" w:hAnsi="Arial"/>
                <w:sz w:val="18"/>
                <w:szCs w:val="18"/>
                <w:b w:val="1"/>
                <w:bCs w:val="1"/>
                <w:color w:val="0000FF"/>
                <w:w w:val="94"/>
              </w:rPr>
            </w:pPr>
            <w:hyperlink r:id="rId196">
              <w:r>
                <w:rPr>
                  <w:rFonts w:ascii="Arial" w:cs="Arial" w:eastAsia="Arial" w:hAnsi="Arial"/>
                  <w:sz w:val="18"/>
                  <w:szCs w:val="18"/>
                  <w:b w:val="1"/>
                  <w:bCs w:val="1"/>
                  <w:color w:val="0000FF"/>
                  <w:w w:val="94"/>
                </w:rPr>
                <w:t>10-Q for the quarter ended June 30, 2021</w:t>
              </w:r>
            </w:hyperlink>
            <w:r>
              <w:rPr>
                <w:rFonts w:ascii="Arial" w:cs="Arial" w:eastAsia="Arial" w:hAnsi="Arial"/>
                <w:sz w:val="18"/>
                <w:szCs w:val="18"/>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93"/>
              </w:rPr>
              <w:t>Reading Entertainment Australia Pty Ltd and National</w:t>
            </w:r>
          </w:p>
        </w:tc>
        <w:tc>
          <w:tcPr>
            <w:tcW w:w="3880" w:type="dxa"/>
            <w:vAlign w:val="bottom"/>
            <w:tcBorders>
              <w:top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20" w:type="dxa"/>
            <w:vAlign w:val="bottom"/>
            <w:gridSpan w:val="4"/>
            <w:shd w:val="clear" w:color="auto" w:fill="CCEEFF"/>
          </w:tcPr>
          <w:p>
            <w:pPr>
              <w:spacing w:after="0" w:line="197" w:lineRule="exact"/>
              <w:rPr>
                <w:sz w:val="20"/>
                <w:szCs w:val="20"/>
                <w:color w:val="auto"/>
              </w:rPr>
            </w:pPr>
            <w:r>
              <w:rPr>
                <w:rFonts w:ascii="Arial" w:cs="Arial" w:eastAsia="Arial" w:hAnsi="Arial"/>
                <w:sz w:val="18"/>
                <w:szCs w:val="18"/>
                <w:color w:val="auto"/>
              </w:rPr>
              <w:t>Australia Bank Limited.</w:t>
            </w:r>
          </w:p>
        </w:tc>
        <w:tc>
          <w:tcPr>
            <w:tcW w:w="3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10.22</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w w:val="97"/>
              </w:rPr>
              <w:t>Amendment Deed dated November 2, 2021, by and</w:t>
            </w:r>
          </w:p>
        </w:tc>
        <w:tc>
          <w:tcPr>
            <w:tcW w:w="4500" w:type="dxa"/>
            <w:vAlign w:val="bottom"/>
            <w:gridSpan w:val="18"/>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7">
              <w:r>
                <w:rPr>
                  <w:rFonts w:ascii="Arial" w:cs="Arial" w:eastAsia="Arial" w:hAnsi="Arial"/>
                  <w:sz w:val="18"/>
                  <w:szCs w:val="18"/>
                  <w:b w:val="1"/>
                  <w:bCs w:val="1"/>
                  <w:color w:val="0000FF"/>
                  <w:w w:val="94"/>
                </w:rPr>
                <w:t>Exhibit 10.1 to the Company’s Quarterly Report</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w w:val="93"/>
              </w:rPr>
              <w:t>between Reading Entertainment Australia Pty Ltd and</w:t>
            </w:r>
          </w:p>
        </w:tc>
        <w:tc>
          <w:tcPr>
            <w:tcW w:w="620" w:type="dxa"/>
            <w:vAlign w:val="bottom"/>
            <w:gridSpan w:val="2"/>
          </w:tcPr>
          <w:p>
            <w:pPr>
              <w:spacing w:after="0" w:line="175" w:lineRule="exact"/>
              <w:rPr>
                <w:rFonts w:ascii="Arial" w:cs="Arial" w:eastAsia="Arial" w:hAnsi="Arial"/>
                <w:sz w:val="18"/>
                <w:szCs w:val="18"/>
                <w:b w:val="1"/>
                <w:bCs w:val="1"/>
                <w:color w:val="0000FF"/>
                <w:w w:val="80"/>
              </w:rPr>
            </w:pPr>
            <w:hyperlink r:id="rId197">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15"/>
          </w:tcPr>
          <w:p>
            <w:pPr>
              <w:ind w:left="100"/>
              <w:spacing w:after="0" w:line="175" w:lineRule="exact"/>
              <w:rPr>
                <w:rFonts w:ascii="Arial" w:cs="Arial" w:eastAsia="Arial" w:hAnsi="Arial"/>
                <w:sz w:val="18"/>
                <w:szCs w:val="18"/>
                <w:b w:val="1"/>
                <w:bCs w:val="1"/>
                <w:color w:val="0000FF"/>
                <w:w w:val="90"/>
              </w:rPr>
            </w:pPr>
            <w:hyperlink r:id="rId197">
              <w:r>
                <w:rPr>
                  <w:rFonts w:ascii="Arial" w:cs="Arial" w:eastAsia="Arial" w:hAnsi="Arial"/>
                  <w:sz w:val="18"/>
                  <w:szCs w:val="18"/>
                  <w:b w:val="1"/>
                  <w:bCs w:val="1"/>
                  <w:color w:val="0000FF"/>
                  <w:w w:val="90"/>
                </w:rPr>
                <w:t>10-Q for the quarter ended September 30, 2021</w:t>
              </w:r>
            </w:hyperlink>
            <w:r>
              <w:rPr>
                <w:rFonts w:ascii="Arial" w:cs="Arial" w:eastAsia="Arial" w:hAnsi="Arial"/>
                <w:sz w:val="18"/>
                <w:szCs w:val="18"/>
                <w:color w:val="000000"/>
                <w:w w:val="90"/>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1" w:lineRule="exact"/>
              <w:rPr>
                <w:sz w:val="20"/>
                <w:szCs w:val="20"/>
                <w:color w:val="auto"/>
              </w:rPr>
            </w:pPr>
            <w:r>
              <w:rPr>
                <w:rFonts w:ascii="Arial" w:cs="Arial" w:eastAsia="Arial" w:hAnsi="Arial"/>
                <w:sz w:val="18"/>
                <w:szCs w:val="18"/>
                <w:color w:val="auto"/>
              </w:rPr>
              <w:t>National Australia Bank Limited.</w:t>
            </w:r>
          </w:p>
        </w:tc>
        <w:tc>
          <w:tcPr>
            <w:tcW w:w="4340" w:type="dxa"/>
            <w:vAlign w:val="bottom"/>
            <w:tcBorders>
              <w:top w:val="single" w:sz="8" w:color="0000FF"/>
            </w:tcBorders>
            <w:gridSpan w:val="13"/>
          </w:tcPr>
          <w:p>
            <w:pPr>
              <w:spacing w:after="0" w:line="191" w:lineRule="exact"/>
              <w:rPr>
                <w:sz w:val="20"/>
                <w:szCs w:val="20"/>
                <w:color w:val="auto"/>
              </w:rPr>
            </w:pPr>
            <w:r>
              <w:rPr>
                <w:rFonts w:ascii="Arial" w:cs="Arial" w:eastAsia="Arial" w:hAnsi="Arial"/>
                <w:sz w:val="18"/>
                <w:szCs w:val="18"/>
                <w:color w:val="auto"/>
              </w:rPr>
              <w:t>and incorporated herein by reference.</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gridSpan w:val="3"/>
            <w:shd w:val="clear" w:color="auto" w:fill="CCEEFF"/>
          </w:tcPr>
          <w:p>
            <w:pPr>
              <w:jc w:val="center"/>
              <w:ind w:right="20"/>
              <w:spacing w:after="0" w:line="192" w:lineRule="exact"/>
              <w:rPr>
                <w:sz w:val="20"/>
                <w:szCs w:val="20"/>
                <w:color w:val="auto"/>
              </w:rPr>
            </w:pPr>
            <w:r>
              <w:rPr>
                <w:rFonts w:ascii="Arial" w:cs="Arial" w:eastAsia="Arial" w:hAnsi="Arial"/>
                <w:sz w:val="18"/>
                <w:szCs w:val="18"/>
                <w:color w:val="auto"/>
                <w:w w:val="90"/>
              </w:rPr>
              <w:t>10.23†</w:t>
            </w:r>
          </w:p>
        </w:tc>
        <w:tc>
          <w:tcPr>
            <w:tcW w:w="402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color w:val="auto"/>
                <w:w w:val="95"/>
              </w:rPr>
              <w:t>Transactional Facility Side Letter dated November 3,</w:t>
            </w:r>
          </w:p>
        </w:tc>
        <w:tc>
          <w:tcPr>
            <w:tcW w:w="4500" w:type="dxa"/>
            <w:vAlign w:val="bottom"/>
            <w:gridSpan w:val="18"/>
            <w:shd w:val="clear" w:color="auto" w:fill="CCEEFF"/>
          </w:tcPr>
          <w:p>
            <w:pPr>
              <w:spacing w:after="0" w:line="192" w:lineRule="exact"/>
              <w:rPr>
                <w:sz w:val="20"/>
                <w:szCs w:val="20"/>
                <w:color w:val="auto"/>
              </w:rPr>
            </w:pPr>
            <w:r>
              <w:rPr>
                <w:rFonts w:ascii="Arial" w:cs="Arial" w:eastAsia="Arial" w:hAnsi="Arial"/>
                <w:sz w:val="18"/>
                <w:szCs w:val="18"/>
                <w:color w:val="auto"/>
              </w:rPr>
              <w:t>Filed as</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20" w:type="dxa"/>
            <w:vAlign w:val="bottom"/>
            <w:gridSpan w:val="4"/>
            <w:shd w:val="clear" w:color="auto" w:fill="CCEEFF"/>
          </w:tcPr>
          <w:p>
            <w:pPr>
              <w:spacing w:after="0" w:line="180" w:lineRule="exact"/>
              <w:rPr>
                <w:sz w:val="20"/>
                <w:szCs w:val="20"/>
                <w:color w:val="auto"/>
              </w:rPr>
            </w:pPr>
            <w:r>
              <w:rPr>
                <w:rFonts w:ascii="Arial" w:cs="Arial" w:eastAsia="Arial" w:hAnsi="Arial"/>
                <w:sz w:val="18"/>
                <w:szCs w:val="18"/>
                <w:color w:val="auto"/>
                <w:w w:val="91"/>
              </w:rPr>
              <w:t>2021 between Reading Entertainment Australia Pty Ltd</w:t>
            </w:r>
          </w:p>
        </w:tc>
        <w:tc>
          <w:tcPr>
            <w:tcW w:w="4500" w:type="dxa"/>
            <w:vAlign w:val="bottom"/>
            <w:gridSpan w:val="18"/>
            <w:shd w:val="clear" w:color="auto" w:fill="CCEEFF"/>
          </w:tcPr>
          <w:p>
            <w:pPr>
              <w:spacing w:after="0" w:line="180" w:lineRule="exact"/>
              <w:rPr>
                <w:rFonts w:ascii="Arial" w:cs="Arial" w:eastAsia="Arial" w:hAnsi="Arial"/>
                <w:sz w:val="18"/>
                <w:szCs w:val="18"/>
                <w:b w:val="1"/>
                <w:bCs w:val="1"/>
                <w:color w:val="0000FF"/>
                <w:w w:val="94"/>
              </w:rPr>
            </w:pPr>
            <w:hyperlink r:id="rId198">
              <w:r>
                <w:rPr>
                  <w:rFonts w:ascii="Arial" w:cs="Arial" w:eastAsia="Arial" w:hAnsi="Arial"/>
                  <w:sz w:val="18"/>
                  <w:szCs w:val="18"/>
                  <w:b w:val="1"/>
                  <w:bCs w:val="1"/>
                  <w:color w:val="0000FF"/>
                  <w:w w:val="94"/>
                </w:rPr>
                <w:t>Exhibit 10.45 to the Company’s Annual Report on Form</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20" w:type="dxa"/>
            <w:vAlign w:val="bottom"/>
            <w:tcBorders>
              <w:top w:val="single" w:sz="8" w:color="CCEEFF"/>
              <w:bottom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rPr>
              <w:t>and National Australia Bank Limited.</w:t>
            </w:r>
          </w:p>
        </w:tc>
        <w:tc>
          <w:tcPr>
            <w:tcW w:w="2960" w:type="dxa"/>
            <w:vAlign w:val="bottom"/>
            <w:tcBorders>
              <w:top w:val="single" w:sz="8" w:color="0000FF"/>
              <w:bottom w:val="single" w:sz="8" w:color="0000FF"/>
            </w:tcBorders>
            <w:gridSpan w:val="4"/>
            <w:shd w:val="clear" w:color="auto" w:fill="CCEEFF"/>
          </w:tcPr>
          <w:p>
            <w:pPr>
              <w:spacing w:after="0" w:line="175" w:lineRule="exact"/>
              <w:rPr>
                <w:rFonts w:ascii="Arial" w:cs="Arial" w:eastAsia="Arial" w:hAnsi="Arial"/>
                <w:sz w:val="18"/>
                <w:szCs w:val="18"/>
                <w:b w:val="1"/>
                <w:bCs w:val="1"/>
                <w:color w:val="0000FF"/>
                <w:w w:val="91"/>
              </w:rPr>
            </w:pPr>
            <w:hyperlink r:id="rId198">
              <w:r>
                <w:rPr>
                  <w:rFonts w:ascii="Arial" w:cs="Arial" w:eastAsia="Arial" w:hAnsi="Arial"/>
                  <w:sz w:val="18"/>
                  <w:szCs w:val="18"/>
                  <w:b w:val="1"/>
                  <w:bCs w:val="1"/>
                  <w:color w:val="0000FF"/>
                  <w:w w:val="91"/>
                </w:rPr>
                <w:t>10-K for the year ended December 31,</w:t>
              </w:r>
            </w:hyperlink>
          </w:p>
        </w:tc>
        <w:tc>
          <w:tcPr>
            <w:tcW w:w="144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gridSpan w:val="18"/>
            <w:shd w:val="clear" w:color="auto" w:fill="CCEEFF"/>
          </w:tcPr>
          <w:p>
            <w:pPr>
              <w:spacing w:after="0" w:line="175" w:lineRule="exact"/>
              <w:rPr>
                <w:rFonts w:ascii="Arial" w:cs="Arial" w:eastAsia="Arial" w:hAnsi="Arial"/>
                <w:sz w:val="18"/>
                <w:szCs w:val="18"/>
                <w:b w:val="1"/>
                <w:bCs w:val="1"/>
                <w:color w:val="0000FF"/>
              </w:rPr>
            </w:pPr>
            <w:hyperlink r:id="rId198">
              <w:r>
                <w:rPr>
                  <w:rFonts w:ascii="Arial" w:cs="Arial" w:eastAsia="Arial" w:hAnsi="Arial"/>
                  <w:sz w:val="18"/>
                  <w:szCs w:val="18"/>
                  <w:b w:val="1"/>
                  <w:bCs w:val="1"/>
                  <w:color w:val="0000FF"/>
                </w:rPr>
                <w:t xml:space="preserve">2021 </w:t>
              </w:r>
            </w:hyperlink>
            <w:r>
              <w:rPr>
                <w:rFonts w:ascii="Arial" w:cs="Arial" w:eastAsia="Arial" w:hAnsi="Arial"/>
                <w:sz w:val="18"/>
                <w:szCs w:val="18"/>
                <w:color w:val="000000"/>
              </w:rPr>
              <w:t>filed</w:t>
            </w:r>
            <w:r>
              <w:rPr>
                <w:rFonts w:ascii="Arial" w:cs="Arial" w:eastAsia="Arial" w:hAnsi="Arial"/>
                <w:sz w:val="18"/>
                <w:szCs w:val="18"/>
                <w:b w:val="1"/>
                <w:bCs w:val="1"/>
                <w:color w:val="0000FF"/>
              </w:rPr>
              <w:t xml:space="preserve"> </w:t>
            </w:r>
            <w:r>
              <w:rPr>
                <w:rFonts w:ascii="Arial" w:cs="Arial" w:eastAsia="Arial" w:hAnsi="Arial"/>
                <w:sz w:val="18"/>
                <w:szCs w:val="18"/>
                <w:color w:val="000000"/>
              </w:rPr>
              <w:t>on March 16, 2022 and incorporated here by</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500" w:type="dxa"/>
            <w:vAlign w:val="bottom"/>
            <w:gridSpan w:val="18"/>
            <w:shd w:val="clear" w:color="auto" w:fill="CCEEFF"/>
          </w:tcPr>
          <w:p>
            <w:pPr>
              <w:spacing w:after="0" w:line="19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0"/>
              </w:rPr>
              <w:t>10.24†</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w w:val="92"/>
              </w:rPr>
              <w:t>Variation Deed of the Corporate Markets Loan &amp; Bank</w:t>
            </w:r>
          </w:p>
        </w:tc>
        <w:tc>
          <w:tcPr>
            <w:tcW w:w="4500" w:type="dxa"/>
            <w:vAlign w:val="bottom"/>
            <w:gridSpan w:val="18"/>
          </w:tcPr>
          <w:p>
            <w:pPr>
              <w:spacing w:after="0" w:line="17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199">
              <w:r>
                <w:rPr>
                  <w:rFonts w:ascii="Arial" w:cs="Arial" w:eastAsia="Arial" w:hAnsi="Arial"/>
                  <w:sz w:val="18"/>
                  <w:szCs w:val="18"/>
                  <w:b w:val="1"/>
                  <w:bCs w:val="1"/>
                  <w:color w:val="0000FF"/>
                  <w:w w:val="93"/>
                </w:rPr>
                <w:t>Exhibit 10.1 to the Company’s report on Form 8-</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w w:val="97"/>
              </w:rPr>
              <w:t>Guarantee Facility Agreement, dated December 16,</w:t>
            </w:r>
          </w:p>
        </w:tc>
        <w:tc>
          <w:tcPr>
            <w:tcW w:w="620" w:type="dxa"/>
            <w:vAlign w:val="bottom"/>
            <w:gridSpan w:val="2"/>
          </w:tcPr>
          <w:p>
            <w:pPr>
              <w:ind w:left="60"/>
              <w:spacing w:after="0" w:line="175" w:lineRule="exact"/>
              <w:rPr>
                <w:rFonts w:ascii="Arial" w:cs="Arial" w:eastAsia="Arial" w:hAnsi="Arial"/>
                <w:sz w:val="18"/>
                <w:szCs w:val="18"/>
                <w:b w:val="1"/>
                <w:bCs w:val="1"/>
                <w:color w:val="0000FF"/>
              </w:rPr>
            </w:pPr>
            <w:hyperlink r:id="rId199">
              <w:r>
                <w:rPr>
                  <w:rFonts w:ascii="Arial" w:cs="Arial" w:eastAsia="Arial" w:hAnsi="Arial"/>
                  <w:sz w:val="18"/>
                  <w:szCs w:val="18"/>
                  <w:b w:val="1"/>
                  <w:bCs w:val="1"/>
                  <w:color w:val="0000FF"/>
                </w:rPr>
                <w:t>K (file</w:t>
              </w:r>
            </w:hyperlink>
          </w:p>
        </w:tc>
        <w:tc>
          <w:tcPr>
            <w:tcW w:w="3800" w:type="dxa"/>
            <w:vAlign w:val="bottom"/>
            <w:tcBorders>
              <w:top w:val="single" w:sz="8" w:color="0000FF"/>
            </w:tcBorders>
            <w:gridSpan w:val="15"/>
          </w:tcPr>
          <w:p>
            <w:pPr>
              <w:spacing w:after="0" w:line="175" w:lineRule="exact"/>
              <w:rPr>
                <w:rFonts w:ascii="Arial" w:cs="Arial" w:eastAsia="Arial" w:hAnsi="Arial"/>
                <w:sz w:val="18"/>
                <w:szCs w:val="18"/>
                <w:b w:val="1"/>
                <w:bCs w:val="1"/>
                <w:color w:val="0000FF"/>
              </w:rPr>
            </w:pPr>
            <w:hyperlink r:id="rId199">
              <w:r>
                <w:rPr>
                  <w:rFonts w:ascii="Arial" w:cs="Arial" w:eastAsia="Arial" w:hAnsi="Arial"/>
                  <w:sz w:val="18"/>
                  <w:szCs w:val="18"/>
                  <w:b w:val="1"/>
                  <w:bCs w:val="1"/>
                  <w:color w:val="0000FF"/>
                </w:rPr>
                <w:t xml:space="preserve">no. 1-8625), </w:t>
              </w:r>
            </w:hyperlink>
            <w:r>
              <w:rPr>
                <w:rFonts w:ascii="Arial" w:cs="Arial" w:eastAsia="Arial" w:hAnsi="Arial"/>
                <w:sz w:val="18"/>
                <w:szCs w:val="18"/>
                <w:color w:val="000000"/>
              </w:rPr>
              <w:t>filed</w:t>
            </w:r>
            <w:r>
              <w:rPr>
                <w:rFonts w:ascii="Arial" w:cs="Arial" w:eastAsia="Arial" w:hAnsi="Arial"/>
                <w:sz w:val="18"/>
                <w:szCs w:val="18"/>
                <w:b w:val="1"/>
                <w:bCs w:val="1"/>
                <w:color w:val="0000FF"/>
              </w:rPr>
              <w:t xml:space="preserve"> </w:t>
            </w:r>
            <w:r>
              <w:rPr>
                <w:rFonts w:ascii="Arial" w:cs="Arial" w:eastAsia="Arial" w:hAnsi="Arial"/>
                <w:sz w:val="18"/>
                <w:szCs w:val="18"/>
                <w:color w:val="000000"/>
              </w:rPr>
              <w:t>on December 22, 2022, and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89" w:lineRule="exact"/>
              <w:rPr>
                <w:sz w:val="20"/>
                <w:szCs w:val="20"/>
                <w:color w:val="auto"/>
              </w:rPr>
            </w:pPr>
            <w:r>
              <w:rPr>
                <w:rFonts w:ascii="Arial" w:cs="Arial" w:eastAsia="Arial" w:hAnsi="Arial"/>
                <w:sz w:val="18"/>
                <w:szCs w:val="18"/>
                <w:color w:val="auto"/>
                <w:w w:val="90"/>
              </w:rPr>
              <w:t>2022, by and between Reading Entertainment Australia</w:t>
            </w:r>
          </w:p>
        </w:tc>
        <w:tc>
          <w:tcPr>
            <w:tcW w:w="148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auto"/>
                <w:w w:val="94"/>
              </w:rPr>
              <w:t>incorporated herein</w:t>
            </w:r>
          </w:p>
        </w:tc>
        <w:tc>
          <w:tcPr>
            <w:tcW w:w="3020" w:type="dxa"/>
            <w:vAlign w:val="bottom"/>
            <w:gridSpan w:val="15"/>
          </w:tcPr>
          <w:p>
            <w:pPr>
              <w:spacing w:after="0" w:line="189" w:lineRule="exact"/>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4"/>
          </w:tcPr>
          <w:p>
            <w:pPr>
              <w:spacing w:after="0" w:line="197" w:lineRule="exact"/>
              <w:rPr>
                <w:sz w:val="20"/>
                <w:szCs w:val="20"/>
                <w:color w:val="auto"/>
              </w:rPr>
            </w:pPr>
            <w:r>
              <w:rPr>
                <w:rFonts w:ascii="Arial" w:cs="Arial" w:eastAsia="Arial" w:hAnsi="Arial"/>
                <w:sz w:val="18"/>
                <w:szCs w:val="18"/>
                <w:color w:val="auto"/>
              </w:rPr>
              <w:t>Pty Ltd and National Australia Bank Limited.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gridSpan w:val="3"/>
            <w:shd w:val="clear" w:color="auto" w:fill="CCEEFF"/>
          </w:tcPr>
          <w:p>
            <w:pPr>
              <w:jc w:val="center"/>
              <w:ind w:right="20"/>
              <w:spacing w:after="0" w:line="177" w:lineRule="exact"/>
              <w:rPr>
                <w:sz w:val="20"/>
                <w:szCs w:val="20"/>
                <w:color w:val="auto"/>
              </w:rPr>
            </w:pPr>
            <w:r>
              <w:rPr>
                <w:rFonts w:ascii="Arial" w:cs="Arial" w:eastAsia="Arial" w:hAnsi="Arial"/>
                <w:sz w:val="18"/>
                <w:szCs w:val="18"/>
                <w:color w:val="auto"/>
                <w:w w:val="93"/>
              </w:rPr>
              <w:t>10.25</w:t>
            </w:r>
          </w:p>
        </w:tc>
        <w:tc>
          <w:tcPr>
            <w:tcW w:w="4020" w:type="dxa"/>
            <w:vAlign w:val="bottom"/>
            <w:gridSpan w:val="4"/>
            <w:shd w:val="clear" w:color="auto" w:fill="CCEEFF"/>
          </w:tcPr>
          <w:p>
            <w:pPr>
              <w:spacing w:after="0" w:line="177" w:lineRule="exact"/>
              <w:rPr>
                <w:sz w:val="20"/>
                <w:szCs w:val="20"/>
                <w:color w:val="auto"/>
              </w:rPr>
            </w:pPr>
            <w:r>
              <w:rPr>
                <w:rFonts w:ascii="Arial" w:cs="Arial" w:eastAsia="Arial" w:hAnsi="Arial"/>
                <w:sz w:val="18"/>
                <w:szCs w:val="18"/>
                <w:color w:val="auto"/>
              </w:rPr>
              <w:t>Amendment Deed dated May 12, 2023, by and</w:t>
            </w:r>
          </w:p>
        </w:tc>
        <w:tc>
          <w:tcPr>
            <w:tcW w:w="4500" w:type="dxa"/>
            <w:vAlign w:val="bottom"/>
            <w:gridSpan w:val="18"/>
            <w:shd w:val="clear" w:color="auto" w:fill="CCEEFF"/>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0">
              <w:r>
                <w:rPr>
                  <w:rFonts w:ascii="Arial" w:cs="Arial" w:eastAsia="Arial" w:hAnsi="Arial"/>
                  <w:sz w:val="18"/>
                  <w:szCs w:val="18"/>
                  <w:b w:val="1"/>
                  <w:bCs w:val="1"/>
                  <w:color w:val="0000FF"/>
                  <w:w w:val="94"/>
                </w:rPr>
                <w:t>Exhibit 10.1 to the Company’s Quarterly Report</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w w:val="93"/>
              </w:rPr>
              <w:t>between Reading Entertainment Australia Pty Ltd and</w:t>
            </w:r>
          </w:p>
        </w:tc>
        <w:tc>
          <w:tcPr>
            <w:tcW w:w="620" w:type="dxa"/>
            <w:vAlign w:val="bottom"/>
            <w:tcBorders>
              <w:top w:val="single" w:sz="8" w:color="CCEEFF"/>
              <w:right w:val="single" w:sz="8" w:color="CCEEFF"/>
            </w:tcBorders>
            <w:gridSpan w:val="2"/>
            <w:shd w:val="clear" w:color="auto" w:fill="CCEEFF"/>
          </w:tcPr>
          <w:p>
            <w:pPr>
              <w:spacing w:after="0" w:line="175" w:lineRule="exact"/>
              <w:rPr>
                <w:rFonts w:ascii="Arial" w:cs="Arial" w:eastAsia="Arial" w:hAnsi="Arial"/>
                <w:sz w:val="18"/>
                <w:szCs w:val="18"/>
                <w:b w:val="1"/>
                <w:bCs w:val="1"/>
                <w:color w:val="0000FF"/>
                <w:w w:val="80"/>
              </w:rPr>
            </w:pPr>
            <w:hyperlink r:id="rId200">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15"/>
            <w:shd w:val="clear" w:color="auto" w:fill="CCEEFF"/>
          </w:tcPr>
          <w:p>
            <w:pPr>
              <w:ind w:left="100"/>
              <w:spacing w:after="0" w:line="175" w:lineRule="exact"/>
              <w:rPr>
                <w:rFonts w:ascii="Arial" w:cs="Arial" w:eastAsia="Arial" w:hAnsi="Arial"/>
                <w:sz w:val="18"/>
                <w:szCs w:val="18"/>
                <w:b w:val="1"/>
                <w:bCs w:val="1"/>
                <w:color w:val="0000FF"/>
                <w:w w:val="94"/>
              </w:rPr>
            </w:pPr>
            <w:hyperlink r:id="rId200">
              <w:r>
                <w:rPr>
                  <w:rFonts w:ascii="Arial" w:cs="Arial" w:eastAsia="Arial" w:hAnsi="Arial"/>
                  <w:sz w:val="18"/>
                  <w:szCs w:val="18"/>
                  <w:b w:val="1"/>
                  <w:bCs w:val="1"/>
                  <w:color w:val="0000FF"/>
                  <w:w w:val="94"/>
                </w:rPr>
                <w:t>10-Q for the quarter ended June 30, 2023</w:t>
              </w:r>
            </w:hyperlink>
            <w:r>
              <w:rPr>
                <w:rFonts w:ascii="Arial" w:cs="Arial" w:eastAsia="Arial" w:hAnsi="Arial"/>
                <w:sz w:val="18"/>
                <w:szCs w:val="18"/>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4"/>
            <w:shd w:val="clear" w:color="auto" w:fill="CCEEFF"/>
          </w:tcPr>
          <w:p>
            <w:pPr>
              <w:spacing w:after="0" w:line="191" w:lineRule="exact"/>
              <w:rPr>
                <w:sz w:val="20"/>
                <w:szCs w:val="20"/>
                <w:color w:val="auto"/>
              </w:rPr>
            </w:pPr>
            <w:r>
              <w:rPr>
                <w:rFonts w:ascii="Arial" w:cs="Arial" w:eastAsia="Arial" w:hAnsi="Arial"/>
                <w:sz w:val="18"/>
                <w:szCs w:val="18"/>
                <w:color w:val="auto"/>
              </w:rPr>
              <w:t>National Australia Bank Limited.</w:t>
            </w:r>
          </w:p>
        </w:tc>
        <w:tc>
          <w:tcPr>
            <w:tcW w:w="3880" w:type="dxa"/>
            <w:vAlign w:val="bottom"/>
            <w:tcBorders>
              <w:top w:val="single" w:sz="8" w:color="0000FF"/>
            </w:tcBorders>
            <w:gridSpan w:val="10"/>
            <w:shd w:val="clear" w:color="auto" w:fill="CCEEFF"/>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10.26</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rPr>
              <w:t>Amendment Deed dated August 12, 2023, by and</w:t>
            </w:r>
          </w:p>
        </w:tc>
        <w:tc>
          <w:tcPr>
            <w:tcW w:w="4500" w:type="dxa"/>
            <w:vAlign w:val="bottom"/>
            <w:gridSpan w:val="18"/>
          </w:tcPr>
          <w:p>
            <w:pPr>
              <w:spacing w:after="0" w:line="177"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as </w:t>
            </w:r>
            <w:hyperlink r:id="rId201">
              <w:r>
                <w:rPr>
                  <w:rFonts w:ascii="Arial" w:cs="Arial" w:eastAsia="Arial" w:hAnsi="Arial"/>
                  <w:sz w:val="18"/>
                  <w:szCs w:val="18"/>
                  <w:color w:val="0000FF"/>
                  <w:w w:val="95"/>
                </w:rPr>
                <w:t>Exhibit 10.1 to the Company’s Quarterly Report on</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4"/>
          </w:tcPr>
          <w:p>
            <w:pPr>
              <w:spacing w:after="0" w:line="175" w:lineRule="exact"/>
              <w:rPr>
                <w:sz w:val="20"/>
                <w:szCs w:val="20"/>
                <w:color w:val="auto"/>
              </w:rPr>
            </w:pPr>
            <w:r>
              <w:rPr>
                <w:rFonts w:ascii="Arial" w:cs="Arial" w:eastAsia="Arial" w:hAnsi="Arial"/>
                <w:sz w:val="18"/>
                <w:szCs w:val="18"/>
                <w:color w:val="auto"/>
                <w:w w:val="93"/>
              </w:rPr>
              <w:t>between Reading Entertainment Australia Pty Ltd and</w:t>
            </w:r>
          </w:p>
        </w:tc>
        <w:tc>
          <w:tcPr>
            <w:tcW w:w="4500" w:type="dxa"/>
            <w:vAlign w:val="bottom"/>
            <w:gridSpan w:val="18"/>
          </w:tcPr>
          <w:p>
            <w:pPr>
              <w:spacing w:after="0" w:line="175"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Form 10-Q for the quarter ended September 30, 2023</w:t>
              </w:r>
            </w:hyperlink>
            <w:r>
              <w:rPr>
                <w:rFonts w:ascii="Arial" w:cs="Arial" w:eastAsia="Arial" w:hAnsi="Arial"/>
                <w:sz w:val="18"/>
                <w:szCs w:val="18"/>
                <w:color w:val="000000"/>
                <w:w w:val="95"/>
              </w:rPr>
              <w:t>,</w:t>
            </w:r>
            <w:r>
              <w:rPr>
                <w:rFonts w:ascii="Arial" w:cs="Arial" w:eastAsia="Arial" w:hAnsi="Arial"/>
                <w:sz w:val="18"/>
                <w:szCs w:val="18"/>
                <w:color w:val="0000FF"/>
                <w:w w:val="95"/>
              </w:rPr>
              <w:t xml:space="preserve"> </w:t>
            </w:r>
            <w:r>
              <w:rPr>
                <w:rFonts w:ascii="Arial" w:cs="Arial" w:eastAsia="Arial" w:hAnsi="Arial"/>
                <w:sz w:val="18"/>
                <w:szCs w:val="18"/>
                <w:color w:val="000000"/>
                <w:w w:val="95"/>
              </w:rPr>
              <w:t>and</w:t>
            </w:r>
          </w:p>
        </w:tc>
        <w:tc>
          <w:tcPr>
            <w:tcW w:w="0" w:type="dxa"/>
            <w:vAlign w:val="bottom"/>
          </w:tcPr>
          <w:p>
            <w:pPr>
              <w:spacing w:after="0"/>
              <w:rPr>
                <w:sz w:val="1"/>
                <w:szCs w:val="1"/>
                <w:color w:val="auto"/>
              </w:rPr>
            </w:pPr>
          </w:p>
        </w:tc>
      </w:tr>
      <w:tr>
        <w:trPr>
          <w:trHeight w:val="191"/>
        </w:trPr>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gridSpan w:val="4"/>
          </w:tcPr>
          <w:p>
            <w:pPr>
              <w:spacing w:after="0" w:line="191" w:lineRule="exact"/>
              <w:rPr>
                <w:sz w:val="20"/>
                <w:szCs w:val="20"/>
                <w:color w:val="auto"/>
              </w:rPr>
            </w:pPr>
            <w:r>
              <w:rPr>
                <w:rFonts w:ascii="Arial" w:cs="Arial" w:eastAsia="Arial" w:hAnsi="Arial"/>
                <w:sz w:val="18"/>
                <w:szCs w:val="18"/>
                <w:color w:val="auto"/>
              </w:rPr>
              <w:t>National Australia Bank Limited.</w:t>
            </w:r>
          </w:p>
        </w:tc>
        <w:tc>
          <w:tcPr>
            <w:tcW w:w="3840" w:type="dxa"/>
            <w:vAlign w:val="bottom"/>
            <w:tcBorders>
              <w:top w:val="single" w:sz="8" w:color="0000FF"/>
              <w:bottom w:val="single" w:sz="8" w:color="CCEEFF"/>
            </w:tcBorders>
            <w:gridSpan w:val="9"/>
          </w:tcPr>
          <w:p>
            <w:pPr>
              <w:spacing w:after="0" w:line="191" w:lineRule="exact"/>
              <w:rPr>
                <w:sz w:val="20"/>
                <w:szCs w:val="20"/>
                <w:color w:val="auto"/>
              </w:rPr>
            </w:pPr>
            <w:r>
              <w:rPr>
                <w:rFonts w:ascii="Arial" w:cs="Arial" w:eastAsia="Arial" w:hAnsi="Arial"/>
                <w:sz w:val="18"/>
                <w:szCs w:val="18"/>
                <w:color w:val="auto"/>
              </w:rPr>
              <w:t>incorporated herein by reference.</w:t>
            </w:r>
          </w:p>
        </w:tc>
        <w:tc>
          <w:tcPr>
            <w:tcW w:w="660" w:type="dxa"/>
            <w:vAlign w:val="bottom"/>
            <w:tcBorders>
              <w:bottom w:val="single" w:sz="8" w:color="CCEEFF"/>
            </w:tcBorders>
            <w:gridSpan w:val="9"/>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0" w:type="dxa"/>
            <w:vAlign w:val="bottom"/>
            <w:shd w:val="clear" w:color="auto" w:fill="CCEEFF"/>
          </w:tcPr>
          <w:p>
            <w:pPr>
              <w:spacing w:after="0"/>
              <w:rPr>
                <w:sz w:val="14"/>
                <w:szCs w:val="14"/>
                <w:color w:val="auto"/>
              </w:rPr>
            </w:pPr>
          </w:p>
        </w:tc>
        <w:tc>
          <w:tcPr>
            <w:tcW w:w="420" w:type="dxa"/>
            <w:vAlign w:val="bottom"/>
          </w:tcPr>
          <w:p>
            <w:pPr>
              <w:jc w:val="center"/>
              <w:spacing w:after="0" w:line="167" w:lineRule="exact"/>
              <w:rPr>
                <w:sz w:val="20"/>
                <w:szCs w:val="20"/>
                <w:color w:val="auto"/>
              </w:rPr>
            </w:pPr>
            <w:r>
              <w:rPr>
                <w:rFonts w:ascii="Arial" w:cs="Arial" w:eastAsia="Arial" w:hAnsi="Arial"/>
                <w:sz w:val="18"/>
                <w:szCs w:val="18"/>
                <w:color w:val="212529"/>
                <w:highlight w:val="white"/>
                <w:w w:val="93"/>
              </w:rPr>
              <w:t>10.27</w:t>
            </w:r>
          </w:p>
        </w:tc>
        <w:tc>
          <w:tcPr>
            <w:tcW w:w="240" w:type="dxa"/>
            <w:vAlign w:val="bottom"/>
            <w:shd w:val="clear" w:color="auto" w:fill="CCEEFF"/>
          </w:tcPr>
          <w:p>
            <w:pPr>
              <w:spacing w:after="0"/>
              <w:rPr>
                <w:sz w:val="14"/>
                <w:szCs w:val="14"/>
                <w:color w:val="auto"/>
              </w:rPr>
            </w:pPr>
          </w:p>
        </w:tc>
        <w:tc>
          <w:tcPr>
            <w:tcW w:w="4020" w:type="dxa"/>
            <w:vAlign w:val="bottom"/>
            <w:gridSpan w:val="4"/>
            <w:shd w:val="clear" w:color="auto" w:fill="CCEEFF"/>
          </w:tcPr>
          <w:p>
            <w:pPr>
              <w:spacing w:after="0" w:line="167" w:lineRule="exact"/>
              <w:rPr>
                <w:sz w:val="20"/>
                <w:szCs w:val="20"/>
                <w:color w:val="auto"/>
              </w:rPr>
            </w:pPr>
            <w:r>
              <w:rPr>
                <w:rFonts w:ascii="Arial" w:cs="Arial" w:eastAsia="Arial" w:hAnsi="Arial"/>
                <w:sz w:val="19"/>
                <w:szCs w:val="19"/>
                <w:color w:val="auto"/>
              </w:rPr>
              <w:t>Deed of Subordination dated October 26, 2023,</w:t>
            </w:r>
          </w:p>
        </w:tc>
        <w:tc>
          <w:tcPr>
            <w:tcW w:w="4500" w:type="dxa"/>
            <w:vAlign w:val="bottom"/>
            <w:gridSpan w:val="18"/>
            <w:shd w:val="clear" w:color="auto" w:fill="CCEEFF"/>
          </w:tcPr>
          <w:p>
            <w:pPr>
              <w:spacing w:after="0" w:line="167" w:lineRule="exact"/>
              <w:rPr>
                <w:rFonts w:ascii="Arial" w:cs="Arial" w:eastAsia="Arial" w:hAnsi="Arial"/>
                <w:sz w:val="18"/>
                <w:szCs w:val="18"/>
                <w:color w:val="auto"/>
                <w:w w:val="96"/>
              </w:rPr>
            </w:pPr>
            <w:r>
              <w:rPr>
                <w:rFonts w:ascii="Arial" w:cs="Arial" w:eastAsia="Arial" w:hAnsi="Arial"/>
                <w:sz w:val="18"/>
                <w:szCs w:val="18"/>
                <w:color w:val="auto"/>
                <w:w w:val="96"/>
              </w:rPr>
              <w:t>Filed as</w:t>
            </w:r>
            <w:hyperlink r:id="rId202">
              <w:r>
                <w:rPr>
                  <w:rFonts w:ascii="Arial" w:cs="Arial" w:eastAsia="Arial" w:hAnsi="Arial"/>
                  <w:sz w:val="18"/>
                  <w:szCs w:val="18"/>
                  <w:b w:val="1"/>
                  <w:bCs w:val="1"/>
                  <w:color w:val="0000FF"/>
                  <w:w w:val="96"/>
                </w:rPr>
                <w:t>Exhibit 10.28 to the Company’s report on Form</w:t>
              </w:r>
            </w:hyperlink>
          </w:p>
        </w:tc>
        <w:tc>
          <w:tcPr>
            <w:tcW w:w="0" w:type="dxa"/>
            <w:vAlign w:val="bottom"/>
          </w:tcPr>
          <w:p>
            <w:pPr>
              <w:spacing w:after="0"/>
              <w:rPr>
                <w:sz w:val="1"/>
                <w:szCs w:val="1"/>
                <w:color w:val="auto"/>
              </w:rPr>
            </w:pPr>
          </w:p>
        </w:tc>
      </w:tr>
      <w:tr>
        <w:trPr>
          <w:trHeight w:val="25"/>
        </w:trPr>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20" w:type="dxa"/>
            <w:vAlign w:val="bottom"/>
            <w:gridSpan w:val="4"/>
            <w:vMerge w:val="restart"/>
            <w:shd w:val="clear" w:color="auto" w:fill="CCEEFF"/>
          </w:tcPr>
          <w:p>
            <w:pPr>
              <w:spacing w:after="0"/>
              <w:rPr>
                <w:sz w:val="20"/>
                <w:szCs w:val="20"/>
                <w:color w:val="auto"/>
              </w:rPr>
            </w:pPr>
            <w:r>
              <w:rPr>
                <w:rFonts w:ascii="Arial" w:cs="Arial" w:eastAsia="Arial" w:hAnsi="Arial"/>
                <w:sz w:val="20"/>
                <w:szCs w:val="20"/>
                <w:color w:val="auto"/>
                <w:w w:val="92"/>
              </w:rPr>
              <w:t>by and between Reading Entertainment Australia</w:t>
            </w:r>
          </w:p>
        </w:tc>
        <w:tc>
          <w:tcPr>
            <w:tcW w:w="620" w:type="dxa"/>
            <w:vAlign w:val="bottom"/>
            <w:tcBorders>
              <w:right w:val="single" w:sz="8" w:color="0000FF"/>
            </w:tcBorders>
            <w:gridSpan w:val="2"/>
            <w:shd w:val="clear" w:color="auto" w:fill="CCEEFF"/>
          </w:tcPr>
          <w:p>
            <w:pPr>
              <w:spacing w:after="0"/>
              <w:rPr>
                <w:sz w:val="2"/>
                <w:szCs w:val="2"/>
                <w:color w:val="auto"/>
              </w:rPr>
            </w:pPr>
          </w:p>
        </w:tc>
        <w:tc>
          <w:tcPr>
            <w:tcW w:w="2340" w:type="dxa"/>
            <w:vAlign w:val="bottom"/>
            <w:gridSpan w:val="2"/>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80" w:type="dxa"/>
            <w:vAlign w:val="bottom"/>
            <w:gridSpan w:val="4"/>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180" w:type="dxa"/>
            <w:vAlign w:val="bottom"/>
            <w:gridSpan w:val="6"/>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20" w:type="dxa"/>
            <w:vAlign w:val="bottom"/>
            <w:gridSpan w:val="4"/>
            <w:vMerge w:val="continue"/>
            <w:shd w:val="clear" w:color="auto" w:fill="CCEEFF"/>
          </w:tcPr>
          <w:p>
            <w:pPr>
              <w:spacing w:after="0"/>
              <w:rPr>
                <w:sz w:val="17"/>
                <w:szCs w:val="17"/>
                <w:color w:val="auto"/>
              </w:rPr>
            </w:pPr>
          </w:p>
        </w:tc>
        <w:tc>
          <w:tcPr>
            <w:tcW w:w="4500" w:type="dxa"/>
            <w:vAlign w:val="bottom"/>
            <w:gridSpan w:val="18"/>
            <w:shd w:val="clear" w:color="auto" w:fill="CCEEFF"/>
          </w:tcPr>
          <w:p>
            <w:pPr>
              <w:spacing w:after="0" w:line="205" w:lineRule="exact"/>
              <w:rPr>
                <w:rFonts w:ascii="Arial" w:cs="Arial" w:eastAsia="Arial" w:hAnsi="Arial"/>
                <w:sz w:val="18"/>
                <w:szCs w:val="18"/>
                <w:b w:val="1"/>
                <w:bCs w:val="1"/>
                <w:color w:val="0000FF"/>
              </w:rPr>
            </w:pPr>
            <w:hyperlink r:id="rId202">
              <w:r>
                <w:rPr>
                  <w:rFonts w:ascii="Arial" w:cs="Arial" w:eastAsia="Arial" w:hAnsi="Arial"/>
                  <w:sz w:val="18"/>
                  <w:szCs w:val="18"/>
                  <w:b w:val="1"/>
                  <w:bCs w:val="1"/>
                  <w:color w:val="0000FF"/>
                </w:rPr>
                <w:t>10-K for the year ended December 31, 20</w:t>
              </w:r>
              <w:r>
                <w:rPr>
                  <w:rFonts w:ascii="Arial" w:cs="Arial" w:eastAsia="Arial" w:hAnsi="Arial"/>
                  <w:sz w:val="19"/>
                  <w:szCs w:val="19"/>
                  <w:color w:val="0000FF"/>
                </w:rPr>
                <w:t>23</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0" w:type="dxa"/>
            <w:vAlign w:val="bottom"/>
          </w:tcPr>
          <w:p>
            <w:pPr>
              <w:spacing w:after="0"/>
              <w:rPr>
                <w:sz w:val="1"/>
                <w:szCs w:val="1"/>
                <w:color w:val="auto"/>
              </w:rPr>
            </w:pPr>
          </w:p>
        </w:tc>
      </w:tr>
      <w:tr>
        <w:trPr>
          <w:trHeight w:val="230"/>
        </w:trPr>
        <w:tc>
          <w:tcPr>
            <w:tcW w:w="2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20" w:type="dxa"/>
            <w:vAlign w:val="bottom"/>
            <w:tcBorders>
              <w:top w:val="single" w:sz="8" w:color="CCEEFF"/>
            </w:tcBorders>
            <w:gridSpan w:val="4"/>
            <w:shd w:val="clear" w:color="auto" w:fill="CCEEFF"/>
          </w:tcPr>
          <w:p>
            <w:pPr>
              <w:spacing w:after="0" w:line="211" w:lineRule="exact"/>
              <w:rPr>
                <w:sz w:val="20"/>
                <w:szCs w:val="20"/>
                <w:color w:val="auto"/>
              </w:rPr>
            </w:pPr>
            <w:r>
              <w:rPr>
                <w:rFonts w:ascii="Arial" w:cs="Arial" w:eastAsia="Arial" w:hAnsi="Arial"/>
                <w:sz w:val="20"/>
                <w:szCs w:val="20"/>
                <w:color w:val="auto"/>
              </w:rPr>
              <w:t>Pty Ltd and National Australia Bank Limited.</w:t>
            </w:r>
          </w:p>
        </w:tc>
        <w:tc>
          <w:tcPr>
            <w:tcW w:w="3340" w:type="dxa"/>
            <w:vAlign w:val="bottom"/>
            <w:tcBorders>
              <w:top w:val="single" w:sz="8" w:color="0000FF"/>
            </w:tcBorders>
            <w:gridSpan w:val="7"/>
            <w:shd w:val="clear" w:color="auto" w:fill="CCEEFF"/>
          </w:tcPr>
          <w:p>
            <w:pPr>
              <w:spacing w:after="0"/>
              <w:rPr>
                <w:sz w:val="20"/>
                <w:szCs w:val="20"/>
                <w:color w:val="auto"/>
              </w:rPr>
            </w:pPr>
            <w:r>
              <w:rPr>
                <w:rFonts w:ascii="Arial" w:cs="Arial" w:eastAsia="Arial" w:hAnsi="Arial"/>
                <w:sz w:val="18"/>
                <w:szCs w:val="18"/>
                <w:color w:val="auto"/>
              </w:rPr>
              <w:t>incorporated herein by reference.</w:t>
            </w:r>
          </w:p>
        </w:tc>
        <w:tc>
          <w:tcPr>
            <w:tcW w:w="1160" w:type="dxa"/>
            <w:vAlign w:val="bottom"/>
            <w:tcBorders>
              <w:top w:val="single" w:sz="8" w:color="CCEEFF"/>
            </w:tcBorders>
            <w:gridSpan w:val="11"/>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8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0"/>
              </w:rPr>
              <w:t>10.28†</w:t>
            </w:r>
          </w:p>
        </w:tc>
        <w:tc>
          <w:tcPr>
            <w:tcW w:w="4020" w:type="dxa"/>
            <w:vAlign w:val="bottom"/>
            <w:gridSpan w:val="4"/>
          </w:tcPr>
          <w:p>
            <w:pPr>
              <w:spacing w:after="0" w:line="195" w:lineRule="exact"/>
              <w:rPr>
                <w:sz w:val="20"/>
                <w:szCs w:val="20"/>
                <w:color w:val="auto"/>
              </w:rPr>
            </w:pPr>
            <w:r>
              <w:rPr>
                <w:rFonts w:ascii="Arial" w:cs="Arial" w:eastAsia="Arial" w:hAnsi="Arial"/>
                <w:sz w:val="20"/>
                <w:szCs w:val="20"/>
                <w:color w:val="auto"/>
                <w:w w:val="98"/>
              </w:rPr>
              <w:t>Amendment Deed dated April 4, 2024, by and</w:t>
            </w:r>
          </w:p>
        </w:tc>
        <w:tc>
          <w:tcPr>
            <w:tcW w:w="4500" w:type="dxa"/>
            <w:vAlign w:val="bottom"/>
            <w:gridSpan w:val="18"/>
          </w:tcPr>
          <w:p>
            <w:pPr>
              <w:spacing w:after="0" w:line="195"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3">
              <w:r>
                <w:rPr>
                  <w:rFonts w:ascii="Arial" w:cs="Arial" w:eastAsia="Arial" w:hAnsi="Arial"/>
                  <w:sz w:val="18"/>
                  <w:szCs w:val="18"/>
                  <w:b w:val="1"/>
                  <w:bCs w:val="1"/>
                  <w:color w:val="0000FF"/>
                  <w:w w:val="94"/>
                </w:rPr>
                <w:t>Exhibit 10.1 to the Company’s Quarterly Report</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2"/>
          </w:tcPr>
          <w:p>
            <w:pPr>
              <w:spacing w:after="0" w:line="203" w:lineRule="exact"/>
              <w:rPr>
                <w:rFonts w:ascii="Arial" w:cs="Arial" w:eastAsia="Arial" w:hAnsi="Arial"/>
                <w:sz w:val="20"/>
                <w:szCs w:val="20"/>
                <w:color w:val="auto"/>
                <w:w w:val="93"/>
              </w:rPr>
            </w:pPr>
            <w:r>
              <w:rPr>
                <w:rFonts w:ascii="Arial" w:cs="Arial" w:eastAsia="Arial" w:hAnsi="Arial"/>
                <w:sz w:val="20"/>
                <w:szCs w:val="20"/>
                <w:color w:val="auto"/>
                <w:w w:val="93"/>
              </w:rPr>
              <w:t xml:space="preserve">between Reading Entertainment Australia Pty Ltd </w:t>
            </w:r>
            <w:hyperlink r:id="rId203">
              <w:r>
                <w:rPr>
                  <w:rFonts w:ascii="Arial" w:cs="Arial" w:eastAsia="Arial" w:hAnsi="Arial"/>
                  <w:sz w:val="18"/>
                  <w:szCs w:val="18"/>
                  <w:b w:val="1"/>
                  <w:bCs w:val="1"/>
                  <w:color w:val="0000FF"/>
                  <w:w w:val="93"/>
                </w:rPr>
                <w:t>on Form 10-Q for the quarter ended June 30, 2024</w:t>
              </w:r>
            </w:hyperlink>
            <w:r>
              <w:rPr>
                <w:rFonts w:ascii="Arial" w:cs="Arial" w:eastAsia="Arial" w:hAnsi="Arial"/>
                <w:sz w:val="20"/>
                <w:szCs w:val="20"/>
                <w:b w:val="1"/>
                <w:bCs w:val="1"/>
                <w:u w:val="single" w:color="auto"/>
                <w:color w:val="0000FF"/>
                <w:w w:val="93"/>
              </w:rPr>
              <w:t>,</w:t>
            </w:r>
            <w:r>
              <w:rPr>
                <w:rFonts w:ascii="Arial" w:cs="Arial" w:eastAsia="Arial" w:hAnsi="Arial"/>
                <w:sz w:val="20"/>
                <w:szCs w:val="20"/>
                <w:color w:val="auto"/>
                <w:w w:val="93"/>
              </w:rPr>
              <w:t xml:space="preserve"> </w:t>
            </w:r>
            <w:r>
              <w:rPr>
                <w:rFonts w:ascii="Arial" w:cs="Arial" w:eastAsia="Arial" w:hAnsi="Arial"/>
                <w:sz w:val="18"/>
                <w:szCs w:val="18"/>
                <w:color w:val="auto"/>
                <w:w w:val="93"/>
              </w:rPr>
              <w:t>and</w:t>
            </w: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4"/>
          </w:tcPr>
          <w:p>
            <w:pPr>
              <w:spacing w:after="0" w:line="211" w:lineRule="exact"/>
              <w:rPr>
                <w:sz w:val="20"/>
                <w:szCs w:val="20"/>
                <w:color w:val="auto"/>
              </w:rPr>
            </w:pPr>
            <w:r>
              <w:rPr>
                <w:rFonts w:ascii="Arial" w:cs="Arial" w:eastAsia="Arial" w:hAnsi="Arial"/>
                <w:sz w:val="20"/>
                <w:szCs w:val="20"/>
                <w:color w:val="auto"/>
              </w:rPr>
              <w:t>and National Australia Bank Limited.</w:t>
            </w:r>
          </w:p>
        </w:tc>
        <w:tc>
          <w:tcPr>
            <w:tcW w:w="38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9"/>
              </w:rPr>
              <w:t>incorporated herein by reference.in by reference.</w:t>
            </w:r>
          </w:p>
        </w:tc>
        <w:tc>
          <w:tcPr>
            <w:tcW w:w="6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80" w:type="dxa"/>
            <w:vAlign w:val="bottom"/>
            <w:gridSpan w:val="3"/>
            <w:shd w:val="clear" w:color="auto" w:fill="CCEEFF"/>
          </w:tcPr>
          <w:p>
            <w:pPr>
              <w:jc w:val="center"/>
              <w:ind w:right="20"/>
              <w:spacing w:after="0" w:line="196" w:lineRule="exact"/>
              <w:rPr>
                <w:sz w:val="20"/>
                <w:szCs w:val="20"/>
                <w:color w:val="auto"/>
              </w:rPr>
            </w:pPr>
            <w:r>
              <w:rPr>
                <w:rFonts w:ascii="Arial" w:cs="Arial" w:eastAsia="Arial" w:hAnsi="Arial"/>
                <w:sz w:val="18"/>
                <w:szCs w:val="18"/>
                <w:color w:val="auto"/>
                <w:w w:val="90"/>
              </w:rPr>
              <w:t>10.29†</w:t>
            </w:r>
          </w:p>
        </w:tc>
        <w:tc>
          <w:tcPr>
            <w:tcW w:w="40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97"/>
              </w:rPr>
              <w:t>Amendment Deed dated February 19, 2025, by and</w:t>
            </w:r>
          </w:p>
        </w:tc>
        <w:tc>
          <w:tcPr>
            <w:tcW w:w="4500" w:type="dxa"/>
            <w:vAlign w:val="bottom"/>
            <w:gridSpan w:val="18"/>
            <w:shd w:val="clear" w:color="auto" w:fill="CCEEFF"/>
          </w:tcPr>
          <w:p>
            <w:pPr>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4">
              <w:r>
                <w:rPr>
                  <w:rFonts w:ascii="Arial" w:cs="Arial" w:eastAsia="Arial" w:hAnsi="Arial"/>
                  <w:sz w:val="18"/>
                  <w:szCs w:val="18"/>
                  <w:b w:val="1"/>
                  <w:bCs w:val="1"/>
                  <w:color w:val="0000FF"/>
                  <w:w w:val="94"/>
                </w:rPr>
                <w:t>Exhibit 10.4 to the Company’s Quarterly Report</w:t>
              </w:r>
            </w:hyperlink>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20" w:type="dxa"/>
            <w:vAlign w:val="bottom"/>
            <w:gridSpan w:val="4"/>
            <w:vMerge w:val="restart"/>
            <w:shd w:val="clear" w:color="auto" w:fill="CCEEFF"/>
          </w:tcPr>
          <w:p>
            <w:pPr>
              <w:spacing w:after="0" w:line="199" w:lineRule="exact"/>
              <w:rPr>
                <w:sz w:val="20"/>
                <w:szCs w:val="20"/>
                <w:color w:val="auto"/>
              </w:rPr>
            </w:pPr>
            <w:r>
              <w:rPr>
                <w:rFonts w:ascii="Arial" w:cs="Arial" w:eastAsia="Arial" w:hAnsi="Arial"/>
                <w:sz w:val="18"/>
                <w:szCs w:val="18"/>
                <w:color w:val="auto"/>
                <w:w w:val="93"/>
              </w:rPr>
              <w:t>between Reading Entertainment Australia Pty Ltd and</w:t>
            </w:r>
          </w:p>
        </w:tc>
        <w:tc>
          <w:tcPr>
            <w:tcW w:w="620" w:type="dxa"/>
            <w:vAlign w:val="bottom"/>
            <w:tcBorders>
              <w:right w:val="single" w:sz="8" w:color="CCEEFF"/>
            </w:tcBorders>
            <w:gridSpan w:val="2"/>
            <w:shd w:val="clear" w:color="auto" w:fill="CCEE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20" w:type="dxa"/>
            <w:vAlign w:val="bottom"/>
            <w:gridSpan w:val="4"/>
            <w:vMerge w:val="continue"/>
            <w:shd w:val="clear" w:color="auto" w:fill="CCEEFF"/>
          </w:tcPr>
          <w:p>
            <w:pPr>
              <w:spacing w:after="0"/>
              <w:rPr>
                <w:sz w:val="17"/>
                <w:szCs w:val="17"/>
                <w:color w:val="auto"/>
              </w:rPr>
            </w:pPr>
          </w:p>
        </w:tc>
        <w:tc>
          <w:tcPr>
            <w:tcW w:w="4500" w:type="dxa"/>
            <w:vAlign w:val="bottom"/>
            <w:gridSpan w:val="18"/>
            <w:shd w:val="clear" w:color="auto" w:fill="CCEEFF"/>
          </w:tcPr>
          <w:p>
            <w:pPr>
              <w:spacing w:after="0" w:line="186" w:lineRule="exact"/>
              <w:rPr>
                <w:rFonts w:ascii="Arial" w:cs="Arial" w:eastAsia="Arial" w:hAnsi="Arial"/>
                <w:sz w:val="18"/>
                <w:szCs w:val="18"/>
                <w:b w:val="1"/>
                <w:bCs w:val="1"/>
                <w:color w:val="0000FF"/>
                <w:w w:val="94"/>
              </w:rPr>
            </w:pPr>
            <w:hyperlink r:id="rId204">
              <w:r>
                <w:rPr>
                  <w:rFonts w:ascii="Arial" w:cs="Arial" w:eastAsia="Arial" w:hAnsi="Arial"/>
                  <w:sz w:val="18"/>
                  <w:szCs w:val="18"/>
                  <w:b w:val="1"/>
                  <w:bCs w:val="1"/>
                  <w:color w:val="0000FF"/>
                  <w:w w:val="94"/>
                </w:rPr>
                <w:t>on Form 10-Q for the quarter ended March 31, 2025</w:t>
              </w:r>
            </w:hyperlink>
            <w:r>
              <w:rPr>
                <w:rFonts w:ascii="Arial" w:cs="Arial" w:eastAsia="Arial" w:hAnsi="Arial"/>
                <w:sz w:val="19"/>
                <w:szCs w:val="19"/>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0" w:type="dxa"/>
            <w:vAlign w:val="bottom"/>
          </w:tcPr>
          <w:p>
            <w:pPr>
              <w:spacing w:after="0"/>
              <w:rPr>
                <w:sz w:val="1"/>
                <w:szCs w:val="1"/>
                <w:color w:val="auto"/>
              </w:rPr>
            </w:pPr>
          </w:p>
        </w:tc>
      </w:tr>
      <w:tr>
        <w:trPr>
          <w:trHeight w:val="162"/>
        </w:trPr>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gridSpan w:val="4"/>
            <w:shd w:val="clear" w:color="auto" w:fill="CCEEFF"/>
          </w:tcPr>
          <w:p>
            <w:pPr>
              <w:spacing w:after="0" w:line="162" w:lineRule="exact"/>
              <w:rPr>
                <w:sz w:val="20"/>
                <w:szCs w:val="20"/>
                <w:color w:val="auto"/>
              </w:rPr>
            </w:pPr>
            <w:r>
              <w:rPr>
                <w:rFonts w:ascii="Arial" w:cs="Arial" w:eastAsia="Arial" w:hAnsi="Arial"/>
                <w:sz w:val="18"/>
                <w:szCs w:val="18"/>
                <w:color w:val="auto"/>
              </w:rPr>
              <w:t>National Australia Bank Limited.</w:t>
            </w:r>
          </w:p>
        </w:tc>
        <w:tc>
          <w:tcPr>
            <w:tcW w:w="4020" w:type="dxa"/>
            <w:vAlign w:val="bottom"/>
            <w:tcBorders>
              <w:top w:val="single" w:sz="8" w:color="0000FF"/>
            </w:tcBorders>
            <w:gridSpan w:val="11"/>
            <w:vMerge w:val="restart"/>
            <w:shd w:val="clear" w:color="auto" w:fill="CCEEFF"/>
          </w:tcPr>
          <w:p>
            <w:pPr>
              <w:spacing w:after="0"/>
              <w:rPr>
                <w:sz w:val="20"/>
                <w:szCs w:val="20"/>
                <w:color w:val="auto"/>
              </w:rPr>
            </w:pPr>
            <w:r>
              <w:rPr>
                <w:rFonts w:ascii="Arial" w:cs="Arial" w:eastAsia="Arial" w:hAnsi="Arial"/>
                <w:sz w:val="18"/>
                <w:szCs w:val="18"/>
                <w:color w:val="auto"/>
              </w:rPr>
              <w:t>incorporated herein by reference</w:t>
            </w:r>
          </w:p>
        </w:tc>
        <w:tc>
          <w:tcPr>
            <w:tcW w:w="480" w:type="dxa"/>
            <w:vAlign w:val="bottom"/>
            <w:tcBorders>
              <w:top w:val="single" w:sz="8" w:color="CCEEFF"/>
            </w:tcBorders>
            <w:gridSpan w:val="7"/>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3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20" w:type="dxa"/>
            <w:vAlign w:val="bottom"/>
            <w:gridSpan w:val="11"/>
            <w:vMerge w:val="continue"/>
            <w:shd w:val="clear" w:color="auto" w:fill="CCEEFF"/>
          </w:tcPr>
          <w:p>
            <w:pPr>
              <w:spacing w:after="0"/>
              <w:rPr>
                <w:sz w:val="6"/>
                <w:szCs w:val="6"/>
                <w:color w:val="auto"/>
              </w:rPr>
            </w:pPr>
          </w:p>
        </w:tc>
        <w:tc>
          <w:tcPr>
            <w:tcW w:w="480" w:type="dxa"/>
            <w:vAlign w:val="bottom"/>
            <w:gridSpan w:val="7"/>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880" w:type="dxa"/>
            <w:vAlign w:val="bottom"/>
            <w:gridSpan w:val="3"/>
          </w:tcPr>
          <w:p>
            <w:pPr>
              <w:jc w:val="center"/>
              <w:ind w:right="20"/>
              <w:spacing w:after="0" w:line="192" w:lineRule="exact"/>
              <w:rPr>
                <w:sz w:val="20"/>
                <w:szCs w:val="20"/>
                <w:color w:val="auto"/>
              </w:rPr>
            </w:pPr>
            <w:r>
              <w:rPr>
                <w:rFonts w:ascii="Arial" w:cs="Arial" w:eastAsia="Arial" w:hAnsi="Arial"/>
                <w:sz w:val="18"/>
                <w:szCs w:val="18"/>
                <w:color w:val="auto"/>
                <w:w w:val="90"/>
              </w:rPr>
              <w:t>10.30†</w:t>
            </w:r>
          </w:p>
        </w:tc>
        <w:tc>
          <w:tcPr>
            <w:tcW w:w="4020" w:type="dxa"/>
            <w:vAlign w:val="bottom"/>
            <w:gridSpan w:val="4"/>
          </w:tcPr>
          <w:p>
            <w:pPr>
              <w:spacing w:after="0" w:line="192" w:lineRule="exact"/>
              <w:rPr>
                <w:sz w:val="20"/>
                <w:szCs w:val="20"/>
                <w:color w:val="auto"/>
              </w:rPr>
            </w:pPr>
            <w:r>
              <w:rPr>
                <w:rFonts w:ascii="Arial" w:cs="Arial" w:eastAsia="Arial" w:hAnsi="Arial"/>
                <w:sz w:val="18"/>
                <w:szCs w:val="18"/>
                <w:color w:val="auto"/>
                <w:w w:val="91"/>
              </w:rPr>
              <w:t>Amendment Deed dated April 2, 2025, by and between</w:t>
            </w:r>
          </w:p>
        </w:tc>
        <w:tc>
          <w:tcPr>
            <w:tcW w:w="4500" w:type="dxa"/>
            <w:vAlign w:val="bottom"/>
            <w:gridSpan w:val="18"/>
          </w:tcPr>
          <w:p>
            <w:pPr>
              <w:spacing w:after="0" w:line="192"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5">
              <w:r>
                <w:rPr>
                  <w:rFonts w:ascii="Arial" w:cs="Arial" w:eastAsia="Arial" w:hAnsi="Arial"/>
                  <w:sz w:val="18"/>
                  <w:szCs w:val="18"/>
                  <w:b w:val="1"/>
                  <w:bCs w:val="1"/>
                  <w:color w:val="0000FF"/>
                  <w:w w:val="94"/>
                </w:rPr>
                <w:t>Exhibit 10.3 to the Company’s Quarterly Report</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20" w:type="dxa"/>
            <w:vAlign w:val="bottom"/>
            <w:gridSpan w:val="4"/>
            <w:vMerge w:val="restart"/>
          </w:tcPr>
          <w:p>
            <w:pPr>
              <w:spacing w:after="0" w:line="199" w:lineRule="exact"/>
              <w:rPr>
                <w:sz w:val="20"/>
                <w:szCs w:val="20"/>
                <w:color w:val="auto"/>
              </w:rPr>
            </w:pPr>
            <w:r>
              <w:rPr>
                <w:rFonts w:ascii="Arial" w:cs="Arial" w:eastAsia="Arial" w:hAnsi="Arial"/>
                <w:sz w:val="18"/>
                <w:szCs w:val="18"/>
                <w:color w:val="auto"/>
                <w:w w:val="93"/>
              </w:rPr>
              <w:t>Reading Entertainment Australia Pty Ltd and National</w:t>
            </w:r>
          </w:p>
        </w:tc>
        <w:tc>
          <w:tcPr>
            <w:tcW w:w="620" w:type="dxa"/>
            <w:vAlign w:val="bottom"/>
            <w:gridSpan w:val="2"/>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0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gridSpan w:val="4"/>
            <w:vMerge w:val="continue"/>
          </w:tcPr>
          <w:p>
            <w:pPr>
              <w:spacing w:after="0"/>
              <w:rPr>
                <w:sz w:val="17"/>
                <w:szCs w:val="17"/>
                <w:color w:val="auto"/>
              </w:rPr>
            </w:pPr>
          </w:p>
        </w:tc>
        <w:tc>
          <w:tcPr>
            <w:tcW w:w="4500" w:type="dxa"/>
            <w:vAlign w:val="bottom"/>
            <w:gridSpan w:val="18"/>
          </w:tcPr>
          <w:p>
            <w:pPr>
              <w:spacing w:after="0" w:line="186" w:lineRule="exact"/>
              <w:rPr>
                <w:rFonts w:ascii="Arial" w:cs="Arial" w:eastAsia="Arial" w:hAnsi="Arial"/>
                <w:sz w:val="18"/>
                <w:szCs w:val="18"/>
                <w:b w:val="1"/>
                <w:bCs w:val="1"/>
                <w:color w:val="0000FF"/>
                <w:w w:val="96"/>
              </w:rPr>
            </w:pPr>
            <w:hyperlink r:id="rId205">
              <w:r>
                <w:rPr>
                  <w:rFonts w:ascii="Arial" w:cs="Arial" w:eastAsia="Arial" w:hAnsi="Arial"/>
                  <w:sz w:val="18"/>
                  <w:szCs w:val="18"/>
                  <w:b w:val="1"/>
                  <w:bCs w:val="1"/>
                  <w:color w:val="0000FF"/>
                  <w:w w:val="96"/>
                </w:rPr>
                <w:t>on Form 10-Q for the quarter ended June 30, 2025</w:t>
              </w:r>
              <w:r>
                <w:rPr>
                  <w:rFonts w:ascii="Arial" w:cs="Arial" w:eastAsia="Arial" w:hAnsi="Arial"/>
                  <w:sz w:val="19"/>
                  <w:szCs w:val="19"/>
                  <w:u w:val="single" w:color="auto"/>
                  <w:color w:val="0000FF"/>
                  <w:w w:val="96"/>
                </w:rPr>
                <w:t>,</w:t>
              </w:r>
              <w:r>
                <w:rPr>
                  <w:rFonts w:ascii="Arial" w:cs="Arial" w:eastAsia="Arial" w:hAnsi="Arial"/>
                  <w:sz w:val="18"/>
                  <w:szCs w:val="18"/>
                  <w:b w:val="1"/>
                  <w:bCs w:val="1"/>
                  <w:color w:val="0000FF"/>
                  <w:w w:val="96"/>
                </w:rPr>
                <w:t xml:space="preserve"> </w:t>
              </w:r>
            </w:hyperlink>
            <w:r>
              <w:rPr>
                <w:rFonts w:ascii="Arial" w:cs="Arial" w:eastAsia="Arial" w:hAnsi="Arial"/>
                <w:sz w:val="18"/>
                <w:szCs w:val="18"/>
                <w:color w:val="000000"/>
                <w:w w:val="96"/>
              </w:rPr>
              <w:t>and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20" w:type="dxa"/>
            <w:vAlign w:val="bottom"/>
            <w:gridSpan w:val="4"/>
          </w:tcPr>
          <w:p>
            <w:pPr>
              <w:spacing w:after="0" w:line="162" w:lineRule="exact"/>
              <w:rPr>
                <w:sz w:val="20"/>
                <w:szCs w:val="20"/>
                <w:color w:val="auto"/>
              </w:rPr>
            </w:pPr>
            <w:r>
              <w:rPr>
                <w:rFonts w:ascii="Arial" w:cs="Arial" w:eastAsia="Arial" w:hAnsi="Arial"/>
                <w:sz w:val="18"/>
                <w:szCs w:val="18"/>
                <w:color w:val="auto"/>
              </w:rPr>
              <w:t>Australia Bank Limited.</w:t>
            </w:r>
          </w:p>
        </w:tc>
        <w:tc>
          <w:tcPr>
            <w:tcW w:w="3880" w:type="dxa"/>
            <w:vAlign w:val="bottom"/>
            <w:tcBorders>
              <w:top w:val="single" w:sz="8" w:color="0000FF"/>
            </w:tcBorders>
            <w:gridSpan w:val="10"/>
            <w:vMerge w:val="restart"/>
          </w:tcPr>
          <w:p>
            <w:pPr>
              <w:spacing w:after="0"/>
              <w:rPr>
                <w:sz w:val="20"/>
                <w:szCs w:val="20"/>
                <w:color w:val="auto"/>
              </w:rPr>
            </w:pPr>
            <w:r>
              <w:rPr>
                <w:rFonts w:ascii="Arial" w:cs="Arial" w:eastAsia="Arial" w:hAnsi="Arial"/>
                <w:sz w:val="18"/>
                <w:szCs w:val="18"/>
                <w:color w:val="auto"/>
              </w:rPr>
              <w:t>incorporated herein by reference.</w:t>
            </w:r>
          </w:p>
        </w:tc>
        <w:tc>
          <w:tcPr>
            <w:tcW w:w="62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80" w:type="dxa"/>
            <w:vAlign w:val="bottom"/>
            <w:gridSpan w:val="10"/>
            <w:vMerge w:val="continue"/>
          </w:tcPr>
          <w:p>
            <w:pPr>
              <w:spacing w:after="0"/>
              <w:rPr>
                <w:sz w:val="5"/>
                <w:szCs w:val="5"/>
                <w:color w:val="auto"/>
              </w:rPr>
            </w:pPr>
          </w:p>
        </w:tc>
        <w:tc>
          <w:tcPr>
            <w:tcW w:w="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880" w:type="dxa"/>
            <w:vAlign w:val="bottom"/>
            <w:gridSpan w:val="3"/>
            <w:shd w:val="clear" w:color="auto" w:fill="CCEEFF"/>
          </w:tcPr>
          <w:p>
            <w:pPr>
              <w:jc w:val="center"/>
              <w:ind w:right="20"/>
              <w:spacing w:after="0" w:line="196" w:lineRule="exact"/>
              <w:rPr>
                <w:sz w:val="20"/>
                <w:szCs w:val="20"/>
                <w:color w:val="auto"/>
              </w:rPr>
            </w:pPr>
            <w:r>
              <w:rPr>
                <w:rFonts w:ascii="Arial" w:cs="Arial" w:eastAsia="Arial" w:hAnsi="Arial"/>
                <w:sz w:val="18"/>
                <w:szCs w:val="18"/>
                <w:color w:val="auto"/>
                <w:w w:val="90"/>
              </w:rPr>
              <w:t>10.31†</w:t>
            </w:r>
          </w:p>
        </w:tc>
        <w:tc>
          <w:tcPr>
            <w:tcW w:w="40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Amendment Deed dated April 28, 2025, by and</w:t>
            </w:r>
          </w:p>
        </w:tc>
        <w:tc>
          <w:tcPr>
            <w:tcW w:w="4500" w:type="dxa"/>
            <w:vAlign w:val="bottom"/>
            <w:gridSpan w:val="18"/>
            <w:shd w:val="clear" w:color="auto" w:fill="CCEEFF"/>
          </w:tcPr>
          <w:p>
            <w:pPr>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6">
              <w:r>
                <w:rPr>
                  <w:rFonts w:ascii="Arial" w:cs="Arial" w:eastAsia="Arial" w:hAnsi="Arial"/>
                  <w:sz w:val="18"/>
                  <w:szCs w:val="18"/>
                  <w:b w:val="1"/>
                  <w:bCs w:val="1"/>
                  <w:color w:val="0000FF"/>
                  <w:w w:val="94"/>
                </w:rPr>
                <w:t>Exhibit 10.4 to the Company’s Quarterly Report</w:t>
              </w:r>
            </w:hyperlink>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20" w:type="dxa"/>
            <w:vAlign w:val="bottom"/>
            <w:gridSpan w:val="4"/>
            <w:vMerge w:val="restart"/>
            <w:shd w:val="clear" w:color="auto" w:fill="CCEEFF"/>
          </w:tcPr>
          <w:p>
            <w:pPr>
              <w:spacing w:after="0" w:line="199" w:lineRule="exact"/>
              <w:rPr>
                <w:sz w:val="20"/>
                <w:szCs w:val="20"/>
                <w:color w:val="auto"/>
              </w:rPr>
            </w:pPr>
            <w:r>
              <w:rPr>
                <w:rFonts w:ascii="Arial" w:cs="Arial" w:eastAsia="Arial" w:hAnsi="Arial"/>
                <w:sz w:val="18"/>
                <w:szCs w:val="18"/>
                <w:color w:val="auto"/>
                <w:w w:val="93"/>
              </w:rPr>
              <w:t>between Reading Entertainment Australia Pty Ltd and</w:t>
            </w:r>
          </w:p>
        </w:tc>
        <w:tc>
          <w:tcPr>
            <w:tcW w:w="620" w:type="dxa"/>
            <w:vAlign w:val="bottom"/>
            <w:tcBorders>
              <w:right w:val="single" w:sz="8" w:color="CCEEFF"/>
            </w:tcBorders>
            <w:gridSpan w:val="2"/>
            <w:shd w:val="clear" w:color="auto" w:fill="CCEE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0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20" w:type="dxa"/>
            <w:vAlign w:val="bottom"/>
            <w:gridSpan w:val="4"/>
            <w:vMerge w:val="continue"/>
            <w:shd w:val="clear" w:color="auto" w:fill="CCEEFF"/>
          </w:tcPr>
          <w:p>
            <w:pPr>
              <w:spacing w:after="0"/>
              <w:rPr>
                <w:sz w:val="17"/>
                <w:szCs w:val="17"/>
                <w:color w:val="auto"/>
              </w:rPr>
            </w:pPr>
          </w:p>
        </w:tc>
        <w:tc>
          <w:tcPr>
            <w:tcW w:w="4500" w:type="dxa"/>
            <w:vAlign w:val="bottom"/>
            <w:gridSpan w:val="18"/>
            <w:shd w:val="clear" w:color="auto" w:fill="CCEEFF"/>
          </w:tcPr>
          <w:p>
            <w:pPr>
              <w:spacing w:after="0" w:line="186" w:lineRule="exact"/>
              <w:rPr>
                <w:rFonts w:ascii="Arial" w:cs="Arial" w:eastAsia="Arial" w:hAnsi="Arial"/>
                <w:sz w:val="18"/>
                <w:szCs w:val="18"/>
                <w:b w:val="1"/>
                <w:bCs w:val="1"/>
                <w:color w:val="0000FF"/>
                <w:w w:val="96"/>
              </w:rPr>
            </w:pPr>
            <w:hyperlink r:id="rId206">
              <w:r>
                <w:rPr>
                  <w:rFonts w:ascii="Arial" w:cs="Arial" w:eastAsia="Arial" w:hAnsi="Arial"/>
                  <w:sz w:val="18"/>
                  <w:szCs w:val="18"/>
                  <w:b w:val="1"/>
                  <w:bCs w:val="1"/>
                  <w:color w:val="0000FF"/>
                  <w:w w:val="96"/>
                </w:rPr>
                <w:t>on Form 10-Q for the quarter ended June 30, 2025</w:t>
              </w:r>
              <w:r>
                <w:rPr>
                  <w:rFonts w:ascii="Arial" w:cs="Arial" w:eastAsia="Arial" w:hAnsi="Arial"/>
                  <w:sz w:val="19"/>
                  <w:szCs w:val="19"/>
                  <w:u w:val="single" w:color="auto"/>
                  <w:color w:val="0000FF"/>
                  <w:w w:val="96"/>
                </w:rPr>
                <w:t>,</w:t>
              </w:r>
              <w:r>
                <w:rPr>
                  <w:rFonts w:ascii="Arial" w:cs="Arial" w:eastAsia="Arial" w:hAnsi="Arial"/>
                  <w:sz w:val="18"/>
                  <w:szCs w:val="18"/>
                  <w:b w:val="1"/>
                  <w:bCs w:val="1"/>
                  <w:color w:val="0000FF"/>
                  <w:w w:val="96"/>
                </w:rPr>
                <w:t xml:space="preserve"> </w:t>
              </w:r>
            </w:hyperlink>
            <w:r>
              <w:rPr>
                <w:rFonts w:ascii="Arial" w:cs="Arial" w:eastAsia="Arial" w:hAnsi="Arial"/>
                <w:sz w:val="18"/>
                <w:szCs w:val="18"/>
                <w:color w:val="000000"/>
                <w:w w:val="96"/>
              </w:rPr>
              <w:t>and</w:t>
            </w:r>
          </w:p>
        </w:tc>
        <w:tc>
          <w:tcPr>
            <w:tcW w:w="0" w:type="dxa"/>
            <w:vAlign w:val="bottom"/>
          </w:tcPr>
          <w:p>
            <w:pPr>
              <w:spacing w:after="0"/>
              <w:rPr>
                <w:sz w:val="1"/>
                <w:szCs w:val="1"/>
                <w:color w:val="auto"/>
              </w:rPr>
            </w:pPr>
          </w:p>
        </w:tc>
      </w:tr>
      <w:tr>
        <w:trPr>
          <w:trHeight w:val="162"/>
        </w:trPr>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gridSpan w:val="4"/>
            <w:shd w:val="clear" w:color="auto" w:fill="CCEEFF"/>
          </w:tcPr>
          <w:p>
            <w:pPr>
              <w:spacing w:after="0" w:line="162" w:lineRule="exact"/>
              <w:rPr>
                <w:sz w:val="20"/>
                <w:szCs w:val="20"/>
                <w:color w:val="auto"/>
              </w:rPr>
            </w:pPr>
            <w:r>
              <w:rPr>
                <w:rFonts w:ascii="Arial" w:cs="Arial" w:eastAsia="Arial" w:hAnsi="Arial"/>
                <w:sz w:val="18"/>
                <w:szCs w:val="18"/>
                <w:color w:val="auto"/>
              </w:rPr>
              <w:t>National Australia Bank Limited.</w:t>
            </w:r>
          </w:p>
        </w:tc>
        <w:tc>
          <w:tcPr>
            <w:tcW w:w="3880" w:type="dxa"/>
            <w:vAlign w:val="bottom"/>
            <w:tcBorders>
              <w:top w:val="single" w:sz="8" w:color="0000FF"/>
            </w:tcBorders>
            <w:gridSpan w:val="10"/>
            <w:vMerge w:val="restart"/>
            <w:shd w:val="clear" w:color="auto" w:fill="CCEEFF"/>
          </w:tcPr>
          <w:p>
            <w:pPr>
              <w:spacing w:after="0"/>
              <w:rPr>
                <w:sz w:val="20"/>
                <w:szCs w:val="20"/>
                <w:color w:val="auto"/>
              </w:rPr>
            </w:pPr>
            <w:r>
              <w:rPr>
                <w:rFonts w:ascii="Arial" w:cs="Arial" w:eastAsia="Arial" w:hAnsi="Arial"/>
                <w:sz w:val="18"/>
                <w:szCs w:val="18"/>
                <w:color w:val="auto"/>
              </w:rPr>
              <w:t>incorporated herein by reference.</w:t>
            </w:r>
          </w:p>
        </w:tc>
        <w:tc>
          <w:tcPr>
            <w:tcW w:w="620" w:type="dxa"/>
            <w:vAlign w:val="bottom"/>
            <w:tcBorders>
              <w:top w:val="single" w:sz="8" w:color="CCEEFF"/>
            </w:tcBorders>
            <w:gridSpan w:val="8"/>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3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80" w:type="dxa"/>
            <w:vAlign w:val="bottom"/>
            <w:gridSpan w:val="10"/>
            <w:vMerge w:val="continue"/>
            <w:shd w:val="clear" w:color="auto" w:fill="CCEEFF"/>
          </w:tcPr>
          <w:p>
            <w:pPr>
              <w:spacing w:after="0"/>
              <w:rPr>
                <w:sz w:val="6"/>
                <w:szCs w:val="6"/>
                <w:color w:val="auto"/>
              </w:rPr>
            </w:pPr>
          </w:p>
        </w:tc>
        <w:tc>
          <w:tcPr>
            <w:tcW w:w="620" w:type="dxa"/>
            <w:vAlign w:val="bottom"/>
            <w:gridSpan w:val="8"/>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88"/>
              </w:rPr>
              <w:t>10.32†+</w:t>
            </w:r>
          </w:p>
        </w:tc>
        <w:tc>
          <w:tcPr>
            <w:tcW w:w="3860" w:type="dxa"/>
            <w:vAlign w:val="bottom"/>
            <w:tcBorders>
              <w:bottom w:val="single" w:sz="8" w:color="0000FF"/>
            </w:tcBorders>
            <w:gridSpan w:val="2"/>
          </w:tcPr>
          <w:p>
            <w:pPr>
              <w:spacing w:after="0" w:line="177" w:lineRule="exact"/>
              <w:rPr>
                <w:sz w:val="20"/>
                <w:szCs w:val="20"/>
                <w:color w:val="auto"/>
              </w:rPr>
            </w:pPr>
            <w:r>
              <w:rPr>
                <w:rFonts w:ascii="Arial" w:cs="Arial" w:eastAsia="Arial" w:hAnsi="Arial"/>
                <w:sz w:val="18"/>
                <w:szCs w:val="18"/>
                <w:color w:val="0000FF"/>
                <w:w w:val="90"/>
              </w:rPr>
              <w:t>Amendment Deed dated November 12, 2025, by and</w:t>
            </w:r>
          </w:p>
        </w:tc>
        <w:tc>
          <w:tcPr>
            <w:tcW w:w="160" w:type="dxa"/>
            <w:vAlign w:val="bottom"/>
            <w:gridSpan w:val="2"/>
          </w:tcPr>
          <w:p>
            <w:pPr>
              <w:spacing w:after="0"/>
              <w:rPr>
                <w:sz w:val="15"/>
                <w:szCs w:val="15"/>
                <w:color w:val="auto"/>
              </w:rPr>
            </w:pPr>
          </w:p>
        </w:tc>
        <w:tc>
          <w:tcPr>
            <w:tcW w:w="4500" w:type="dxa"/>
            <w:vAlign w:val="bottom"/>
            <w:gridSpan w:val="18"/>
          </w:tcPr>
          <w:p>
            <w:pPr>
              <w:spacing w:after="0" w:line="177"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tcBorders>
              <w:bottom w:val="single" w:sz="8" w:color="0000FF"/>
            </w:tcBorders>
            <w:gridSpan w:val="3"/>
          </w:tcPr>
          <w:p>
            <w:pPr>
              <w:spacing w:after="0" w:line="175" w:lineRule="exact"/>
              <w:rPr>
                <w:sz w:val="20"/>
                <w:szCs w:val="20"/>
                <w:color w:val="auto"/>
              </w:rPr>
            </w:pPr>
            <w:r>
              <w:rPr>
                <w:rFonts w:ascii="Arial" w:cs="Arial" w:eastAsia="Arial" w:hAnsi="Arial"/>
                <w:sz w:val="18"/>
                <w:szCs w:val="18"/>
                <w:color w:val="0000FF"/>
                <w:w w:val="91"/>
              </w:rPr>
              <w:t>between Reading Entertainment Australia Pty Ltd and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tcBorders>
              <w:bottom w:val="single" w:sz="8" w:color="0000FF"/>
            </w:tcBorders>
          </w:tcPr>
          <w:p>
            <w:pPr>
              <w:spacing w:after="0" w:line="175" w:lineRule="exact"/>
              <w:rPr>
                <w:sz w:val="20"/>
                <w:szCs w:val="20"/>
                <w:color w:val="auto"/>
              </w:rPr>
            </w:pPr>
            <w:r>
              <w:rPr>
                <w:rFonts w:ascii="Arial" w:cs="Arial" w:eastAsia="Arial" w:hAnsi="Arial"/>
                <w:sz w:val="18"/>
                <w:szCs w:val="18"/>
                <w:color w:val="0000FF"/>
                <w:w w:val="93"/>
              </w:rPr>
              <w:t>National Australia Bank Limited</w:t>
            </w:r>
          </w:p>
        </w:tc>
        <w:tc>
          <w:tcPr>
            <w:tcW w:w="166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gridSpan w:val="3"/>
            <w:shd w:val="clear" w:color="auto" w:fill="CCEEFF"/>
          </w:tcPr>
          <w:p>
            <w:pPr>
              <w:jc w:val="center"/>
              <w:ind w:right="20"/>
              <w:spacing w:after="0" w:line="175" w:lineRule="exact"/>
              <w:rPr>
                <w:sz w:val="20"/>
                <w:szCs w:val="20"/>
                <w:color w:val="auto"/>
              </w:rPr>
            </w:pPr>
            <w:r>
              <w:rPr>
                <w:rFonts w:ascii="Arial" w:cs="Arial" w:eastAsia="Arial" w:hAnsi="Arial"/>
                <w:sz w:val="18"/>
                <w:szCs w:val="18"/>
                <w:color w:val="auto"/>
                <w:w w:val="90"/>
              </w:rPr>
              <w:t>10.33†</w:t>
            </w:r>
          </w:p>
        </w:tc>
        <w:tc>
          <w:tcPr>
            <w:tcW w:w="4020" w:type="dxa"/>
            <w:vAlign w:val="bottom"/>
            <w:gridSpan w:val="4"/>
            <w:shd w:val="clear" w:color="auto" w:fill="CCEEFF"/>
          </w:tcPr>
          <w:p>
            <w:pPr>
              <w:spacing w:after="0" w:line="175" w:lineRule="exact"/>
              <w:rPr>
                <w:sz w:val="20"/>
                <w:szCs w:val="20"/>
                <w:color w:val="auto"/>
              </w:rPr>
            </w:pPr>
            <w:r>
              <w:rPr>
                <w:rFonts w:ascii="Arial" w:cs="Arial" w:eastAsia="Arial" w:hAnsi="Arial"/>
                <w:sz w:val="18"/>
                <w:szCs w:val="18"/>
                <w:color w:val="auto"/>
                <w:w w:val="94"/>
              </w:rPr>
              <w:t>Renewal and Amendment of Banking Facilities dated</w:t>
            </w:r>
          </w:p>
        </w:tc>
        <w:tc>
          <w:tcPr>
            <w:tcW w:w="4500" w:type="dxa"/>
            <w:vAlign w:val="bottom"/>
            <w:gridSpan w:val="18"/>
            <w:shd w:val="clear" w:color="auto" w:fill="CCEEFF"/>
          </w:tcPr>
          <w:p>
            <w:pPr>
              <w:spacing w:after="0" w:line="175"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as </w:t>
            </w:r>
            <w:hyperlink r:id="rId207">
              <w:r>
                <w:rPr>
                  <w:rFonts w:ascii="Arial" w:cs="Arial" w:eastAsia="Arial" w:hAnsi="Arial"/>
                  <w:sz w:val="18"/>
                  <w:szCs w:val="18"/>
                  <w:b w:val="1"/>
                  <w:bCs w:val="1"/>
                  <w:color w:val="0000FF"/>
                  <w:w w:val="95"/>
                </w:rPr>
                <w:t>Exhibit 10.28 to the Company’s report on Form</w:t>
              </w:r>
            </w:hyperlink>
          </w:p>
        </w:tc>
        <w:tc>
          <w:tcPr>
            <w:tcW w:w="0" w:type="dxa"/>
            <w:vAlign w:val="bottom"/>
          </w:tcPr>
          <w:p>
            <w:pPr>
              <w:spacing w:after="0"/>
              <w:rPr>
                <w:sz w:val="1"/>
                <w:szCs w:val="1"/>
                <w:color w:val="auto"/>
              </w:rPr>
            </w:pPr>
          </w:p>
        </w:tc>
      </w:tr>
      <w:tr>
        <w:trPr>
          <w:trHeight w:val="174"/>
        </w:trPr>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color w:val="auto"/>
              </w:rPr>
              <w:t>December 17, 2024, by and between Reading</w:t>
            </w:r>
          </w:p>
        </w:tc>
        <w:tc>
          <w:tcPr>
            <w:tcW w:w="620" w:type="dxa"/>
            <w:vAlign w:val="bottom"/>
            <w:tcBorders>
              <w:top w:val="single" w:sz="8" w:color="CCEEFF"/>
              <w:right w:val="single" w:sz="8" w:color="CCEEFF"/>
            </w:tcBorders>
            <w:gridSpan w:val="2"/>
            <w:shd w:val="clear" w:color="auto" w:fill="CCEEFF"/>
          </w:tcPr>
          <w:p>
            <w:pPr>
              <w:spacing w:after="0" w:line="175" w:lineRule="exact"/>
              <w:rPr>
                <w:rFonts w:ascii="Arial" w:cs="Arial" w:eastAsia="Arial" w:hAnsi="Arial"/>
                <w:sz w:val="18"/>
                <w:szCs w:val="18"/>
                <w:b w:val="1"/>
                <w:bCs w:val="1"/>
                <w:color w:val="0000FF"/>
                <w:w w:val="85"/>
              </w:rPr>
            </w:pPr>
            <w:hyperlink r:id="rId207">
              <w:r>
                <w:rPr>
                  <w:rFonts w:ascii="Arial" w:cs="Arial" w:eastAsia="Arial" w:hAnsi="Arial"/>
                  <w:sz w:val="18"/>
                  <w:szCs w:val="18"/>
                  <w:b w:val="1"/>
                  <w:bCs w:val="1"/>
                  <w:color w:val="0000FF"/>
                  <w:w w:val="85"/>
                </w:rPr>
                <w:t>10-K for</w:t>
              </w:r>
            </w:hyperlink>
          </w:p>
        </w:tc>
        <w:tc>
          <w:tcPr>
            <w:tcW w:w="3700" w:type="dxa"/>
            <w:vAlign w:val="bottom"/>
            <w:tcBorders>
              <w:top w:val="single" w:sz="8" w:color="0000FF"/>
              <w:right w:val="single" w:sz="8" w:color="CCEEFF"/>
            </w:tcBorders>
            <w:gridSpan w:val="10"/>
            <w:shd w:val="clear" w:color="auto" w:fill="CCEEFF"/>
          </w:tcPr>
          <w:p>
            <w:pPr>
              <w:ind w:left="80"/>
              <w:spacing w:after="0" w:line="175" w:lineRule="exact"/>
              <w:rPr>
                <w:rFonts w:ascii="Arial" w:cs="Arial" w:eastAsia="Arial" w:hAnsi="Arial"/>
                <w:sz w:val="18"/>
                <w:szCs w:val="18"/>
                <w:b w:val="1"/>
                <w:bCs w:val="1"/>
                <w:color w:val="0000FF"/>
              </w:rPr>
            </w:pPr>
            <w:hyperlink r:id="rId207">
              <w:r>
                <w:rPr>
                  <w:rFonts w:ascii="Arial" w:cs="Arial" w:eastAsia="Arial" w:hAnsi="Arial"/>
                  <w:sz w:val="18"/>
                  <w:szCs w:val="18"/>
                  <w:b w:val="1"/>
                  <w:bCs w:val="1"/>
                  <w:color w:val="0000FF"/>
                </w:rPr>
                <w:t>the year ended December 31, 2024</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180" w:type="dxa"/>
            <w:vAlign w:val="bottom"/>
            <w:tcBorders>
              <w:top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93"/>
              </w:rPr>
              <w:t>Entertainment Australia Pty Ltd and National Australia</w:t>
            </w:r>
          </w:p>
        </w:tc>
        <w:tc>
          <w:tcPr>
            <w:tcW w:w="3320" w:type="dxa"/>
            <w:vAlign w:val="bottom"/>
            <w:tcBorders>
              <w:top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180" w:type="dxa"/>
            <w:vAlign w:val="bottom"/>
            <w:tcBorders>
              <w:top w:val="single" w:sz="8" w:color="CCEEFF"/>
            </w:tcBorders>
            <w:gridSpan w:val="1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20" w:type="dxa"/>
            <w:vAlign w:val="bottom"/>
            <w:gridSpan w:val="4"/>
            <w:shd w:val="clear" w:color="auto" w:fill="CCEEFF"/>
          </w:tcPr>
          <w:p>
            <w:pPr>
              <w:spacing w:after="0" w:line="197" w:lineRule="exact"/>
              <w:rPr>
                <w:sz w:val="20"/>
                <w:szCs w:val="20"/>
                <w:color w:val="auto"/>
              </w:rPr>
            </w:pPr>
            <w:r>
              <w:rPr>
                <w:rFonts w:ascii="Arial" w:cs="Arial" w:eastAsia="Arial" w:hAnsi="Arial"/>
                <w:sz w:val="18"/>
                <w:szCs w:val="18"/>
                <w:color w:val="auto"/>
              </w:rPr>
              <w:t>Bank Limited.</w:t>
            </w:r>
          </w:p>
        </w:tc>
        <w:tc>
          <w:tcPr>
            <w:tcW w:w="3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gridSpan w:val="3"/>
          </w:tcPr>
          <w:p>
            <w:pPr>
              <w:jc w:val="center"/>
              <w:ind w:right="20"/>
              <w:spacing w:after="0" w:line="177" w:lineRule="exact"/>
              <w:rPr>
                <w:sz w:val="20"/>
                <w:szCs w:val="20"/>
                <w:color w:val="auto"/>
              </w:rPr>
            </w:pPr>
            <w:r>
              <w:rPr>
                <w:rFonts w:ascii="Arial" w:cs="Arial" w:eastAsia="Arial" w:hAnsi="Arial"/>
                <w:sz w:val="18"/>
                <w:szCs w:val="18"/>
                <w:color w:val="auto"/>
                <w:w w:val="93"/>
              </w:rPr>
              <w:t>10.34</w:t>
            </w:r>
          </w:p>
        </w:tc>
        <w:tc>
          <w:tcPr>
            <w:tcW w:w="4020" w:type="dxa"/>
            <w:vAlign w:val="bottom"/>
            <w:gridSpan w:val="4"/>
          </w:tcPr>
          <w:p>
            <w:pPr>
              <w:spacing w:after="0" w:line="177" w:lineRule="exact"/>
              <w:rPr>
                <w:sz w:val="20"/>
                <w:szCs w:val="20"/>
                <w:color w:val="auto"/>
              </w:rPr>
            </w:pPr>
            <w:r>
              <w:rPr>
                <w:rFonts w:ascii="Arial" w:cs="Arial" w:eastAsia="Arial" w:hAnsi="Arial"/>
                <w:sz w:val="18"/>
                <w:szCs w:val="18"/>
                <w:color w:val="auto"/>
                <w:w w:val="99"/>
              </w:rPr>
              <w:t>Second Amended and Restated Credit Agreement</w:t>
            </w:r>
          </w:p>
        </w:tc>
        <w:tc>
          <w:tcPr>
            <w:tcW w:w="4500" w:type="dxa"/>
            <w:vAlign w:val="bottom"/>
            <w:gridSpan w:val="18"/>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4">
              <w:r>
                <w:rPr>
                  <w:rFonts w:ascii="Arial" w:cs="Arial" w:eastAsia="Arial" w:hAnsi="Arial"/>
                  <w:sz w:val="18"/>
                  <w:szCs w:val="18"/>
                  <w:b w:val="1"/>
                  <w:bCs w:val="1"/>
                  <w:color w:val="0000FF"/>
                  <w:w w:val="94"/>
                </w:rPr>
                <w:t>Exhibit 10.2.1 to the Company’s report on Form</w:t>
              </w:r>
            </w:hyperlink>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40" w:type="dxa"/>
            <w:vAlign w:val="bottom"/>
            <w:gridSpan w:val="6"/>
          </w:tcPr>
          <w:p>
            <w:pPr>
              <w:spacing w:after="0" w:line="175" w:lineRule="exact"/>
              <w:rPr>
                <w:rFonts w:ascii="Arial" w:cs="Arial" w:eastAsia="Arial" w:hAnsi="Arial"/>
                <w:sz w:val="18"/>
                <w:szCs w:val="18"/>
                <w:color w:val="auto"/>
                <w:w w:val="89"/>
              </w:rPr>
            </w:pPr>
            <w:r>
              <w:rPr>
                <w:rFonts w:ascii="Arial" w:cs="Arial" w:eastAsia="Arial" w:hAnsi="Arial"/>
                <w:sz w:val="18"/>
                <w:szCs w:val="18"/>
                <w:color w:val="auto"/>
                <w:w w:val="89"/>
              </w:rPr>
              <w:t xml:space="preserve">dated March 6, 2020, among Consolidated Amusement </w:t>
            </w:r>
            <w:hyperlink r:id="rId194">
              <w:r>
                <w:rPr>
                  <w:rFonts w:ascii="Arial" w:cs="Arial" w:eastAsia="Arial" w:hAnsi="Arial"/>
                  <w:sz w:val="18"/>
                  <w:szCs w:val="18"/>
                  <w:b w:val="1"/>
                  <w:bCs w:val="1"/>
                  <w:color w:val="0000FF"/>
                  <w:w w:val="89"/>
                </w:rPr>
                <w:t>8-K (file</w:t>
              </w:r>
            </w:hyperlink>
          </w:p>
        </w:tc>
        <w:tc>
          <w:tcPr>
            <w:tcW w:w="3760" w:type="dxa"/>
            <w:vAlign w:val="bottom"/>
            <w:tcBorders>
              <w:top w:val="single" w:sz="8" w:color="0000FF"/>
            </w:tcBorders>
            <w:gridSpan w:val="13"/>
          </w:tcPr>
          <w:p>
            <w:pPr>
              <w:ind w:left="60"/>
              <w:spacing w:after="0" w:line="175" w:lineRule="exact"/>
              <w:rPr>
                <w:rFonts w:ascii="Arial" w:cs="Arial" w:eastAsia="Arial" w:hAnsi="Arial"/>
                <w:sz w:val="18"/>
                <w:szCs w:val="18"/>
                <w:b w:val="1"/>
                <w:bCs w:val="1"/>
                <w:color w:val="0000FF"/>
              </w:rPr>
            </w:pPr>
            <w:hyperlink r:id="rId194">
              <w:r>
                <w:rPr>
                  <w:rFonts w:ascii="Arial" w:cs="Arial" w:eastAsia="Arial" w:hAnsi="Arial"/>
                  <w:sz w:val="18"/>
                  <w:szCs w:val="18"/>
                  <w:b w:val="1"/>
                  <w:bCs w:val="1"/>
                  <w:color w:val="0000FF"/>
                </w:rPr>
                <w:t>no. 1-8625), filed on June 2,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89" w:lineRule="exact"/>
              <w:rPr>
                <w:sz w:val="20"/>
                <w:szCs w:val="20"/>
                <w:color w:val="auto"/>
              </w:rPr>
            </w:pPr>
            <w:r>
              <w:rPr>
                <w:rFonts w:ascii="Arial" w:cs="Arial" w:eastAsia="Arial" w:hAnsi="Arial"/>
                <w:sz w:val="18"/>
                <w:szCs w:val="18"/>
                <w:color w:val="auto"/>
                <w:w w:val="96"/>
              </w:rPr>
              <w:t>Holdings, LLC, certain affiliates of the Company, the</w:t>
            </w:r>
          </w:p>
        </w:tc>
        <w:tc>
          <w:tcPr>
            <w:tcW w:w="3200" w:type="dxa"/>
            <w:vAlign w:val="bottom"/>
            <w:tcBorders>
              <w:top w:val="single" w:sz="8" w:color="0000FF"/>
            </w:tcBorders>
            <w:gridSpan w:val="5"/>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3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5" w:lineRule="exact"/>
              <w:rPr>
                <w:sz w:val="20"/>
                <w:szCs w:val="20"/>
                <w:color w:val="auto"/>
              </w:rPr>
            </w:pPr>
            <w:r>
              <w:rPr>
                <w:rFonts w:ascii="Arial" w:cs="Arial" w:eastAsia="Arial" w:hAnsi="Arial"/>
                <w:sz w:val="18"/>
                <w:szCs w:val="18"/>
                <w:color w:val="auto"/>
              </w:rPr>
              <w:t>financial institutions party thereto and Bank of</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gridSpan w:val="4"/>
          </w:tcPr>
          <w:p>
            <w:pPr>
              <w:spacing w:after="0" w:line="195" w:lineRule="exact"/>
              <w:rPr>
                <w:sz w:val="20"/>
                <w:szCs w:val="20"/>
                <w:color w:val="auto"/>
              </w:rPr>
            </w:pPr>
            <w:r>
              <w:rPr>
                <w:rFonts w:ascii="Arial" w:cs="Arial" w:eastAsia="Arial" w:hAnsi="Arial"/>
                <w:sz w:val="18"/>
                <w:szCs w:val="18"/>
                <w:color w:val="auto"/>
              </w:rPr>
              <w:t>America, N.A., as administrative agent.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20"/>
        <w:spacing w:after="0" w:line="229" w:lineRule="auto"/>
        <w:rPr>
          <w:sz w:val="20"/>
          <w:szCs w:val="20"/>
          <w:color w:val="auto"/>
        </w:rPr>
      </w:pPr>
      <w:r>
        <w:rPr>
          <w:rFonts w:ascii="Arial" w:cs="Arial" w:eastAsia="Arial" w:hAnsi="Arial"/>
          <w:sz w:val="20"/>
          <w:szCs w:val="20"/>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9677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39</w:t>
      </w:r>
    </w:p>
    <w:p>
      <w:pPr>
        <w:sectPr>
          <w:pgSz w:w="11900" w:h="16838" w:orient="portrait"/>
          <w:cols w:equalWidth="0" w:num="1">
            <w:col w:w="9400"/>
          </w:cols>
          <w:pgMar w:left="1260" w:top="1104" w:right="1246" w:bottom="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10.35</w:t>
            </w:r>
          </w:p>
        </w:tc>
        <w:tc>
          <w:tcPr>
            <w:tcW w:w="40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Waiver and First Amendment to Second Amended and</w:t>
            </w:r>
          </w:p>
        </w:tc>
        <w:tc>
          <w:tcPr>
            <w:tcW w:w="4500" w:type="dxa"/>
            <w:vAlign w:val="bottom"/>
            <w:gridSpan w:val="25"/>
            <w:shd w:val="clear" w:color="auto" w:fill="CCEEFF"/>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4">
              <w:r>
                <w:rPr>
                  <w:rFonts w:ascii="Arial" w:cs="Arial" w:eastAsia="Arial" w:hAnsi="Arial"/>
                  <w:sz w:val="18"/>
                  <w:szCs w:val="18"/>
                  <w:b w:val="1"/>
                  <w:bCs w:val="1"/>
                  <w:color w:val="0000FF"/>
                  <w:w w:val="94"/>
                </w:rPr>
                <w:t>Exhibit 10.2.2 to the Company’s report on Form</w:t>
              </w:r>
            </w:hyperlink>
          </w:p>
        </w:tc>
        <w:tc>
          <w:tcPr>
            <w:tcW w:w="0" w:type="dxa"/>
            <w:vAlign w:val="bottom"/>
          </w:tcPr>
          <w:p>
            <w:pPr>
              <w:spacing w:after="0"/>
              <w:rPr>
                <w:sz w:val="1"/>
                <w:szCs w:val="1"/>
                <w:color w:val="auto"/>
              </w:rPr>
            </w:pPr>
          </w:p>
        </w:tc>
      </w:tr>
      <w:tr>
        <w:trPr>
          <w:trHeight w:val="174"/>
        </w:trPr>
        <w:tc>
          <w:tcPr>
            <w:tcW w:w="88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8"/>
            <w:shd w:val="clear" w:color="auto" w:fill="CCEEFF"/>
          </w:tcPr>
          <w:p>
            <w:pPr>
              <w:spacing w:after="0" w:line="175" w:lineRule="exact"/>
              <w:rPr>
                <w:sz w:val="20"/>
                <w:szCs w:val="20"/>
                <w:color w:val="auto"/>
              </w:rPr>
            </w:pPr>
            <w:r>
              <w:rPr>
                <w:rFonts w:ascii="Arial" w:cs="Arial" w:eastAsia="Arial" w:hAnsi="Arial"/>
                <w:sz w:val="18"/>
                <w:szCs w:val="18"/>
                <w:color w:val="auto"/>
              </w:rPr>
              <w:t>Restated Credit Agreement dated May 15, 2020,</w:t>
            </w:r>
          </w:p>
        </w:tc>
        <w:tc>
          <w:tcPr>
            <w:tcW w:w="620" w:type="dxa"/>
            <w:vAlign w:val="bottom"/>
            <w:tcBorders>
              <w:top w:val="single" w:sz="8" w:color="CCEEFF"/>
            </w:tcBorders>
            <w:shd w:val="clear" w:color="auto" w:fill="CCEEFF"/>
          </w:tcPr>
          <w:p>
            <w:pPr>
              <w:spacing w:after="0" w:line="175" w:lineRule="exact"/>
              <w:rPr>
                <w:rFonts w:ascii="Arial" w:cs="Arial" w:eastAsia="Arial" w:hAnsi="Arial"/>
                <w:sz w:val="18"/>
                <w:szCs w:val="18"/>
                <w:b w:val="1"/>
                <w:bCs w:val="1"/>
                <w:color w:val="0000FF"/>
                <w:w w:val="87"/>
              </w:rPr>
            </w:pPr>
            <w:hyperlink r:id="rId194">
              <w:r>
                <w:rPr>
                  <w:rFonts w:ascii="Arial" w:cs="Arial" w:eastAsia="Arial" w:hAnsi="Arial"/>
                  <w:sz w:val="18"/>
                  <w:szCs w:val="18"/>
                  <w:b w:val="1"/>
                  <w:bCs w:val="1"/>
                  <w:color w:val="0000FF"/>
                  <w:w w:val="87"/>
                </w:rPr>
                <w:t>8-K (file</w:t>
              </w:r>
            </w:hyperlink>
          </w:p>
        </w:tc>
        <w:tc>
          <w:tcPr>
            <w:tcW w:w="4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right w:val="single" w:sz="8" w:color="CCEEFF"/>
            </w:tcBorders>
            <w:shd w:val="clear" w:color="auto" w:fill="CCEEFF"/>
          </w:tcPr>
          <w:p>
            <w:pPr>
              <w:spacing w:after="0"/>
              <w:rPr>
                <w:sz w:val="15"/>
                <w:szCs w:val="15"/>
                <w:color w:val="auto"/>
              </w:rPr>
            </w:pPr>
          </w:p>
        </w:tc>
        <w:tc>
          <w:tcPr>
            <w:tcW w:w="3620" w:type="dxa"/>
            <w:vAlign w:val="bottom"/>
            <w:tcBorders>
              <w:top w:val="single" w:sz="8" w:color="0000FF"/>
            </w:tcBorders>
            <w:gridSpan w:val="18"/>
            <w:shd w:val="clear" w:color="auto" w:fill="CCEEFF"/>
          </w:tcPr>
          <w:p>
            <w:pPr>
              <w:spacing w:after="0" w:line="175" w:lineRule="exact"/>
              <w:rPr>
                <w:rFonts w:ascii="Arial" w:cs="Arial" w:eastAsia="Arial" w:hAnsi="Arial"/>
                <w:sz w:val="18"/>
                <w:szCs w:val="18"/>
                <w:b w:val="1"/>
                <w:bCs w:val="1"/>
                <w:color w:val="0000FF"/>
              </w:rPr>
            </w:pPr>
            <w:hyperlink r:id="rId194">
              <w:r>
                <w:rPr>
                  <w:rFonts w:ascii="Arial" w:cs="Arial" w:eastAsia="Arial" w:hAnsi="Arial"/>
                  <w:sz w:val="18"/>
                  <w:szCs w:val="18"/>
                  <w:b w:val="1"/>
                  <w:bCs w:val="1"/>
                  <w:color w:val="0000FF"/>
                </w:rPr>
                <w:t>no. 1-8625), filed on June 2,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color w:val="auto"/>
              </w:rPr>
              <w:t>among Consolidated Amusement Holdings, LLC,</w:t>
            </w:r>
          </w:p>
        </w:tc>
        <w:tc>
          <w:tcPr>
            <w:tcW w:w="3200" w:type="dxa"/>
            <w:vAlign w:val="bottom"/>
            <w:tcBorders>
              <w:top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lef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402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auto"/>
              </w:rPr>
              <w:t>certain affiliates of the Company, the financial</w:t>
            </w:r>
          </w:p>
        </w:tc>
        <w:tc>
          <w:tcPr>
            <w:tcW w:w="62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402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auto"/>
                <w:w w:val="96"/>
              </w:rPr>
              <w:t>institutions party thereto and Bank of America, N.A.,</w:t>
            </w:r>
          </w:p>
        </w:tc>
        <w:tc>
          <w:tcPr>
            <w:tcW w:w="62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shd w:val="clear" w:color="auto" w:fill="CCEEFF"/>
          </w:tcPr>
          <w:p>
            <w:pPr>
              <w:spacing w:after="0"/>
              <w:rPr>
                <w:sz w:val="17"/>
                <w:szCs w:val="17"/>
                <w:color w:val="auto"/>
              </w:rPr>
            </w:pPr>
          </w:p>
        </w:tc>
        <w:tc>
          <w:tcPr>
            <w:tcW w:w="4020" w:type="dxa"/>
            <w:vAlign w:val="bottom"/>
            <w:gridSpan w:val="8"/>
            <w:shd w:val="clear" w:color="auto" w:fill="CCEEFF"/>
          </w:tcPr>
          <w:p>
            <w:pPr>
              <w:spacing w:after="0" w:line="197" w:lineRule="exact"/>
              <w:rPr>
                <w:sz w:val="20"/>
                <w:szCs w:val="20"/>
                <w:color w:val="auto"/>
              </w:rPr>
            </w:pPr>
            <w:r>
              <w:rPr>
                <w:rFonts w:ascii="Arial" w:cs="Arial" w:eastAsia="Arial" w:hAnsi="Arial"/>
                <w:sz w:val="18"/>
                <w:szCs w:val="18"/>
                <w:color w:val="auto"/>
              </w:rPr>
              <w:t>as administrative agent.</w:t>
            </w:r>
          </w:p>
        </w:tc>
        <w:tc>
          <w:tcPr>
            <w:tcW w:w="6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Arial" w:cs="Arial" w:eastAsia="Arial" w:hAnsi="Arial"/>
                <w:sz w:val="18"/>
                <w:szCs w:val="18"/>
                <w:color w:val="auto"/>
                <w:w w:val="93"/>
              </w:rPr>
              <w:t>10.36</w:t>
            </w:r>
          </w:p>
        </w:tc>
        <w:tc>
          <w:tcPr>
            <w:tcW w:w="4020" w:type="dxa"/>
            <w:vAlign w:val="bottom"/>
            <w:gridSpan w:val="8"/>
          </w:tcPr>
          <w:p>
            <w:pPr>
              <w:spacing w:after="0" w:line="177" w:lineRule="exact"/>
              <w:rPr>
                <w:sz w:val="20"/>
                <w:szCs w:val="20"/>
                <w:color w:val="auto"/>
              </w:rPr>
            </w:pPr>
            <w:r>
              <w:rPr>
                <w:rFonts w:ascii="Arial" w:cs="Arial" w:eastAsia="Arial" w:hAnsi="Arial"/>
                <w:sz w:val="18"/>
                <w:szCs w:val="18"/>
                <w:color w:val="auto"/>
                <w:w w:val="93"/>
              </w:rPr>
              <w:t>Waiver and Second Amendment to Second Amended</w:t>
            </w:r>
          </w:p>
        </w:tc>
        <w:tc>
          <w:tcPr>
            <w:tcW w:w="4500" w:type="dxa"/>
            <w:vAlign w:val="bottom"/>
            <w:gridSpan w:val="25"/>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195">
              <w:r>
                <w:rPr>
                  <w:rFonts w:ascii="Arial" w:cs="Arial" w:eastAsia="Arial" w:hAnsi="Arial"/>
                  <w:sz w:val="18"/>
                  <w:szCs w:val="18"/>
                  <w:b w:val="1"/>
                  <w:bCs w:val="1"/>
                  <w:color w:val="0000FF"/>
                  <w:w w:val="94"/>
                </w:rPr>
                <w:t>Exhibit 10.3 to the Company’s Quarterly Report</w:t>
              </w:r>
            </w:hyperlink>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tcPr>
          <w:p>
            <w:pPr>
              <w:spacing w:after="0" w:line="175" w:lineRule="exact"/>
              <w:rPr>
                <w:sz w:val="20"/>
                <w:szCs w:val="20"/>
                <w:color w:val="auto"/>
              </w:rPr>
            </w:pPr>
            <w:r>
              <w:rPr>
                <w:rFonts w:ascii="Arial" w:cs="Arial" w:eastAsia="Arial" w:hAnsi="Arial"/>
                <w:sz w:val="18"/>
                <w:szCs w:val="18"/>
                <w:color w:val="auto"/>
                <w:w w:val="93"/>
              </w:rPr>
              <w:t>and Restated Credit Agreement dated August 7, 2020</w:t>
            </w:r>
          </w:p>
        </w:tc>
        <w:tc>
          <w:tcPr>
            <w:tcW w:w="620" w:type="dxa"/>
            <w:vAlign w:val="bottom"/>
          </w:tcPr>
          <w:p>
            <w:pPr>
              <w:spacing w:after="0" w:line="175" w:lineRule="exact"/>
              <w:rPr>
                <w:rFonts w:ascii="Arial" w:cs="Arial" w:eastAsia="Arial" w:hAnsi="Arial"/>
                <w:sz w:val="18"/>
                <w:szCs w:val="18"/>
                <w:b w:val="1"/>
                <w:bCs w:val="1"/>
                <w:color w:val="0000FF"/>
                <w:w w:val="80"/>
              </w:rPr>
            </w:pPr>
            <w:hyperlink r:id="rId195">
              <w:r>
                <w:rPr>
                  <w:rFonts w:ascii="Arial" w:cs="Arial" w:eastAsia="Arial" w:hAnsi="Arial"/>
                  <w:sz w:val="18"/>
                  <w:szCs w:val="18"/>
                  <w:b w:val="1"/>
                  <w:bCs w:val="1"/>
                  <w:color w:val="0000FF"/>
                  <w:w w:val="80"/>
                </w:rPr>
                <w:t>on Form</w:t>
              </w:r>
            </w:hyperlink>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80" w:type="dxa"/>
            <w:vAlign w:val="bottom"/>
            <w:tcBorders>
              <w:top w:val="single" w:sz="8" w:color="0000FF"/>
            </w:tcBorders>
            <w:gridSpan w:val="20"/>
          </w:tcPr>
          <w:p>
            <w:pPr>
              <w:spacing w:after="0" w:line="175" w:lineRule="exact"/>
              <w:rPr>
                <w:rFonts w:ascii="Arial" w:cs="Arial" w:eastAsia="Arial" w:hAnsi="Arial"/>
                <w:sz w:val="18"/>
                <w:szCs w:val="18"/>
                <w:b w:val="1"/>
                <w:bCs w:val="1"/>
                <w:color w:val="0000FF"/>
                <w:w w:val="94"/>
              </w:rPr>
            </w:pPr>
            <w:hyperlink r:id="rId195">
              <w:r>
                <w:rPr>
                  <w:rFonts w:ascii="Arial" w:cs="Arial" w:eastAsia="Arial" w:hAnsi="Arial"/>
                  <w:sz w:val="18"/>
                  <w:szCs w:val="18"/>
                  <w:b w:val="1"/>
                  <w:bCs w:val="1"/>
                  <w:color w:val="0000FF"/>
                  <w:w w:val="94"/>
                </w:rPr>
                <w:t>10-Q for the quarter ended June 30, 2020</w:t>
              </w:r>
            </w:hyperlink>
            <w:r>
              <w:rPr>
                <w:rFonts w:ascii="Arial" w:cs="Arial" w:eastAsia="Arial" w:hAnsi="Arial"/>
                <w:sz w:val="18"/>
                <w:szCs w:val="18"/>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20" w:type="dxa"/>
            <w:vAlign w:val="bottom"/>
            <w:gridSpan w:val="8"/>
          </w:tcPr>
          <w:p>
            <w:pPr>
              <w:spacing w:after="0" w:line="189" w:lineRule="exact"/>
              <w:rPr>
                <w:sz w:val="20"/>
                <w:szCs w:val="20"/>
                <w:color w:val="auto"/>
              </w:rPr>
            </w:pPr>
            <w:r>
              <w:rPr>
                <w:rFonts w:ascii="Arial" w:cs="Arial" w:eastAsia="Arial" w:hAnsi="Arial"/>
                <w:sz w:val="18"/>
                <w:szCs w:val="18"/>
                <w:color w:val="auto"/>
                <w:w w:val="91"/>
              </w:rPr>
              <w:t>between Consolidated Amusement Holdings, LLC, and</w:t>
            </w:r>
          </w:p>
        </w:tc>
        <w:tc>
          <w:tcPr>
            <w:tcW w:w="3880" w:type="dxa"/>
            <w:vAlign w:val="bottom"/>
            <w:tcBorders>
              <w:top w:val="single" w:sz="8" w:color="0000FF"/>
            </w:tcBorders>
            <w:gridSpan w:val="12"/>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020" w:type="dxa"/>
            <w:vAlign w:val="bottom"/>
            <w:gridSpan w:val="8"/>
          </w:tcPr>
          <w:p>
            <w:pPr>
              <w:spacing w:after="0" w:line="197" w:lineRule="exact"/>
              <w:rPr>
                <w:sz w:val="20"/>
                <w:szCs w:val="20"/>
                <w:color w:val="auto"/>
              </w:rPr>
            </w:pPr>
            <w:r>
              <w:rPr>
                <w:rFonts w:ascii="Arial" w:cs="Arial" w:eastAsia="Arial" w:hAnsi="Arial"/>
                <w:sz w:val="18"/>
                <w:szCs w:val="18"/>
                <w:color w:val="auto"/>
              </w:rPr>
              <w:t>Bank of America, N.A.</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0"/>
              </w:rPr>
              <w:t>10.37†</w:t>
            </w:r>
          </w:p>
        </w:tc>
        <w:tc>
          <w:tcPr>
            <w:tcW w:w="4020" w:type="dxa"/>
            <w:vAlign w:val="bottom"/>
            <w:gridSpan w:val="8"/>
            <w:shd w:val="clear" w:color="auto" w:fill="CCEEFF"/>
          </w:tcPr>
          <w:p>
            <w:pPr>
              <w:spacing w:after="0" w:line="177" w:lineRule="exact"/>
              <w:rPr>
                <w:sz w:val="20"/>
                <w:szCs w:val="20"/>
                <w:color w:val="auto"/>
              </w:rPr>
            </w:pPr>
            <w:r>
              <w:rPr>
                <w:rFonts w:ascii="Arial" w:cs="Arial" w:eastAsia="Arial" w:hAnsi="Arial"/>
                <w:sz w:val="18"/>
                <w:szCs w:val="18"/>
                <w:color w:val="auto"/>
                <w:w w:val="90"/>
              </w:rPr>
              <w:t>Waiver and Third Amendment to Second Amended and</w:t>
            </w:r>
          </w:p>
        </w:tc>
        <w:tc>
          <w:tcPr>
            <w:tcW w:w="4500" w:type="dxa"/>
            <w:vAlign w:val="bottom"/>
            <w:gridSpan w:val="25"/>
            <w:shd w:val="clear" w:color="auto" w:fill="CCEEFF"/>
          </w:tcPr>
          <w:p>
            <w:pPr>
              <w:spacing w:after="0" w:line="177"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09">
              <w:r>
                <w:rPr>
                  <w:rFonts w:ascii="Arial" w:cs="Arial" w:eastAsia="Arial" w:hAnsi="Arial"/>
                  <w:sz w:val="18"/>
                  <w:szCs w:val="18"/>
                  <w:b w:val="1"/>
                  <w:bCs w:val="1"/>
                  <w:color w:val="0000FF"/>
                  <w:w w:val="94"/>
                </w:rPr>
                <w:t>Exhibit 10.2 to the Company’s Quarterly Report</w:t>
              </w:r>
            </w:hyperlink>
          </w:p>
        </w:tc>
        <w:tc>
          <w:tcPr>
            <w:tcW w:w="0" w:type="dxa"/>
            <w:vAlign w:val="bottom"/>
          </w:tcPr>
          <w:p>
            <w:pPr>
              <w:spacing w:after="0"/>
              <w:rPr>
                <w:sz w:val="1"/>
                <w:szCs w:val="1"/>
                <w:color w:val="auto"/>
              </w:rPr>
            </w:pPr>
          </w:p>
        </w:tc>
      </w:tr>
      <w:tr>
        <w:trPr>
          <w:trHeight w:val="174"/>
        </w:trPr>
        <w:tc>
          <w:tcPr>
            <w:tcW w:w="88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8"/>
            <w:shd w:val="clear" w:color="auto" w:fill="CCEEFF"/>
          </w:tcPr>
          <w:p>
            <w:pPr>
              <w:spacing w:after="0" w:line="175" w:lineRule="exact"/>
              <w:rPr>
                <w:sz w:val="20"/>
                <w:szCs w:val="20"/>
                <w:color w:val="auto"/>
              </w:rPr>
            </w:pPr>
            <w:r>
              <w:rPr>
                <w:rFonts w:ascii="Arial" w:cs="Arial" w:eastAsia="Arial" w:hAnsi="Arial"/>
                <w:sz w:val="18"/>
                <w:szCs w:val="18"/>
                <w:color w:val="auto"/>
                <w:w w:val="92"/>
              </w:rPr>
              <w:t>Restated Credit Agreement, dated November 8, 2021,</w:t>
            </w:r>
          </w:p>
        </w:tc>
        <w:tc>
          <w:tcPr>
            <w:tcW w:w="620" w:type="dxa"/>
            <w:vAlign w:val="bottom"/>
            <w:tcBorders>
              <w:top w:val="single" w:sz="8" w:color="CCEEFF"/>
            </w:tcBorders>
            <w:shd w:val="clear" w:color="auto" w:fill="CCEEFF"/>
          </w:tcPr>
          <w:p>
            <w:pPr>
              <w:spacing w:after="0" w:line="175" w:lineRule="exact"/>
              <w:rPr>
                <w:rFonts w:ascii="Arial" w:cs="Arial" w:eastAsia="Arial" w:hAnsi="Arial"/>
                <w:sz w:val="18"/>
                <w:szCs w:val="18"/>
                <w:b w:val="1"/>
                <w:bCs w:val="1"/>
                <w:color w:val="0000FF"/>
                <w:w w:val="80"/>
              </w:rPr>
            </w:pPr>
            <w:hyperlink r:id="rId209">
              <w:r>
                <w:rPr>
                  <w:rFonts w:ascii="Arial" w:cs="Arial" w:eastAsia="Arial" w:hAnsi="Arial"/>
                  <w:sz w:val="18"/>
                  <w:szCs w:val="18"/>
                  <w:b w:val="1"/>
                  <w:bCs w:val="1"/>
                  <w:color w:val="0000FF"/>
                  <w:w w:val="80"/>
                </w:rPr>
                <w:t>on Form</w:t>
              </w:r>
            </w:hyperlink>
          </w:p>
        </w:tc>
        <w:tc>
          <w:tcPr>
            <w:tcW w:w="4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right w:val="single" w:sz="8" w:color="CCEEFF"/>
            </w:tcBorders>
            <w:shd w:val="clear" w:color="auto" w:fill="CCEEFF"/>
          </w:tcPr>
          <w:p>
            <w:pPr>
              <w:spacing w:after="0"/>
              <w:rPr>
                <w:sz w:val="15"/>
                <w:szCs w:val="15"/>
                <w:color w:val="auto"/>
              </w:rPr>
            </w:pPr>
          </w:p>
        </w:tc>
        <w:tc>
          <w:tcPr>
            <w:tcW w:w="3680" w:type="dxa"/>
            <w:vAlign w:val="bottom"/>
            <w:tcBorders>
              <w:top w:val="single" w:sz="8" w:color="0000FF"/>
            </w:tcBorders>
            <w:gridSpan w:val="20"/>
            <w:shd w:val="clear" w:color="auto" w:fill="CCEEFF"/>
          </w:tcPr>
          <w:p>
            <w:pPr>
              <w:spacing w:after="0" w:line="175" w:lineRule="exact"/>
              <w:rPr>
                <w:rFonts w:ascii="Arial" w:cs="Arial" w:eastAsia="Arial" w:hAnsi="Arial"/>
                <w:sz w:val="18"/>
                <w:szCs w:val="18"/>
                <w:b w:val="1"/>
                <w:bCs w:val="1"/>
                <w:color w:val="0000FF"/>
                <w:w w:val="90"/>
              </w:rPr>
            </w:pPr>
            <w:hyperlink r:id="rId209">
              <w:r>
                <w:rPr>
                  <w:rFonts w:ascii="Arial" w:cs="Arial" w:eastAsia="Arial" w:hAnsi="Arial"/>
                  <w:sz w:val="18"/>
                  <w:szCs w:val="18"/>
                  <w:b w:val="1"/>
                  <w:bCs w:val="1"/>
                  <w:color w:val="0000FF"/>
                  <w:w w:val="90"/>
                </w:rPr>
                <w:t>10-Q for the quarter ended September 30, 2021</w:t>
              </w:r>
            </w:hyperlink>
            <w:r>
              <w:rPr>
                <w:rFonts w:ascii="Arial" w:cs="Arial" w:eastAsia="Arial" w:hAnsi="Arial"/>
                <w:sz w:val="18"/>
                <w:szCs w:val="18"/>
                <w:color w:val="000000"/>
                <w:w w:val="90"/>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color w:val="auto"/>
                <w:w w:val="91"/>
              </w:rPr>
              <w:t>between Consolidated Amusement Holdings, LLC, and</w:t>
            </w:r>
          </w:p>
        </w:tc>
        <w:tc>
          <w:tcPr>
            <w:tcW w:w="4340" w:type="dxa"/>
            <w:vAlign w:val="bottom"/>
            <w:tcBorders>
              <w:top w:val="single" w:sz="8" w:color="0000FF"/>
            </w:tcBorders>
            <w:gridSpan w:val="20"/>
            <w:shd w:val="clear" w:color="auto" w:fill="CCEEFF"/>
          </w:tcPr>
          <w:p>
            <w:pPr>
              <w:spacing w:after="0" w:line="189" w:lineRule="exact"/>
              <w:rPr>
                <w:sz w:val="20"/>
                <w:szCs w:val="20"/>
                <w:color w:val="auto"/>
              </w:rPr>
            </w:pPr>
            <w:r>
              <w:rPr>
                <w:rFonts w:ascii="Arial" w:cs="Arial" w:eastAsia="Arial" w:hAnsi="Arial"/>
                <w:sz w:val="18"/>
                <w:szCs w:val="18"/>
                <w:color w:val="auto"/>
              </w:rPr>
              <w:t>and incorporated herein by reference.</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left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shd w:val="clear" w:color="auto" w:fill="CCEEFF"/>
          </w:tcPr>
          <w:p>
            <w:pPr>
              <w:spacing w:after="0"/>
              <w:rPr>
                <w:sz w:val="17"/>
                <w:szCs w:val="17"/>
                <w:color w:val="auto"/>
              </w:rPr>
            </w:pPr>
          </w:p>
        </w:tc>
        <w:tc>
          <w:tcPr>
            <w:tcW w:w="4020" w:type="dxa"/>
            <w:vAlign w:val="bottom"/>
            <w:gridSpan w:val="8"/>
            <w:shd w:val="clear" w:color="auto" w:fill="CCEEFF"/>
          </w:tcPr>
          <w:p>
            <w:pPr>
              <w:spacing w:after="0" w:line="197" w:lineRule="exact"/>
              <w:rPr>
                <w:sz w:val="20"/>
                <w:szCs w:val="20"/>
                <w:color w:val="auto"/>
              </w:rPr>
            </w:pPr>
            <w:r>
              <w:rPr>
                <w:rFonts w:ascii="Arial" w:cs="Arial" w:eastAsia="Arial" w:hAnsi="Arial"/>
                <w:sz w:val="18"/>
                <w:szCs w:val="18"/>
                <w:color w:val="auto"/>
              </w:rPr>
              <w:t>Bank of America, N.A.</w:t>
            </w:r>
          </w:p>
        </w:tc>
        <w:tc>
          <w:tcPr>
            <w:tcW w:w="6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Arial" w:cs="Arial" w:eastAsia="Arial" w:hAnsi="Arial"/>
                <w:sz w:val="18"/>
                <w:szCs w:val="18"/>
                <w:color w:val="auto"/>
                <w:w w:val="90"/>
              </w:rPr>
              <w:t>10.38†</w:t>
            </w:r>
          </w:p>
        </w:tc>
        <w:tc>
          <w:tcPr>
            <w:tcW w:w="4020" w:type="dxa"/>
            <w:vAlign w:val="bottom"/>
            <w:gridSpan w:val="8"/>
          </w:tcPr>
          <w:p>
            <w:pPr>
              <w:spacing w:after="0" w:line="177" w:lineRule="exact"/>
              <w:rPr>
                <w:sz w:val="20"/>
                <w:szCs w:val="20"/>
                <w:color w:val="auto"/>
              </w:rPr>
            </w:pPr>
            <w:r>
              <w:rPr>
                <w:rFonts w:ascii="Arial" w:cs="Arial" w:eastAsia="Arial" w:hAnsi="Arial"/>
                <w:sz w:val="18"/>
                <w:szCs w:val="18"/>
                <w:color w:val="auto"/>
                <w:w w:val="95"/>
              </w:rPr>
              <w:t>Waiver and Fourth Amendment to Second Amended</w:t>
            </w:r>
          </w:p>
        </w:tc>
        <w:tc>
          <w:tcPr>
            <w:tcW w:w="4500" w:type="dxa"/>
            <w:vAlign w:val="bottom"/>
            <w:gridSpan w:val="25"/>
          </w:tcPr>
          <w:p>
            <w:pPr>
              <w:spacing w:after="0" w:line="177" w:lineRule="exact"/>
              <w:rPr>
                <w:rFonts w:ascii="Arial" w:cs="Arial" w:eastAsia="Arial" w:hAnsi="Arial"/>
                <w:sz w:val="18"/>
                <w:szCs w:val="18"/>
                <w:color w:val="auto"/>
                <w:w w:val="93"/>
              </w:rPr>
            </w:pPr>
            <w:r>
              <w:rPr>
                <w:rFonts w:ascii="Arial" w:cs="Arial" w:eastAsia="Arial" w:hAnsi="Arial"/>
                <w:sz w:val="18"/>
                <w:szCs w:val="18"/>
                <w:color w:val="auto"/>
                <w:w w:val="93"/>
              </w:rPr>
              <w:t xml:space="preserve">Filed as </w:t>
            </w:r>
            <w:hyperlink r:id="rId210">
              <w:r>
                <w:rPr>
                  <w:rFonts w:ascii="Arial" w:cs="Arial" w:eastAsia="Arial" w:hAnsi="Arial"/>
                  <w:sz w:val="18"/>
                  <w:szCs w:val="18"/>
                  <w:b w:val="1"/>
                  <w:bCs w:val="1"/>
                  <w:color w:val="0000FF"/>
                  <w:w w:val="93"/>
                </w:rPr>
                <w:t>Exhibit 10.1 to the Company’s report on Form 8-</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5" w:lineRule="exact"/>
              <w:rPr>
                <w:sz w:val="20"/>
                <w:szCs w:val="20"/>
                <w:color w:val="auto"/>
              </w:rPr>
            </w:pPr>
            <w:r>
              <w:rPr>
                <w:rFonts w:ascii="Arial" w:cs="Arial" w:eastAsia="Arial" w:hAnsi="Arial"/>
                <w:sz w:val="18"/>
                <w:szCs w:val="18"/>
                <w:color w:val="auto"/>
                <w:w w:val="93"/>
              </w:rPr>
              <w:t>and Restated Credit Agreement, dated November 29,</w:t>
            </w:r>
          </w:p>
        </w:tc>
        <w:tc>
          <w:tcPr>
            <w:tcW w:w="620" w:type="dxa"/>
            <w:vAlign w:val="bottom"/>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4400" w:type="dxa"/>
            <w:vAlign w:val="bottom"/>
            <w:gridSpan w:val="22"/>
          </w:tcPr>
          <w:p>
            <w:pPr>
              <w:spacing w:after="0" w:line="175" w:lineRule="exact"/>
              <w:rPr>
                <w:rFonts w:ascii="Arial" w:cs="Arial" w:eastAsia="Arial" w:hAnsi="Arial"/>
                <w:sz w:val="18"/>
                <w:szCs w:val="18"/>
                <w:b w:val="1"/>
                <w:bCs w:val="1"/>
                <w:color w:val="0000FF"/>
              </w:rPr>
            </w:pPr>
            <w:hyperlink r:id="rId210">
              <w:r>
                <w:rPr>
                  <w:rFonts w:ascii="Arial" w:cs="Arial" w:eastAsia="Arial" w:hAnsi="Arial"/>
                  <w:sz w:val="18"/>
                  <w:szCs w:val="18"/>
                  <w:b w:val="1"/>
                  <w:bCs w:val="1"/>
                  <w:color w:val="0000FF"/>
                </w:rPr>
                <w:t>K (file no. 1-8625), filed on December 16, 2022</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p>
        </w:tc>
        <w:tc>
          <w:tcPr>
            <w:tcW w:w="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20" w:type="dxa"/>
            <w:vAlign w:val="bottom"/>
            <w:gridSpan w:val="8"/>
          </w:tcPr>
          <w:p>
            <w:pPr>
              <w:spacing w:after="0" w:line="189" w:lineRule="exact"/>
              <w:rPr>
                <w:sz w:val="20"/>
                <w:szCs w:val="20"/>
                <w:color w:val="auto"/>
              </w:rPr>
            </w:pPr>
            <w:r>
              <w:rPr>
                <w:rFonts w:ascii="Arial" w:cs="Arial" w:eastAsia="Arial" w:hAnsi="Arial"/>
                <w:sz w:val="18"/>
                <w:szCs w:val="18"/>
                <w:color w:val="auto"/>
                <w:w w:val="97"/>
              </w:rPr>
              <w:t>2022, between Consolidated Amusement Holdings,</w:t>
            </w:r>
          </w:p>
        </w:tc>
        <w:tc>
          <w:tcPr>
            <w:tcW w:w="3540" w:type="dxa"/>
            <w:vAlign w:val="bottom"/>
            <w:tcBorders>
              <w:top w:val="single" w:sz="8" w:color="0000FF"/>
            </w:tcBorders>
            <w:gridSpan w:val="9"/>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020" w:type="dxa"/>
            <w:vAlign w:val="bottom"/>
            <w:gridSpan w:val="8"/>
          </w:tcPr>
          <w:p>
            <w:pPr>
              <w:spacing w:after="0" w:line="197" w:lineRule="exact"/>
              <w:rPr>
                <w:sz w:val="20"/>
                <w:szCs w:val="20"/>
                <w:color w:val="auto"/>
              </w:rPr>
            </w:pPr>
            <w:r>
              <w:rPr>
                <w:rFonts w:ascii="Arial" w:cs="Arial" w:eastAsia="Arial" w:hAnsi="Arial"/>
                <w:sz w:val="18"/>
                <w:szCs w:val="18"/>
                <w:color w:val="auto"/>
              </w:rPr>
              <w:t>LLC, and Bank of America, N.A.</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0"/>
              </w:rPr>
              <w:t>10.39†</w:t>
            </w:r>
          </w:p>
        </w:tc>
        <w:tc>
          <w:tcPr>
            <w:tcW w:w="4020" w:type="dxa"/>
            <w:vAlign w:val="bottom"/>
            <w:gridSpan w:val="8"/>
            <w:shd w:val="clear" w:color="auto" w:fill="CCEEFF"/>
          </w:tcPr>
          <w:p>
            <w:pPr>
              <w:spacing w:after="0" w:line="177" w:lineRule="exact"/>
              <w:rPr>
                <w:sz w:val="20"/>
                <w:szCs w:val="20"/>
                <w:color w:val="auto"/>
              </w:rPr>
            </w:pPr>
            <w:r>
              <w:rPr>
                <w:rFonts w:ascii="Arial" w:cs="Arial" w:eastAsia="Arial" w:hAnsi="Arial"/>
                <w:sz w:val="18"/>
                <w:szCs w:val="18"/>
                <w:color w:val="auto"/>
                <w:w w:val="91"/>
              </w:rPr>
              <w:t>Waiver and Fifth Amendment to Second Amended and</w:t>
            </w:r>
          </w:p>
        </w:tc>
        <w:tc>
          <w:tcPr>
            <w:tcW w:w="4500" w:type="dxa"/>
            <w:vAlign w:val="bottom"/>
            <w:gridSpan w:val="25"/>
            <w:shd w:val="clear" w:color="auto" w:fill="CCEEFF"/>
          </w:tcPr>
          <w:p>
            <w:pPr>
              <w:spacing w:after="0" w:line="177" w:lineRule="exact"/>
              <w:rPr>
                <w:rFonts w:ascii="Arial" w:cs="Arial" w:eastAsia="Arial" w:hAnsi="Arial"/>
                <w:sz w:val="18"/>
                <w:szCs w:val="18"/>
                <w:color w:val="auto"/>
                <w:w w:val="96"/>
              </w:rPr>
            </w:pPr>
            <w:r>
              <w:rPr>
                <w:rFonts w:ascii="Arial" w:cs="Arial" w:eastAsia="Arial" w:hAnsi="Arial"/>
                <w:sz w:val="18"/>
                <w:szCs w:val="18"/>
                <w:color w:val="auto"/>
                <w:w w:val="96"/>
              </w:rPr>
              <w:t xml:space="preserve">Filed as </w:t>
            </w:r>
            <w:hyperlink r:id="rId211">
              <w:r>
                <w:rPr>
                  <w:rFonts w:ascii="Arial" w:cs="Arial" w:eastAsia="Arial" w:hAnsi="Arial"/>
                  <w:sz w:val="18"/>
                  <w:szCs w:val="18"/>
                  <w:b w:val="1"/>
                  <w:bCs w:val="1"/>
                  <w:color w:val="0000FF"/>
                  <w:w w:val="96"/>
                </w:rPr>
                <w:t>Exhibit 10.1 to the Company’s Quarterly report</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4020" w:type="dxa"/>
            <w:vAlign w:val="bottom"/>
            <w:gridSpan w:val="8"/>
            <w:vMerge w:val="restart"/>
            <w:shd w:val="clear" w:color="auto" w:fill="CCEEFF"/>
          </w:tcPr>
          <w:p>
            <w:pPr>
              <w:spacing w:after="0" w:line="195" w:lineRule="exact"/>
              <w:rPr>
                <w:sz w:val="20"/>
                <w:szCs w:val="20"/>
                <w:color w:val="auto"/>
              </w:rPr>
            </w:pPr>
            <w:r>
              <w:rPr>
                <w:rFonts w:ascii="Arial" w:cs="Arial" w:eastAsia="Arial" w:hAnsi="Arial"/>
                <w:sz w:val="18"/>
                <w:szCs w:val="18"/>
                <w:color w:val="auto"/>
                <w:w w:val="97"/>
              </w:rPr>
              <w:t>Restated Credit Agreement, dated March 30, 2023,</w:t>
            </w:r>
          </w:p>
        </w:tc>
        <w:tc>
          <w:tcPr>
            <w:tcW w:w="620" w:type="dxa"/>
            <w:vAlign w:val="bottom"/>
            <w:vMerge w:val="restart"/>
            <w:shd w:val="clear" w:color="auto" w:fill="CCEEFF"/>
          </w:tcPr>
          <w:p>
            <w:pPr>
              <w:spacing w:after="0" w:line="195" w:lineRule="exact"/>
              <w:rPr>
                <w:rFonts w:ascii="Arial" w:cs="Arial" w:eastAsia="Arial" w:hAnsi="Arial"/>
                <w:sz w:val="18"/>
                <w:szCs w:val="18"/>
                <w:b w:val="1"/>
                <w:bCs w:val="1"/>
                <w:color w:val="0000FF"/>
                <w:w w:val="80"/>
              </w:rPr>
            </w:pPr>
            <w:hyperlink r:id="rId211">
              <w:r>
                <w:rPr>
                  <w:rFonts w:ascii="Arial" w:cs="Arial" w:eastAsia="Arial" w:hAnsi="Arial"/>
                  <w:sz w:val="18"/>
                  <w:szCs w:val="18"/>
                  <w:b w:val="1"/>
                  <w:bCs w:val="1"/>
                  <w:color w:val="0000FF"/>
                  <w:w w:val="80"/>
                </w:rPr>
                <w:t>on Form</w:t>
              </w:r>
            </w:hyperlink>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CCEEFF"/>
            </w:tcBorders>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0" w:type="dxa"/>
            <w:vAlign w:val="bottom"/>
            <w:shd w:val="clear" w:color="auto" w:fill="CCEEFF"/>
          </w:tcPr>
          <w:p>
            <w:pPr>
              <w:spacing w:after="0"/>
              <w:rPr>
                <w:sz w:val="15"/>
                <w:szCs w:val="15"/>
                <w:color w:val="auto"/>
              </w:rPr>
            </w:pPr>
          </w:p>
        </w:tc>
        <w:tc>
          <w:tcPr>
            <w:tcW w:w="4020" w:type="dxa"/>
            <w:vAlign w:val="bottom"/>
            <w:gridSpan w:val="8"/>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760" w:type="dxa"/>
            <w:vAlign w:val="bottom"/>
            <w:gridSpan w:val="22"/>
            <w:shd w:val="clear" w:color="auto" w:fill="CCEEFF"/>
          </w:tcPr>
          <w:p>
            <w:pPr>
              <w:spacing w:after="0" w:line="175" w:lineRule="exact"/>
              <w:rPr>
                <w:rFonts w:ascii="Arial" w:cs="Arial" w:eastAsia="Arial" w:hAnsi="Arial"/>
                <w:sz w:val="18"/>
                <w:szCs w:val="18"/>
                <w:b w:val="1"/>
                <w:bCs w:val="1"/>
                <w:color w:val="0000FF"/>
                <w:w w:val="92"/>
              </w:rPr>
            </w:pPr>
            <w:hyperlink r:id="rId211">
              <w:r>
                <w:rPr>
                  <w:rFonts w:ascii="Arial" w:cs="Arial" w:eastAsia="Arial" w:hAnsi="Arial"/>
                  <w:sz w:val="18"/>
                  <w:szCs w:val="18"/>
                  <w:b w:val="1"/>
                  <w:bCs w:val="1"/>
                  <w:color w:val="0000FF"/>
                  <w:w w:val="92"/>
                </w:rPr>
                <w:t>10-Q for the Quarter ended March 31, 2023</w:t>
              </w:r>
            </w:hyperlink>
            <w:r>
              <w:rPr>
                <w:rFonts w:ascii="Arial" w:cs="Arial" w:eastAsia="Arial" w:hAnsi="Arial"/>
                <w:sz w:val="18"/>
                <w:szCs w:val="18"/>
                <w:color w:val="000000"/>
                <w:w w:val="92"/>
              </w:rPr>
              <w:t>,</w:t>
            </w:r>
            <w:r>
              <w:rPr>
                <w:rFonts w:ascii="Arial" w:cs="Arial" w:eastAsia="Arial" w:hAnsi="Arial"/>
                <w:sz w:val="18"/>
                <w:szCs w:val="18"/>
                <w:b w:val="1"/>
                <w:bCs w:val="1"/>
                <w:color w:val="0000FF"/>
                <w:w w:val="92"/>
              </w:rPr>
              <w:t xml:space="preserve"> </w:t>
            </w:r>
            <w:r>
              <w:rPr>
                <w:rFonts w:ascii="Arial" w:cs="Arial" w:eastAsia="Arial" w:hAnsi="Arial"/>
                <w:sz w:val="18"/>
                <w:szCs w:val="18"/>
                <w:color w:val="000000"/>
                <w:w w:val="92"/>
              </w:rPr>
              <w:t>and</w:t>
            </w:r>
          </w:p>
        </w:tc>
        <w:tc>
          <w:tcPr>
            <w:tcW w:w="0" w:type="dxa"/>
            <w:vAlign w:val="bottom"/>
          </w:tcPr>
          <w:p>
            <w:pPr>
              <w:spacing w:after="0"/>
              <w:rPr>
                <w:sz w:val="1"/>
                <w:szCs w:val="1"/>
                <w:color w:val="auto"/>
              </w:rPr>
            </w:pPr>
          </w:p>
        </w:tc>
      </w:tr>
      <w:tr>
        <w:trPr>
          <w:trHeight w:val="189"/>
        </w:trPr>
        <w:tc>
          <w:tcPr>
            <w:tcW w:w="88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color w:val="auto"/>
                <w:w w:val="91"/>
              </w:rPr>
              <w:t>between Consolidated Amusement Holdings, LLC, and</w:t>
            </w:r>
          </w:p>
        </w:tc>
        <w:tc>
          <w:tcPr>
            <w:tcW w:w="4060" w:type="dxa"/>
            <w:vAlign w:val="bottom"/>
            <w:tcBorders>
              <w:top w:val="single" w:sz="8" w:color="0000FF"/>
            </w:tcBorders>
            <w:gridSpan w:val="17"/>
            <w:shd w:val="clear" w:color="auto" w:fill="CCEEFF"/>
          </w:tcPr>
          <w:p>
            <w:pPr>
              <w:spacing w:after="0" w:line="189" w:lineRule="exact"/>
              <w:rPr>
                <w:sz w:val="20"/>
                <w:szCs w:val="20"/>
                <w:color w:val="auto"/>
              </w:rPr>
            </w:pPr>
            <w:r>
              <w:rPr>
                <w:rFonts w:ascii="Arial" w:cs="Arial" w:eastAsia="Arial" w:hAnsi="Arial"/>
                <w:sz w:val="18"/>
                <w:szCs w:val="18"/>
                <w:color w:val="auto"/>
              </w:rPr>
              <w:t>incorporated herein by reference.</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left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shd w:val="clear" w:color="auto" w:fill="CCEEFF"/>
          </w:tcPr>
          <w:p>
            <w:pPr>
              <w:spacing w:after="0"/>
              <w:rPr>
                <w:sz w:val="17"/>
                <w:szCs w:val="17"/>
                <w:color w:val="auto"/>
              </w:rPr>
            </w:pPr>
          </w:p>
        </w:tc>
        <w:tc>
          <w:tcPr>
            <w:tcW w:w="4020" w:type="dxa"/>
            <w:vAlign w:val="bottom"/>
            <w:gridSpan w:val="8"/>
            <w:shd w:val="clear" w:color="auto" w:fill="CCEEFF"/>
          </w:tcPr>
          <w:p>
            <w:pPr>
              <w:spacing w:after="0" w:line="197" w:lineRule="exact"/>
              <w:rPr>
                <w:sz w:val="20"/>
                <w:szCs w:val="20"/>
                <w:color w:val="auto"/>
              </w:rPr>
            </w:pPr>
            <w:r>
              <w:rPr>
                <w:rFonts w:ascii="Arial" w:cs="Arial" w:eastAsia="Arial" w:hAnsi="Arial"/>
                <w:sz w:val="18"/>
                <w:szCs w:val="18"/>
                <w:color w:val="auto"/>
              </w:rPr>
              <w:t>Bank of America, N.A.</w:t>
            </w:r>
          </w:p>
        </w:tc>
        <w:tc>
          <w:tcPr>
            <w:tcW w:w="6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spacing w:after="0" w:line="192" w:lineRule="exact"/>
              <w:rPr>
                <w:sz w:val="20"/>
                <w:szCs w:val="20"/>
                <w:color w:val="auto"/>
              </w:rPr>
            </w:pPr>
            <w:r>
              <w:rPr>
                <w:rFonts w:ascii="Arial" w:cs="Arial" w:eastAsia="Arial" w:hAnsi="Arial"/>
                <w:sz w:val="18"/>
                <w:szCs w:val="18"/>
                <w:color w:val="auto"/>
                <w:w w:val="90"/>
              </w:rPr>
              <w:t>10.40†</w:t>
            </w:r>
          </w:p>
        </w:tc>
        <w:tc>
          <w:tcPr>
            <w:tcW w:w="4020" w:type="dxa"/>
            <w:vAlign w:val="bottom"/>
            <w:gridSpan w:val="8"/>
          </w:tcPr>
          <w:p>
            <w:pPr>
              <w:spacing w:after="0" w:line="192" w:lineRule="exact"/>
              <w:rPr>
                <w:sz w:val="20"/>
                <w:szCs w:val="20"/>
                <w:color w:val="auto"/>
              </w:rPr>
            </w:pPr>
            <w:r>
              <w:rPr>
                <w:rFonts w:ascii="Arial" w:cs="Arial" w:eastAsia="Arial" w:hAnsi="Arial"/>
                <w:sz w:val="18"/>
                <w:szCs w:val="18"/>
                <w:color w:val="auto"/>
                <w:w w:val="90"/>
              </w:rPr>
              <w:t>Waiver and Sixth Amendment to Second Amended and</w:t>
            </w:r>
          </w:p>
        </w:tc>
        <w:tc>
          <w:tcPr>
            <w:tcW w:w="4500" w:type="dxa"/>
            <w:vAlign w:val="bottom"/>
            <w:gridSpan w:val="25"/>
          </w:tcPr>
          <w:p>
            <w:pPr>
              <w:spacing w:after="0" w:line="192" w:lineRule="exact"/>
              <w:rPr>
                <w:rFonts w:ascii="Arial" w:cs="Arial" w:eastAsia="Arial" w:hAnsi="Arial"/>
                <w:sz w:val="18"/>
                <w:szCs w:val="18"/>
                <w:color w:val="auto"/>
                <w:w w:val="96"/>
              </w:rPr>
            </w:pPr>
            <w:r>
              <w:rPr>
                <w:rFonts w:ascii="Arial" w:cs="Arial" w:eastAsia="Arial" w:hAnsi="Arial"/>
                <w:sz w:val="18"/>
                <w:szCs w:val="18"/>
                <w:color w:val="auto"/>
                <w:w w:val="96"/>
              </w:rPr>
              <w:t xml:space="preserve">Filed as </w:t>
            </w:r>
            <w:hyperlink r:id="rId212">
              <w:r>
                <w:rPr>
                  <w:rFonts w:ascii="Arial" w:cs="Arial" w:eastAsia="Arial" w:hAnsi="Arial"/>
                  <w:sz w:val="18"/>
                  <w:szCs w:val="18"/>
                  <w:b w:val="1"/>
                  <w:bCs w:val="1"/>
                  <w:color w:val="0000FF"/>
                  <w:w w:val="96"/>
                </w:rPr>
                <w:t>Exhibit 10.1 to the Company’s Quarterly report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7"/>
              </w:rPr>
              <w:t>Restated Credit Agreement, dated March 27, 2024,</w:t>
            </w:r>
          </w:p>
        </w:tc>
        <w:tc>
          <w:tcPr>
            <w:tcW w:w="620" w:type="dxa"/>
            <w:vAlign w:val="bottom"/>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0" w:type="dxa"/>
            <w:vAlign w:val="bottom"/>
          </w:tcPr>
          <w:p>
            <w:pPr>
              <w:spacing w:after="0"/>
              <w:rPr>
                <w:sz w:val="19"/>
                <w:szCs w:val="19"/>
                <w:color w:val="auto"/>
              </w:rPr>
            </w:pPr>
          </w:p>
        </w:tc>
        <w:tc>
          <w:tcPr>
            <w:tcW w:w="4020" w:type="dxa"/>
            <w:vAlign w:val="bottom"/>
            <w:gridSpan w:val="8"/>
            <w:vMerge w:val="continue"/>
          </w:tcPr>
          <w:p>
            <w:pPr>
              <w:spacing w:after="0"/>
              <w:rPr>
                <w:sz w:val="19"/>
                <w:szCs w:val="19"/>
                <w:color w:val="auto"/>
              </w:rPr>
            </w:pPr>
          </w:p>
        </w:tc>
        <w:tc>
          <w:tcPr>
            <w:tcW w:w="4500" w:type="dxa"/>
            <w:vAlign w:val="bottom"/>
            <w:gridSpan w:val="25"/>
          </w:tcPr>
          <w:p>
            <w:pPr>
              <w:spacing w:after="0" w:line="186" w:lineRule="exact"/>
              <w:rPr>
                <w:rFonts w:ascii="Arial" w:cs="Arial" w:eastAsia="Arial" w:hAnsi="Arial"/>
                <w:sz w:val="18"/>
                <w:szCs w:val="18"/>
                <w:b w:val="1"/>
                <w:bCs w:val="1"/>
                <w:color w:val="0000FF"/>
                <w:w w:val="93"/>
              </w:rPr>
            </w:pPr>
            <w:hyperlink r:id="rId212">
              <w:r>
                <w:rPr>
                  <w:rFonts w:ascii="Arial" w:cs="Arial" w:eastAsia="Arial" w:hAnsi="Arial"/>
                  <w:sz w:val="18"/>
                  <w:szCs w:val="18"/>
                  <w:b w:val="1"/>
                  <w:bCs w:val="1"/>
                  <w:color w:val="0000FF"/>
                  <w:w w:val="93"/>
                </w:rPr>
                <w:t>on Form 10-Q for the Quarter ended March 31, 202</w:t>
              </w:r>
              <w:r>
                <w:rPr>
                  <w:rFonts w:ascii="Arial" w:cs="Arial" w:eastAsia="Arial" w:hAnsi="Arial"/>
                  <w:sz w:val="19"/>
                  <w:szCs w:val="19"/>
                  <w:color w:val="0000FF"/>
                  <w:w w:val="93"/>
                </w:rPr>
                <w:t>4</w:t>
              </w:r>
            </w:hyperlink>
            <w:r>
              <w:rPr>
                <w:rFonts w:ascii="Arial" w:cs="Arial" w:eastAsia="Arial" w:hAnsi="Arial"/>
                <w:sz w:val="18"/>
                <w:szCs w:val="18"/>
                <w:color w:val="000000"/>
                <w:w w:val="93"/>
              </w:rPr>
              <w:t>,</w:t>
            </w:r>
            <w:r>
              <w:rPr>
                <w:rFonts w:ascii="Arial" w:cs="Arial" w:eastAsia="Arial" w:hAnsi="Arial"/>
                <w:sz w:val="18"/>
                <w:szCs w:val="18"/>
                <w:b w:val="1"/>
                <w:bCs w:val="1"/>
                <w:color w:val="0000FF"/>
                <w:w w:val="93"/>
              </w:rPr>
              <w:t xml:space="preserve"> </w:t>
            </w:r>
            <w:r>
              <w:rPr>
                <w:rFonts w:ascii="Arial" w:cs="Arial" w:eastAsia="Arial" w:hAnsi="Arial"/>
                <w:sz w:val="18"/>
                <w:szCs w:val="18"/>
                <w:color w:val="000000"/>
                <w:w w:val="93"/>
              </w:rPr>
              <w:t>and</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4020" w:type="dxa"/>
            <w:vAlign w:val="bottom"/>
            <w:gridSpan w:val="8"/>
          </w:tcPr>
          <w:p>
            <w:pPr>
              <w:spacing w:after="0" w:line="137" w:lineRule="exact"/>
              <w:rPr>
                <w:sz w:val="20"/>
                <w:szCs w:val="20"/>
                <w:color w:val="auto"/>
              </w:rPr>
            </w:pPr>
            <w:r>
              <w:rPr>
                <w:rFonts w:ascii="Arial" w:cs="Arial" w:eastAsia="Arial" w:hAnsi="Arial"/>
                <w:sz w:val="15"/>
                <w:szCs w:val="15"/>
                <w:color w:val="auto"/>
              </w:rPr>
              <w:t>between Consolidated Amusement Holdings, LLC, and</w:t>
            </w:r>
          </w:p>
        </w:tc>
        <w:tc>
          <w:tcPr>
            <w:tcW w:w="3980" w:type="dxa"/>
            <w:vAlign w:val="bottom"/>
            <w:tcBorders>
              <w:top w:val="single" w:sz="8" w:color="0000FF"/>
            </w:tcBorders>
            <w:gridSpan w:val="15"/>
          </w:tcPr>
          <w:p>
            <w:pPr>
              <w:spacing w:after="0" w:line="161" w:lineRule="exact"/>
              <w:rPr>
                <w:sz w:val="20"/>
                <w:szCs w:val="20"/>
                <w:color w:val="auto"/>
              </w:rPr>
            </w:pPr>
            <w:r>
              <w:rPr>
                <w:rFonts w:ascii="Arial" w:cs="Arial" w:eastAsia="Arial" w:hAnsi="Arial"/>
                <w:sz w:val="18"/>
                <w:szCs w:val="18"/>
                <w:color w:val="auto"/>
              </w:rPr>
              <w:t>incorporated herein by reference.</w:t>
            </w: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 w:type="dxa"/>
            <w:vAlign w:val="bottom"/>
            <w:tcBorders>
              <w:bottom w:val="single" w:sz="8" w:color="CCEEFF"/>
            </w:tcBorders>
          </w:tcPr>
          <w:p>
            <w:pPr>
              <w:spacing w:after="0"/>
              <w:rPr>
                <w:sz w:val="13"/>
                <w:szCs w:val="13"/>
                <w:color w:val="auto"/>
              </w:rPr>
            </w:pPr>
          </w:p>
        </w:tc>
        <w:tc>
          <w:tcPr>
            <w:tcW w:w="4020" w:type="dxa"/>
            <w:vAlign w:val="bottom"/>
            <w:tcBorders>
              <w:bottom w:val="single" w:sz="8" w:color="CCEEFF"/>
            </w:tcBorders>
            <w:gridSpan w:val="8"/>
          </w:tcPr>
          <w:p>
            <w:pPr>
              <w:spacing w:after="0" w:line="157" w:lineRule="exact"/>
              <w:rPr>
                <w:sz w:val="20"/>
                <w:szCs w:val="20"/>
                <w:color w:val="auto"/>
              </w:rPr>
            </w:pPr>
            <w:r>
              <w:rPr>
                <w:rFonts w:ascii="Arial" w:cs="Arial" w:eastAsia="Arial" w:hAnsi="Arial"/>
                <w:sz w:val="18"/>
                <w:szCs w:val="18"/>
                <w:color w:val="auto"/>
              </w:rPr>
              <w:t>Bank of America, N.A.</w:t>
            </w:r>
          </w:p>
        </w:tc>
        <w:tc>
          <w:tcPr>
            <w:tcW w:w="6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CCEEFF"/>
            </w:tcBorders>
            <w:shd w:val="clear" w:color="auto" w:fill="CCEEFF"/>
          </w:tcPr>
          <w:p>
            <w:pPr>
              <w:jc w:val="center"/>
              <w:spacing w:after="0" w:line="157" w:lineRule="exact"/>
              <w:rPr>
                <w:sz w:val="20"/>
                <w:szCs w:val="20"/>
                <w:color w:val="auto"/>
              </w:rPr>
            </w:pPr>
            <w:r>
              <w:rPr>
                <w:rFonts w:ascii="Arial" w:cs="Arial" w:eastAsia="Arial" w:hAnsi="Arial"/>
                <w:sz w:val="18"/>
                <w:szCs w:val="18"/>
                <w:color w:val="auto"/>
                <w:w w:val="93"/>
              </w:rPr>
              <w:t>10.41</w:t>
            </w:r>
          </w:p>
        </w:tc>
        <w:tc>
          <w:tcPr>
            <w:tcW w:w="4020" w:type="dxa"/>
            <w:vAlign w:val="bottom"/>
            <w:tcBorders>
              <w:bottom w:val="single" w:sz="8" w:color="CCEEFF"/>
            </w:tcBorders>
            <w:gridSpan w:val="8"/>
            <w:shd w:val="clear" w:color="auto" w:fill="CCEEFF"/>
          </w:tcPr>
          <w:p>
            <w:pPr>
              <w:spacing w:after="0" w:line="157" w:lineRule="exact"/>
              <w:rPr>
                <w:sz w:val="20"/>
                <w:szCs w:val="20"/>
                <w:color w:val="auto"/>
              </w:rPr>
            </w:pPr>
            <w:r>
              <w:rPr>
                <w:rFonts w:ascii="Arial" w:cs="Arial" w:eastAsia="Arial" w:hAnsi="Arial"/>
                <w:sz w:val="18"/>
                <w:szCs w:val="18"/>
                <w:color w:val="auto"/>
                <w:w w:val="92"/>
              </w:rPr>
              <w:t>Waiver and Seventh Amendment to Second Amended</w:t>
            </w:r>
          </w:p>
        </w:tc>
        <w:tc>
          <w:tcPr>
            <w:tcW w:w="620" w:type="dxa"/>
            <w:vAlign w:val="bottom"/>
            <w:tcBorders>
              <w:bottom w:val="single" w:sz="8" w:color="CCEEFF"/>
            </w:tcBorders>
          </w:tcPr>
          <w:p>
            <w:pPr>
              <w:spacing w:after="0" w:line="157" w:lineRule="exact"/>
              <w:rPr>
                <w:sz w:val="20"/>
                <w:szCs w:val="20"/>
                <w:color w:val="auto"/>
              </w:rPr>
            </w:pPr>
            <w:r>
              <w:rPr>
                <w:rFonts w:ascii="Arial" w:cs="Arial" w:eastAsia="Arial" w:hAnsi="Arial"/>
                <w:sz w:val="18"/>
                <w:szCs w:val="18"/>
                <w:color w:val="auto"/>
                <w:highlight w:val="white"/>
                <w:w w:val="91"/>
              </w:rPr>
              <w:t>Filed as</w:t>
            </w:r>
          </w:p>
        </w:tc>
        <w:tc>
          <w:tcPr>
            <w:tcW w:w="40" w:type="dxa"/>
            <w:vAlign w:val="bottom"/>
            <w:tcBorders>
              <w:bottom w:val="single" w:sz="8" w:color="CCEEFF"/>
            </w:tcBorders>
            <w:shd w:val="clear" w:color="auto" w:fill="CCEEFF"/>
          </w:tcPr>
          <w:p>
            <w:pPr>
              <w:spacing w:after="0"/>
              <w:rPr>
                <w:sz w:val="15"/>
                <w:szCs w:val="15"/>
                <w:color w:val="auto"/>
              </w:rPr>
            </w:pPr>
          </w:p>
        </w:tc>
        <w:tc>
          <w:tcPr>
            <w:tcW w:w="3700" w:type="dxa"/>
            <w:vAlign w:val="bottom"/>
            <w:tcBorders>
              <w:bottom w:val="single" w:sz="8" w:color="0000FF"/>
            </w:tcBorders>
            <w:gridSpan w:val="19"/>
          </w:tcPr>
          <w:p>
            <w:pPr>
              <w:spacing w:after="0" w:line="157" w:lineRule="exact"/>
              <w:rPr>
                <w:rFonts w:ascii="Arial" w:cs="Arial" w:eastAsia="Arial" w:hAnsi="Arial"/>
                <w:sz w:val="18"/>
                <w:szCs w:val="18"/>
                <w:b w:val="1"/>
                <w:bCs w:val="1"/>
                <w:color w:val="0000FF"/>
                <w:highlight w:val="white"/>
                <w:w w:val="90"/>
              </w:rPr>
            </w:pPr>
            <w:hyperlink r:id="rId213">
              <w:r>
                <w:rPr>
                  <w:rFonts w:ascii="Arial" w:cs="Arial" w:eastAsia="Arial" w:hAnsi="Arial"/>
                  <w:sz w:val="18"/>
                  <w:szCs w:val="18"/>
                  <w:b w:val="1"/>
                  <w:bCs w:val="1"/>
                  <w:color w:val="0000FF"/>
                  <w:highlight w:val="white"/>
                  <w:w w:val="90"/>
                </w:rPr>
                <w:t>Exhibit 10.36 to the Company’s Report on Form</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4020" w:type="dxa"/>
            <w:vAlign w:val="bottom"/>
            <w:tcBorders>
              <w:top w:val="single" w:sz="8" w:color="CCEEFF"/>
              <w:bottom w:val="single" w:sz="8" w:color="CCEEFF"/>
            </w:tcBorders>
            <w:gridSpan w:val="8"/>
            <w:shd w:val="clear" w:color="auto" w:fill="CCEEFF"/>
          </w:tcPr>
          <w:p>
            <w:pPr>
              <w:spacing w:after="0" w:line="154" w:lineRule="exact"/>
              <w:rPr>
                <w:sz w:val="20"/>
                <w:szCs w:val="20"/>
                <w:color w:val="auto"/>
              </w:rPr>
            </w:pPr>
            <w:r>
              <w:rPr>
                <w:rFonts w:ascii="Arial" w:cs="Arial" w:eastAsia="Arial" w:hAnsi="Arial"/>
                <w:sz w:val="17"/>
                <w:szCs w:val="17"/>
                <w:color w:val="auto"/>
                <w:w w:val="94"/>
              </w:rPr>
              <w:t>and Restated Credit Agreement, dated October 3, 2024,</w:t>
            </w:r>
          </w:p>
        </w:tc>
        <w:tc>
          <w:tcPr>
            <w:tcW w:w="660" w:type="dxa"/>
            <w:vAlign w:val="bottom"/>
            <w:tcBorders>
              <w:top w:val="single" w:sz="8" w:color="CCEEFF"/>
              <w:bottom w:val="single" w:sz="8" w:color="0000FF"/>
            </w:tcBorders>
            <w:gridSpan w:val="2"/>
          </w:tcPr>
          <w:p>
            <w:pPr>
              <w:spacing w:after="0" w:line="154" w:lineRule="exact"/>
              <w:rPr>
                <w:rFonts w:ascii="Arial" w:cs="Arial" w:eastAsia="Arial" w:hAnsi="Arial"/>
                <w:sz w:val="17"/>
                <w:szCs w:val="17"/>
                <w:b w:val="1"/>
                <w:bCs w:val="1"/>
                <w:color w:val="0000FF"/>
                <w:highlight w:val="white"/>
                <w:w w:val="99"/>
              </w:rPr>
            </w:pPr>
            <w:hyperlink r:id="rId213">
              <w:r>
                <w:rPr>
                  <w:rFonts w:ascii="Arial" w:cs="Arial" w:eastAsia="Arial" w:hAnsi="Arial"/>
                  <w:sz w:val="17"/>
                  <w:szCs w:val="17"/>
                  <w:b w:val="1"/>
                  <w:bCs w:val="1"/>
                  <w:color w:val="0000FF"/>
                  <w:highlight w:val="white"/>
                  <w:w w:val="99"/>
                </w:rPr>
                <w:t>10-K for</w:t>
              </w:r>
            </w:hyperlink>
          </w:p>
        </w:tc>
        <w:tc>
          <w:tcPr>
            <w:tcW w:w="80" w:type="dxa"/>
            <w:vAlign w:val="bottom"/>
            <w:tcBorders>
              <w:top w:val="single" w:sz="8" w:color="CCEEFF"/>
              <w:bottom w:val="single" w:sz="8" w:color="0000FF"/>
            </w:tcBorders>
          </w:tcPr>
          <w:p>
            <w:pPr>
              <w:spacing w:after="0"/>
              <w:rPr>
                <w:sz w:val="15"/>
                <w:szCs w:val="15"/>
                <w:color w:val="auto"/>
              </w:rPr>
            </w:pPr>
          </w:p>
        </w:tc>
        <w:tc>
          <w:tcPr>
            <w:tcW w:w="2580" w:type="dxa"/>
            <w:vAlign w:val="bottom"/>
            <w:tcBorders>
              <w:top w:val="single" w:sz="8" w:color="CCEEFF"/>
              <w:bottom w:val="single" w:sz="8" w:color="0000FF"/>
            </w:tcBorders>
            <w:gridSpan w:val="3"/>
          </w:tcPr>
          <w:p>
            <w:pPr>
              <w:spacing w:after="0" w:line="154" w:lineRule="exact"/>
              <w:rPr>
                <w:rFonts w:ascii="Arial" w:cs="Arial" w:eastAsia="Arial" w:hAnsi="Arial"/>
                <w:sz w:val="17"/>
                <w:szCs w:val="17"/>
                <w:b w:val="1"/>
                <w:bCs w:val="1"/>
                <w:color w:val="0000FF"/>
                <w:highlight w:val="white"/>
                <w:w w:val="92"/>
              </w:rPr>
            </w:pPr>
            <w:hyperlink r:id="rId213">
              <w:r>
                <w:rPr>
                  <w:rFonts w:ascii="Arial" w:cs="Arial" w:eastAsia="Arial" w:hAnsi="Arial"/>
                  <w:sz w:val="17"/>
                  <w:szCs w:val="17"/>
                  <w:b w:val="1"/>
                  <w:bCs w:val="1"/>
                  <w:color w:val="0000FF"/>
                  <w:highlight w:val="white"/>
                  <w:w w:val="92"/>
                </w:rPr>
                <w:t>the year ended December 31, 2024</w:t>
              </w:r>
            </w:hyperlink>
          </w:p>
        </w:tc>
        <w:tc>
          <w:tcPr>
            <w:tcW w:w="40" w:type="dxa"/>
            <w:vAlign w:val="bottom"/>
            <w:tcBorders>
              <w:top w:val="single" w:sz="8" w:color="CCEEFF"/>
              <w:bottom w:val="single" w:sz="8" w:color="CCEEFF"/>
            </w:tcBorders>
            <w:gridSpan w:val="2"/>
          </w:tcPr>
          <w:p>
            <w:pPr>
              <w:jc w:val="right"/>
              <w:spacing w:after="0"/>
              <w:rPr>
                <w:rFonts w:ascii="Arial" w:cs="Arial" w:eastAsia="Arial" w:hAnsi="Arial"/>
                <w:sz w:val="10"/>
                <w:szCs w:val="10"/>
                <w:u w:val="single" w:color="auto"/>
                <w:color w:val="0000FF"/>
                <w:highlight w:val="white"/>
                <w:w w:val="70"/>
              </w:rPr>
            </w:pPr>
            <w:hyperlink r:id="rId213">
              <w:r>
                <w:rPr>
                  <w:rFonts w:ascii="Arial" w:cs="Arial" w:eastAsia="Arial" w:hAnsi="Arial"/>
                  <w:sz w:val="10"/>
                  <w:szCs w:val="10"/>
                  <w:u w:val="single" w:color="auto"/>
                  <w:color w:val="0000FF"/>
                  <w:highlight w:val="white"/>
                  <w:w w:val="70"/>
                </w:rPr>
                <w:t>,</w:t>
              </w:r>
            </w:hyperlink>
          </w:p>
        </w:tc>
        <w:tc>
          <w:tcPr>
            <w:tcW w:w="360" w:type="dxa"/>
            <w:vAlign w:val="bottom"/>
            <w:tcBorders>
              <w:top w:val="single" w:sz="8" w:color="CCEEFF"/>
              <w:bottom w:val="single" w:sz="8" w:color="CCEEFF"/>
            </w:tcBorders>
            <w:gridSpan w:val="2"/>
          </w:tcPr>
          <w:p>
            <w:pPr>
              <w:ind w:left="60"/>
              <w:spacing w:after="0" w:line="154" w:lineRule="exact"/>
              <w:rPr>
                <w:sz w:val="20"/>
                <w:szCs w:val="20"/>
                <w:color w:val="auto"/>
              </w:rPr>
            </w:pPr>
            <w:r>
              <w:rPr>
                <w:rFonts w:ascii="Arial" w:cs="Arial" w:eastAsia="Arial" w:hAnsi="Arial"/>
                <w:sz w:val="17"/>
                <w:szCs w:val="17"/>
                <w:color w:val="auto"/>
                <w:w w:val="98"/>
              </w:rPr>
              <w:t>and</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gridSpan w:val="3"/>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8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gridSpan w:val="8"/>
            <w:shd w:val="clear" w:color="auto" w:fill="CCEEFF"/>
          </w:tcPr>
          <w:p>
            <w:pPr>
              <w:spacing w:after="0" w:line="164" w:lineRule="exact"/>
              <w:rPr>
                <w:sz w:val="20"/>
                <w:szCs w:val="20"/>
                <w:color w:val="auto"/>
              </w:rPr>
            </w:pPr>
            <w:r>
              <w:rPr>
                <w:rFonts w:ascii="Arial" w:cs="Arial" w:eastAsia="Arial" w:hAnsi="Arial"/>
                <w:sz w:val="18"/>
                <w:szCs w:val="18"/>
                <w:color w:val="auto"/>
                <w:w w:val="91"/>
              </w:rPr>
              <w:t>between Consolidated Amusement Holdings, LLC, and</w:t>
            </w:r>
          </w:p>
        </w:tc>
        <w:tc>
          <w:tcPr>
            <w:tcW w:w="2400" w:type="dxa"/>
            <w:vAlign w:val="bottom"/>
            <w:tcBorders>
              <w:top w:val="single" w:sz="8" w:color="CCEEFF"/>
            </w:tcBorders>
            <w:gridSpan w:val="4"/>
          </w:tcPr>
          <w:p>
            <w:pPr>
              <w:spacing w:after="0" w:line="164" w:lineRule="exact"/>
              <w:rPr>
                <w:sz w:val="20"/>
                <w:szCs w:val="20"/>
                <w:color w:val="auto"/>
              </w:rPr>
            </w:pPr>
            <w:r>
              <w:rPr>
                <w:rFonts w:ascii="Arial" w:cs="Arial" w:eastAsia="Arial" w:hAnsi="Arial"/>
                <w:sz w:val="18"/>
                <w:szCs w:val="18"/>
                <w:color w:val="auto"/>
                <w:highlight w:val="white"/>
                <w:w w:val="88"/>
              </w:rPr>
              <w:t>incorporated herein by reference.</w:t>
            </w:r>
          </w:p>
        </w:tc>
        <w:tc>
          <w:tcPr>
            <w:tcW w:w="92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lef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CCEEFF"/>
          </w:tcPr>
          <w:p>
            <w:pPr>
              <w:spacing w:after="0"/>
              <w:rPr>
                <w:sz w:val="17"/>
                <w:szCs w:val="17"/>
                <w:color w:val="auto"/>
              </w:rPr>
            </w:pPr>
          </w:p>
        </w:tc>
        <w:tc>
          <w:tcPr>
            <w:tcW w:w="402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Bank of America, N.A.</w:t>
            </w:r>
          </w:p>
        </w:tc>
        <w:tc>
          <w:tcPr>
            <w:tcW w:w="6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Arial" w:cs="Arial" w:eastAsia="Arial" w:hAnsi="Arial"/>
                <w:sz w:val="18"/>
                <w:szCs w:val="18"/>
                <w:color w:val="auto"/>
                <w:w w:val="93"/>
              </w:rPr>
              <w:t>10.42</w:t>
            </w:r>
          </w:p>
        </w:tc>
        <w:tc>
          <w:tcPr>
            <w:tcW w:w="4020" w:type="dxa"/>
            <w:vAlign w:val="bottom"/>
            <w:gridSpan w:val="8"/>
          </w:tcPr>
          <w:p>
            <w:pPr>
              <w:spacing w:after="0" w:line="177" w:lineRule="exact"/>
              <w:rPr>
                <w:sz w:val="20"/>
                <w:szCs w:val="20"/>
                <w:color w:val="auto"/>
              </w:rPr>
            </w:pPr>
            <w:r>
              <w:rPr>
                <w:rFonts w:ascii="Arial" w:cs="Arial" w:eastAsia="Arial" w:hAnsi="Arial"/>
                <w:sz w:val="18"/>
                <w:szCs w:val="18"/>
                <w:color w:val="auto"/>
                <w:w w:val="95"/>
              </w:rPr>
              <w:t>Waiver and Eighth Amendment to Second Amended</w:t>
            </w:r>
          </w:p>
        </w:tc>
        <w:tc>
          <w:tcPr>
            <w:tcW w:w="620" w:type="dxa"/>
            <w:vAlign w:val="bottom"/>
            <w:tcBorders>
              <w:bottom w:val="single" w:sz="8" w:color="BCE7FC"/>
            </w:tcBorders>
            <w:shd w:val="clear" w:color="auto" w:fill="BCE7FC"/>
          </w:tcPr>
          <w:p>
            <w:pPr>
              <w:spacing w:after="0" w:line="177" w:lineRule="exact"/>
              <w:rPr>
                <w:sz w:val="20"/>
                <w:szCs w:val="20"/>
                <w:color w:val="auto"/>
              </w:rPr>
            </w:pPr>
            <w:r>
              <w:rPr>
                <w:rFonts w:ascii="Arial" w:cs="Arial" w:eastAsia="Arial" w:hAnsi="Arial"/>
                <w:sz w:val="18"/>
                <w:szCs w:val="18"/>
                <w:color w:val="auto"/>
                <w:w w:val="91"/>
                <w:shd w:val="clear" w:color="auto" w:fill="BCE7FC"/>
              </w:rPr>
              <w:t>Filed as</w:t>
            </w:r>
          </w:p>
        </w:tc>
        <w:tc>
          <w:tcPr>
            <w:tcW w:w="40" w:type="dxa"/>
            <w:vAlign w:val="bottom"/>
            <w:tcBorders>
              <w:left w:val="single" w:sz="8" w:color="BCE7FC"/>
              <w:bottom w:val="single" w:sz="8" w:color="BCE7FC"/>
            </w:tcBorders>
          </w:tcPr>
          <w:p>
            <w:pPr>
              <w:spacing w:after="0"/>
              <w:rPr>
                <w:sz w:val="15"/>
                <w:szCs w:val="15"/>
                <w:color w:val="auto"/>
              </w:rPr>
            </w:pPr>
          </w:p>
        </w:tc>
        <w:tc>
          <w:tcPr>
            <w:tcW w:w="3700" w:type="dxa"/>
            <w:vAlign w:val="bottom"/>
            <w:tcBorders>
              <w:bottom w:val="single" w:sz="8" w:color="0000FF"/>
            </w:tcBorders>
            <w:gridSpan w:val="19"/>
            <w:shd w:val="clear" w:color="auto" w:fill="BCE7FC"/>
          </w:tcPr>
          <w:p>
            <w:pPr>
              <w:spacing w:after="0" w:line="177" w:lineRule="exact"/>
              <w:rPr>
                <w:rFonts w:ascii="Arial" w:cs="Arial" w:eastAsia="Arial" w:hAnsi="Arial"/>
                <w:sz w:val="18"/>
                <w:szCs w:val="18"/>
                <w:b w:val="1"/>
                <w:bCs w:val="1"/>
                <w:color w:val="0000FF"/>
                <w:w w:val="90"/>
                <w:shd w:val="clear" w:color="auto" w:fill="BCE7FC"/>
              </w:rPr>
            </w:pPr>
            <w:hyperlink r:id="rId214">
              <w:r>
                <w:rPr>
                  <w:rFonts w:ascii="Arial" w:cs="Arial" w:eastAsia="Arial" w:hAnsi="Arial"/>
                  <w:sz w:val="18"/>
                  <w:szCs w:val="18"/>
                  <w:b w:val="1"/>
                  <w:bCs w:val="1"/>
                  <w:color w:val="0000FF"/>
                  <w:w w:val="90"/>
                  <w:shd w:val="clear" w:color="auto" w:fill="BCE7FC"/>
                </w:rPr>
                <w:t>Exhibit 10.37 to the Company’s Report on Form</w:t>
              </w:r>
            </w:hyperlink>
          </w:p>
        </w:tc>
        <w:tc>
          <w:tcPr>
            <w:tcW w:w="80" w:type="dxa"/>
            <w:vAlign w:val="bottom"/>
            <w:tcBorders>
              <w:left w:val="single" w:sz="8" w:color="BCE7FC"/>
            </w:tcBorders>
            <w:gridSpan w:val="3"/>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tcPr>
          <w:p>
            <w:pPr>
              <w:spacing w:after="0" w:line="175" w:lineRule="exact"/>
              <w:rPr>
                <w:sz w:val="20"/>
                <w:szCs w:val="20"/>
                <w:color w:val="auto"/>
              </w:rPr>
            </w:pPr>
            <w:r>
              <w:rPr>
                <w:rFonts w:ascii="Arial" w:cs="Arial" w:eastAsia="Arial" w:hAnsi="Arial"/>
                <w:sz w:val="18"/>
                <w:szCs w:val="18"/>
                <w:color w:val="auto"/>
                <w:w w:val="89"/>
              </w:rPr>
              <w:t>and Restated Credit Agreement, dated January 3, 2025,</w:t>
            </w:r>
          </w:p>
        </w:tc>
        <w:tc>
          <w:tcPr>
            <w:tcW w:w="660" w:type="dxa"/>
            <w:vAlign w:val="bottom"/>
            <w:tcBorders>
              <w:bottom w:val="single" w:sz="8" w:color="0000FF"/>
            </w:tcBorders>
            <w:gridSpan w:val="2"/>
            <w:shd w:val="clear" w:color="auto" w:fill="BCE7FC"/>
          </w:tcPr>
          <w:p>
            <w:pPr>
              <w:spacing w:after="0" w:line="175" w:lineRule="exact"/>
              <w:rPr>
                <w:rFonts w:ascii="Arial" w:cs="Arial" w:eastAsia="Arial" w:hAnsi="Arial"/>
                <w:sz w:val="18"/>
                <w:szCs w:val="18"/>
                <w:b w:val="1"/>
                <w:bCs w:val="1"/>
                <w:color w:val="0000FF"/>
                <w:w w:val="94"/>
                <w:shd w:val="clear" w:color="auto" w:fill="BCE7FC"/>
              </w:rPr>
            </w:pPr>
            <w:hyperlink r:id="rId214">
              <w:r>
                <w:rPr>
                  <w:rFonts w:ascii="Arial" w:cs="Arial" w:eastAsia="Arial" w:hAnsi="Arial"/>
                  <w:sz w:val="18"/>
                  <w:szCs w:val="18"/>
                  <w:b w:val="1"/>
                  <w:bCs w:val="1"/>
                  <w:color w:val="0000FF"/>
                  <w:w w:val="94"/>
                  <w:shd w:val="clear" w:color="auto" w:fill="BCE7FC"/>
                </w:rPr>
                <w:t>10-K for</w:t>
              </w:r>
            </w:hyperlink>
          </w:p>
        </w:tc>
        <w:tc>
          <w:tcPr>
            <w:tcW w:w="80" w:type="dxa"/>
            <w:vAlign w:val="bottom"/>
            <w:tcBorders>
              <w:bottom w:val="single" w:sz="8" w:color="0000FF"/>
              <w:right w:val="single" w:sz="8" w:color="BCE7FC"/>
            </w:tcBorders>
            <w:shd w:val="clear" w:color="auto" w:fill="BCE7FC"/>
          </w:tcPr>
          <w:p>
            <w:pPr>
              <w:spacing w:after="0"/>
              <w:rPr>
                <w:sz w:val="15"/>
                <w:szCs w:val="15"/>
                <w:color w:val="auto"/>
              </w:rPr>
            </w:pPr>
          </w:p>
        </w:tc>
        <w:tc>
          <w:tcPr>
            <w:tcW w:w="2580" w:type="dxa"/>
            <w:vAlign w:val="bottom"/>
            <w:tcBorders>
              <w:bottom w:val="single" w:sz="8" w:color="0000FF"/>
            </w:tcBorders>
            <w:gridSpan w:val="3"/>
            <w:shd w:val="clear" w:color="auto" w:fill="BCE7FC"/>
          </w:tcPr>
          <w:p>
            <w:pPr>
              <w:spacing w:after="0" w:line="175" w:lineRule="exact"/>
              <w:rPr>
                <w:rFonts w:ascii="Arial" w:cs="Arial" w:eastAsia="Arial" w:hAnsi="Arial"/>
                <w:sz w:val="18"/>
                <w:szCs w:val="18"/>
                <w:b w:val="1"/>
                <w:bCs w:val="1"/>
                <w:color w:val="0000FF"/>
                <w:w w:val="87"/>
                <w:shd w:val="clear" w:color="auto" w:fill="BCE7FC"/>
              </w:rPr>
            </w:pPr>
            <w:hyperlink r:id="rId214">
              <w:r>
                <w:rPr>
                  <w:rFonts w:ascii="Arial" w:cs="Arial" w:eastAsia="Arial" w:hAnsi="Arial"/>
                  <w:sz w:val="18"/>
                  <w:szCs w:val="18"/>
                  <w:b w:val="1"/>
                  <w:bCs w:val="1"/>
                  <w:color w:val="0000FF"/>
                  <w:w w:val="87"/>
                  <w:shd w:val="clear" w:color="auto" w:fill="BCE7FC"/>
                </w:rPr>
                <w:t>the year ended December 31, 2024</w:t>
              </w:r>
            </w:hyperlink>
          </w:p>
        </w:tc>
        <w:tc>
          <w:tcPr>
            <w:tcW w:w="40" w:type="dxa"/>
            <w:vAlign w:val="bottom"/>
            <w:tcBorders>
              <w:bottom w:val="single" w:sz="8" w:color="BCE7FC"/>
            </w:tcBorders>
            <w:gridSpan w:val="2"/>
            <w:shd w:val="clear" w:color="auto" w:fill="BCE7FC"/>
          </w:tcPr>
          <w:p>
            <w:pPr>
              <w:jc w:val="right"/>
              <w:spacing w:after="0"/>
              <w:rPr>
                <w:rFonts w:ascii="Arial" w:cs="Arial" w:eastAsia="Arial" w:hAnsi="Arial"/>
                <w:sz w:val="10"/>
                <w:szCs w:val="10"/>
                <w:u w:val="single" w:color="auto"/>
                <w:color w:val="0000FF"/>
                <w:w w:val="70"/>
                <w:shd w:val="clear" w:color="auto" w:fill="BCE7FC"/>
              </w:rPr>
            </w:pPr>
            <w:hyperlink r:id="rId214">
              <w:r>
                <w:rPr>
                  <w:rFonts w:ascii="Arial" w:cs="Arial" w:eastAsia="Arial" w:hAnsi="Arial"/>
                  <w:sz w:val="10"/>
                  <w:szCs w:val="10"/>
                  <w:u w:val="single" w:color="auto"/>
                  <w:color w:val="0000FF"/>
                  <w:w w:val="70"/>
                  <w:shd w:val="clear" w:color="auto" w:fill="BCE7FC"/>
                </w:rPr>
                <w:t>,</w:t>
              </w:r>
            </w:hyperlink>
          </w:p>
        </w:tc>
        <w:tc>
          <w:tcPr>
            <w:tcW w:w="360" w:type="dxa"/>
            <w:vAlign w:val="bottom"/>
            <w:tcBorders>
              <w:bottom w:val="single" w:sz="8" w:color="BCE7FC"/>
            </w:tcBorders>
            <w:gridSpan w:val="2"/>
            <w:shd w:val="clear" w:color="auto" w:fill="BCE7FC"/>
          </w:tcPr>
          <w:p>
            <w:pPr>
              <w:ind w:left="60"/>
              <w:spacing w:after="0" w:line="175" w:lineRule="exact"/>
              <w:rPr>
                <w:sz w:val="20"/>
                <w:szCs w:val="20"/>
                <w:color w:val="auto"/>
              </w:rPr>
            </w:pPr>
            <w:r>
              <w:rPr>
                <w:rFonts w:ascii="Arial" w:cs="Arial" w:eastAsia="Arial" w:hAnsi="Arial"/>
                <w:sz w:val="18"/>
                <w:szCs w:val="18"/>
                <w:color w:val="auto"/>
                <w:w w:val="93"/>
              </w:rPr>
              <w:t>and</w:t>
            </w:r>
          </w:p>
        </w:tc>
        <w:tc>
          <w:tcPr>
            <w:tcW w:w="120" w:type="dxa"/>
            <w:vAlign w:val="bottom"/>
            <w:tcBorders>
              <w:bottom w:val="single" w:sz="8" w:color="BCE7FC"/>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84" w:lineRule="exact"/>
              <w:rPr>
                <w:sz w:val="20"/>
                <w:szCs w:val="20"/>
                <w:color w:val="auto"/>
              </w:rPr>
            </w:pPr>
            <w:r>
              <w:rPr>
                <w:rFonts w:ascii="Arial" w:cs="Arial" w:eastAsia="Arial" w:hAnsi="Arial"/>
                <w:sz w:val="18"/>
                <w:szCs w:val="18"/>
                <w:color w:val="auto"/>
                <w:w w:val="91"/>
              </w:rPr>
              <w:t>between Consolidated Amusement Holdings, LLC, and</w:t>
            </w:r>
          </w:p>
        </w:tc>
        <w:tc>
          <w:tcPr>
            <w:tcW w:w="7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80" w:type="dxa"/>
            <w:vAlign w:val="bottom"/>
          </w:tcPr>
          <w:p>
            <w:pPr>
              <w:spacing w:after="0"/>
              <w:rPr>
                <w:sz w:val="14"/>
                <w:szCs w:val="14"/>
                <w:color w:val="auto"/>
              </w:rPr>
            </w:pPr>
          </w:p>
        </w:tc>
        <w:tc>
          <w:tcPr>
            <w:tcW w:w="4020" w:type="dxa"/>
            <w:vAlign w:val="bottom"/>
            <w:gridSpan w:val="8"/>
            <w:vMerge w:val="continue"/>
          </w:tcPr>
          <w:p>
            <w:pPr>
              <w:spacing w:after="0"/>
              <w:rPr>
                <w:sz w:val="14"/>
                <w:szCs w:val="14"/>
                <w:color w:val="auto"/>
              </w:rPr>
            </w:pPr>
          </w:p>
        </w:tc>
        <w:tc>
          <w:tcPr>
            <w:tcW w:w="2400" w:type="dxa"/>
            <w:vAlign w:val="bottom"/>
            <w:gridSpan w:val="4"/>
            <w:shd w:val="clear" w:color="auto" w:fill="BCE7FC"/>
          </w:tcPr>
          <w:p>
            <w:pPr>
              <w:spacing w:after="0" w:line="164" w:lineRule="exact"/>
              <w:rPr>
                <w:sz w:val="20"/>
                <w:szCs w:val="20"/>
                <w:color w:val="auto"/>
              </w:rPr>
            </w:pPr>
            <w:r>
              <w:rPr>
                <w:rFonts w:ascii="Arial" w:cs="Arial" w:eastAsia="Arial" w:hAnsi="Arial"/>
                <w:sz w:val="18"/>
                <w:szCs w:val="18"/>
                <w:color w:val="auto"/>
                <w:w w:val="88"/>
                <w:shd w:val="clear" w:color="auto" w:fill="BCE7FC"/>
              </w:rPr>
              <w:t>incorporated herein by reference.</w:t>
            </w: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4020" w:type="dxa"/>
            <w:vAlign w:val="bottom"/>
            <w:gridSpan w:val="8"/>
          </w:tcPr>
          <w:p>
            <w:pPr>
              <w:spacing w:after="0" w:line="201" w:lineRule="exact"/>
              <w:rPr>
                <w:sz w:val="20"/>
                <w:szCs w:val="20"/>
                <w:color w:val="auto"/>
              </w:rPr>
            </w:pPr>
            <w:r>
              <w:rPr>
                <w:rFonts w:ascii="Arial" w:cs="Arial" w:eastAsia="Arial" w:hAnsi="Arial"/>
                <w:sz w:val="18"/>
                <w:szCs w:val="18"/>
                <w:color w:val="auto"/>
              </w:rPr>
              <w:t>Bank of America, N.A.</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3"/>
              </w:rPr>
              <w:t>10.43</w:t>
            </w:r>
          </w:p>
        </w:tc>
        <w:tc>
          <w:tcPr>
            <w:tcW w:w="4020" w:type="dxa"/>
            <w:vAlign w:val="bottom"/>
            <w:gridSpan w:val="8"/>
            <w:shd w:val="clear" w:color="auto" w:fill="CCEEFF"/>
          </w:tcPr>
          <w:p>
            <w:pPr>
              <w:spacing w:after="0" w:line="192" w:lineRule="exact"/>
              <w:rPr>
                <w:sz w:val="20"/>
                <w:szCs w:val="20"/>
                <w:color w:val="auto"/>
              </w:rPr>
            </w:pPr>
            <w:r>
              <w:rPr>
                <w:rFonts w:ascii="Arial" w:cs="Arial" w:eastAsia="Arial" w:hAnsi="Arial"/>
                <w:sz w:val="18"/>
                <w:szCs w:val="18"/>
                <w:color w:val="auto"/>
                <w:w w:val="97"/>
              </w:rPr>
              <w:t>Waiver and Ninth Amendment to Second Amended</w:t>
            </w:r>
          </w:p>
        </w:tc>
        <w:tc>
          <w:tcPr>
            <w:tcW w:w="4500" w:type="dxa"/>
            <w:vAlign w:val="bottom"/>
            <w:gridSpan w:val="25"/>
            <w:shd w:val="clear" w:color="auto" w:fill="CCEEFF"/>
          </w:tcPr>
          <w:p>
            <w:pPr>
              <w:spacing w:after="0" w:line="192" w:lineRule="exact"/>
              <w:rPr>
                <w:rFonts w:ascii="Arial" w:cs="Arial" w:eastAsia="Arial" w:hAnsi="Arial"/>
                <w:sz w:val="20"/>
                <w:szCs w:val="20"/>
                <w:color w:val="auto"/>
                <w:w w:val="93"/>
              </w:rPr>
            </w:pPr>
            <w:r>
              <w:rPr>
                <w:rFonts w:ascii="Arial" w:cs="Arial" w:eastAsia="Arial" w:hAnsi="Arial"/>
                <w:sz w:val="20"/>
                <w:szCs w:val="20"/>
                <w:color w:val="auto"/>
                <w:w w:val="93"/>
              </w:rPr>
              <w:t xml:space="preserve">Filed as </w:t>
            </w:r>
            <w:hyperlink r:id="rId215">
              <w:r>
                <w:rPr>
                  <w:rFonts w:ascii="Arial" w:cs="Arial" w:eastAsia="Arial" w:hAnsi="Arial"/>
                  <w:sz w:val="20"/>
                  <w:szCs w:val="20"/>
                  <w:color w:val="0000FF"/>
                  <w:w w:val="93"/>
                </w:rPr>
                <w:t>Exhibit 10.1 to the Company’s report on Form</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4020" w:type="dxa"/>
            <w:vAlign w:val="bottom"/>
            <w:gridSpan w:val="8"/>
            <w:vMerge w:val="restart"/>
            <w:shd w:val="clear" w:color="auto" w:fill="CCEEFF"/>
          </w:tcPr>
          <w:p>
            <w:pPr>
              <w:spacing w:after="0" w:line="199" w:lineRule="exact"/>
              <w:rPr>
                <w:sz w:val="20"/>
                <w:szCs w:val="20"/>
                <w:color w:val="auto"/>
              </w:rPr>
            </w:pPr>
            <w:r>
              <w:rPr>
                <w:rFonts w:ascii="Arial" w:cs="Arial" w:eastAsia="Arial" w:hAnsi="Arial"/>
                <w:sz w:val="18"/>
                <w:szCs w:val="18"/>
                <w:color w:val="auto"/>
                <w:w w:val="95"/>
              </w:rPr>
              <w:t>and Restated Credit Agreement, dated April 3, 2025,</w:t>
            </w:r>
          </w:p>
        </w:tc>
        <w:tc>
          <w:tcPr>
            <w:tcW w:w="740" w:type="dxa"/>
            <w:vAlign w:val="bottom"/>
            <w:tcBorders>
              <w:right w:val="single" w:sz="8" w:color="0000FF"/>
            </w:tcBorders>
            <w:gridSpan w:val="3"/>
            <w:shd w:val="clear" w:color="auto" w:fill="CCEE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8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8"/>
            <w:vMerge w:val="continue"/>
            <w:shd w:val="clear" w:color="auto" w:fill="CCEEFF"/>
          </w:tcPr>
          <w:p>
            <w:pPr>
              <w:spacing w:after="0"/>
              <w:rPr>
                <w:sz w:val="17"/>
                <w:szCs w:val="17"/>
                <w:color w:val="auto"/>
              </w:rPr>
            </w:pPr>
          </w:p>
        </w:tc>
        <w:tc>
          <w:tcPr>
            <w:tcW w:w="4500" w:type="dxa"/>
            <w:vAlign w:val="bottom"/>
            <w:tcBorders>
              <w:bottom w:val="single" w:sz="8" w:color="CCEEFF"/>
            </w:tcBorders>
            <w:gridSpan w:val="25"/>
            <w:shd w:val="clear" w:color="auto" w:fill="CCEEFF"/>
          </w:tcPr>
          <w:p>
            <w:pPr>
              <w:spacing w:after="0" w:line="180" w:lineRule="exact"/>
              <w:rPr>
                <w:rFonts w:ascii="Arial" w:cs="Arial" w:eastAsia="Arial" w:hAnsi="Arial"/>
                <w:sz w:val="20"/>
                <w:szCs w:val="20"/>
                <w:color w:val="0000FF"/>
              </w:rPr>
            </w:pPr>
            <w:hyperlink r:id="rId215">
              <w:r>
                <w:rPr>
                  <w:rFonts w:ascii="Arial" w:cs="Arial" w:eastAsia="Arial" w:hAnsi="Arial"/>
                  <w:sz w:val="20"/>
                  <w:szCs w:val="20"/>
                  <w:color w:val="0000FF"/>
                </w:rPr>
                <w:t>10-Q for the Quarter ended June 30, 2025</w:t>
              </w:r>
            </w:hyperlink>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color w:val="000000"/>
              </w:rPr>
              <w:t>and</w:t>
            </w:r>
          </w:p>
        </w:tc>
        <w:tc>
          <w:tcPr>
            <w:tcW w:w="0" w:type="dxa"/>
            <w:vAlign w:val="bottom"/>
          </w:tcPr>
          <w:p>
            <w:pPr>
              <w:spacing w:after="0"/>
              <w:rPr>
                <w:sz w:val="1"/>
                <w:szCs w:val="1"/>
                <w:color w:val="auto"/>
              </w:rPr>
            </w:pPr>
          </w:p>
        </w:tc>
      </w:tr>
      <w:tr>
        <w:trPr>
          <w:trHeight w:val="174"/>
        </w:trPr>
        <w:tc>
          <w:tcPr>
            <w:tcW w:w="88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gridSpan w:val="8"/>
            <w:shd w:val="clear" w:color="auto" w:fill="CCEEFF"/>
          </w:tcPr>
          <w:p>
            <w:pPr>
              <w:spacing w:after="0" w:line="157" w:lineRule="exact"/>
              <w:rPr>
                <w:sz w:val="20"/>
                <w:szCs w:val="20"/>
                <w:color w:val="auto"/>
              </w:rPr>
            </w:pPr>
            <w:r>
              <w:rPr>
                <w:rFonts w:ascii="Arial" w:cs="Arial" w:eastAsia="Arial" w:hAnsi="Arial"/>
                <w:sz w:val="18"/>
                <w:szCs w:val="18"/>
                <w:color w:val="auto"/>
                <w:w w:val="91"/>
              </w:rPr>
              <w:t>between Consolidated Amusement Holdings, LLC, and</w:t>
            </w:r>
          </w:p>
        </w:tc>
        <w:tc>
          <w:tcPr>
            <w:tcW w:w="3340" w:type="dxa"/>
            <w:vAlign w:val="bottom"/>
            <w:tcBorders>
              <w:top w:val="single" w:sz="8" w:color="0000FF"/>
            </w:tcBorders>
            <w:gridSpan w:val="7"/>
            <w:shd w:val="clear" w:color="auto" w:fill="CCEEFF"/>
          </w:tcPr>
          <w:p>
            <w:pPr>
              <w:spacing w:after="0" w:line="174" w:lineRule="exact"/>
              <w:rPr>
                <w:sz w:val="20"/>
                <w:szCs w:val="20"/>
                <w:color w:val="auto"/>
              </w:rPr>
            </w:pPr>
            <w:r>
              <w:rPr>
                <w:rFonts w:ascii="Arial" w:cs="Arial" w:eastAsia="Arial" w:hAnsi="Arial"/>
                <w:sz w:val="20"/>
                <w:szCs w:val="20"/>
                <w:color w:val="auto"/>
              </w:rPr>
              <w:t>incorporated herein by reference.</w:t>
            </w:r>
          </w:p>
        </w:tc>
        <w:tc>
          <w:tcPr>
            <w:tcW w:w="1160" w:type="dxa"/>
            <w:vAlign w:val="bottom"/>
            <w:tcBorders>
              <w:top w:val="single" w:sz="8" w:color="CCEEFF"/>
            </w:tcBorders>
            <w:gridSpan w:val="1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80" w:type="dxa"/>
            <w:vAlign w:val="bottom"/>
            <w:shd w:val="clear" w:color="auto" w:fill="CCEEFF"/>
          </w:tcPr>
          <w:p>
            <w:pPr>
              <w:spacing w:after="0"/>
              <w:rPr>
                <w:sz w:val="14"/>
                <w:szCs w:val="14"/>
                <w:color w:val="auto"/>
              </w:rPr>
            </w:pPr>
          </w:p>
        </w:tc>
        <w:tc>
          <w:tcPr>
            <w:tcW w:w="4020" w:type="dxa"/>
            <w:vAlign w:val="bottom"/>
            <w:gridSpan w:val="8"/>
            <w:shd w:val="clear" w:color="auto" w:fill="CCEEFF"/>
          </w:tcPr>
          <w:p>
            <w:pPr>
              <w:spacing w:after="0" w:line="170" w:lineRule="exact"/>
              <w:rPr>
                <w:sz w:val="20"/>
                <w:szCs w:val="20"/>
                <w:color w:val="auto"/>
              </w:rPr>
            </w:pPr>
            <w:r>
              <w:rPr>
                <w:rFonts w:ascii="Arial" w:cs="Arial" w:eastAsia="Arial" w:hAnsi="Arial"/>
                <w:sz w:val="18"/>
                <w:szCs w:val="18"/>
                <w:color w:val="auto"/>
              </w:rPr>
              <w:t>Bank of America, N.A.</w:t>
            </w:r>
          </w:p>
        </w:tc>
        <w:tc>
          <w:tcPr>
            <w:tcW w:w="620" w:type="dxa"/>
            <w:vAlign w:val="bottom"/>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spacing w:after="0" w:line="192" w:lineRule="exact"/>
              <w:rPr>
                <w:sz w:val="20"/>
                <w:szCs w:val="20"/>
                <w:color w:val="auto"/>
              </w:rPr>
            </w:pPr>
            <w:r>
              <w:rPr>
                <w:rFonts w:ascii="Arial" w:cs="Arial" w:eastAsia="Arial" w:hAnsi="Arial"/>
                <w:sz w:val="18"/>
                <w:szCs w:val="18"/>
                <w:color w:val="auto"/>
                <w:w w:val="90"/>
              </w:rPr>
              <w:t>10.44†</w:t>
            </w:r>
          </w:p>
        </w:tc>
        <w:tc>
          <w:tcPr>
            <w:tcW w:w="4020" w:type="dxa"/>
            <w:vAlign w:val="bottom"/>
            <w:gridSpan w:val="8"/>
          </w:tcPr>
          <w:p>
            <w:pPr>
              <w:spacing w:after="0" w:line="192" w:lineRule="exact"/>
              <w:rPr>
                <w:sz w:val="20"/>
                <w:szCs w:val="20"/>
                <w:color w:val="auto"/>
              </w:rPr>
            </w:pPr>
            <w:r>
              <w:rPr>
                <w:rFonts w:ascii="Arial" w:cs="Arial" w:eastAsia="Arial" w:hAnsi="Arial"/>
                <w:sz w:val="18"/>
                <w:szCs w:val="18"/>
                <w:color w:val="auto"/>
                <w:w w:val="97"/>
              </w:rPr>
              <w:t>Waiver and Tenth Amendment to Second Amended</w:t>
            </w:r>
          </w:p>
        </w:tc>
        <w:tc>
          <w:tcPr>
            <w:tcW w:w="4500" w:type="dxa"/>
            <w:vAlign w:val="bottom"/>
            <w:gridSpan w:val="25"/>
          </w:tcPr>
          <w:p>
            <w:pPr>
              <w:spacing w:after="0" w:line="192" w:lineRule="exact"/>
              <w:rPr>
                <w:rFonts w:ascii="Arial" w:cs="Arial" w:eastAsia="Arial" w:hAnsi="Arial"/>
                <w:sz w:val="20"/>
                <w:szCs w:val="20"/>
                <w:color w:val="auto"/>
                <w:w w:val="93"/>
              </w:rPr>
            </w:pPr>
            <w:r>
              <w:rPr>
                <w:rFonts w:ascii="Arial" w:cs="Arial" w:eastAsia="Arial" w:hAnsi="Arial"/>
                <w:sz w:val="20"/>
                <w:szCs w:val="20"/>
                <w:color w:val="auto"/>
                <w:w w:val="93"/>
              </w:rPr>
              <w:t xml:space="preserve">Filed as </w:t>
            </w:r>
            <w:hyperlink r:id="rId216">
              <w:r>
                <w:rPr>
                  <w:rFonts w:ascii="Arial" w:cs="Arial" w:eastAsia="Arial" w:hAnsi="Arial"/>
                  <w:sz w:val="20"/>
                  <w:szCs w:val="20"/>
                  <w:color w:val="0000FF"/>
                  <w:w w:val="93"/>
                </w:rPr>
                <w:t>Exhibit 10.1 to the Company’s report on Form</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6"/>
              </w:rPr>
              <w:t>and Restated Credit Agreement, dated July 3, 2025,</w:t>
            </w:r>
          </w:p>
        </w:tc>
        <w:tc>
          <w:tcPr>
            <w:tcW w:w="740" w:type="dxa"/>
            <w:vAlign w:val="bottom"/>
            <w:tcBorders>
              <w:right w:val="single" w:sz="8" w:color="0000FF"/>
            </w:tcBorders>
            <w:gridSpan w:val="3"/>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4500" w:type="dxa"/>
            <w:vAlign w:val="bottom"/>
            <w:gridSpan w:val="25"/>
          </w:tcPr>
          <w:p>
            <w:pPr>
              <w:spacing w:after="0" w:line="180" w:lineRule="exact"/>
              <w:rPr>
                <w:rFonts w:ascii="Arial" w:cs="Arial" w:eastAsia="Arial" w:hAnsi="Arial"/>
                <w:sz w:val="20"/>
                <w:szCs w:val="20"/>
                <w:color w:val="0000FF"/>
                <w:w w:val="94"/>
              </w:rPr>
            </w:pPr>
            <w:hyperlink r:id="rId216">
              <w:r>
                <w:rPr>
                  <w:rFonts w:ascii="Arial" w:cs="Arial" w:eastAsia="Arial" w:hAnsi="Arial"/>
                  <w:sz w:val="20"/>
                  <w:szCs w:val="20"/>
                  <w:color w:val="0000FF"/>
                  <w:w w:val="94"/>
                </w:rPr>
                <w:t>10-Q for the Quarter ended September 30, 2025</w:t>
              </w:r>
            </w:hyperlink>
            <w:r>
              <w:rPr>
                <w:rFonts w:ascii="Arial" w:cs="Arial" w:eastAsia="Arial" w:hAnsi="Arial"/>
                <w:sz w:val="20"/>
                <w:szCs w:val="20"/>
                <w:color w:val="000000"/>
                <w:w w:val="94"/>
              </w:rPr>
              <w:t>,</w:t>
            </w:r>
            <w:r>
              <w:rPr>
                <w:rFonts w:ascii="Arial" w:cs="Arial" w:eastAsia="Arial" w:hAnsi="Arial"/>
                <w:sz w:val="20"/>
                <w:szCs w:val="20"/>
                <w:color w:val="0000FF"/>
                <w:w w:val="94"/>
              </w:rPr>
              <w:t xml:space="preserve"> </w:t>
            </w:r>
            <w:r>
              <w:rPr>
                <w:rFonts w:ascii="Arial" w:cs="Arial" w:eastAsia="Arial" w:hAnsi="Arial"/>
                <w:sz w:val="20"/>
                <w:szCs w:val="20"/>
                <w:color w:val="000000"/>
                <w:w w:val="94"/>
              </w:rPr>
              <w:t>and</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1"/>
              </w:rPr>
              <w:t>between Consolidated Amusement Holdings, LLC, and</w:t>
            </w:r>
          </w:p>
        </w:tc>
        <w:tc>
          <w:tcPr>
            <w:tcW w:w="740" w:type="dxa"/>
            <w:vAlign w:val="bottom"/>
            <w:tcBorders>
              <w:bottom w:val="single" w:sz="8" w:color="0000FF"/>
            </w:tcBorders>
            <w:gridSpan w:val="3"/>
          </w:tcPr>
          <w:p>
            <w:pPr>
              <w:spacing w:after="0" w:line="20" w:lineRule="exact"/>
              <w:rPr>
                <w:sz w:val="1"/>
                <w:szCs w:val="1"/>
                <w:color w:val="auto"/>
              </w:rPr>
            </w:pPr>
          </w:p>
        </w:tc>
        <w:tc>
          <w:tcPr>
            <w:tcW w:w="166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7"/>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380" w:type="dxa"/>
            <w:vAlign w:val="bottom"/>
            <w:gridSpan w:val="6"/>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3840" w:type="dxa"/>
            <w:vAlign w:val="bottom"/>
            <w:gridSpan w:val="11"/>
          </w:tcPr>
          <w:p>
            <w:pPr>
              <w:spacing w:after="0" w:line="174" w:lineRule="exact"/>
              <w:rPr>
                <w:sz w:val="20"/>
                <w:szCs w:val="20"/>
                <w:color w:val="auto"/>
              </w:rPr>
            </w:pPr>
            <w:r>
              <w:rPr>
                <w:rFonts w:ascii="Arial" w:cs="Arial" w:eastAsia="Arial" w:hAnsi="Arial"/>
                <w:sz w:val="20"/>
                <w:szCs w:val="20"/>
                <w:color w:val="auto"/>
              </w:rPr>
              <w:t>incorporated herein by reference.</w:t>
            </w:r>
          </w:p>
        </w:tc>
        <w:tc>
          <w:tcPr>
            <w:tcW w:w="1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3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4020" w:type="dxa"/>
            <w:vAlign w:val="bottom"/>
            <w:gridSpan w:val="8"/>
          </w:tcPr>
          <w:p>
            <w:pPr>
              <w:spacing w:after="0" w:line="170" w:lineRule="exact"/>
              <w:rPr>
                <w:sz w:val="20"/>
                <w:szCs w:val="20"/>
                <w:color w:val="auto"/>
              </w:rPr>
            </w:pPr>
            <w:r>
              <w:rPr>
                <w:rFonts w:ascii="Arial" w:cs="Arial" w:eastAsia="Arial" w:hAnsi="Arial"/>
                <w:sz w:val="18"/>
                <w:szCs w:val="18"/>
                <w:color w:val="auto"/>
              </w:rPr>
              <w:t>Bank of America, N.A.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88"/>
              </w:rPr>
              <w:t>10.45†+</w:t>
            </w:r>
          </w:p>
        </w:tc>
        <w:tc>
          <w:tcPr>
            <w:tcW w:w="3980" w:type="dxa"/>
            <w:vAlign w:val="bottom"/>
            <w:tcBorders>
              <w:bottom w:val="single" w:sz="8" w:color="0000FF"/>
            </w:tcBorders>
            <w:gridSpan w:val="7"/>
            <w:shd w:val="clear" w:color="auto" w:fill="CCEEFF"/>
          </w:tcPr>
          <w:p>
            <w:pPr>
              <w:spacing w:after="0" w:line="177" w:lineRule="exact"/>
              <w:rPr>
                <w:sz w:val="20"/>
                <w:szCs w:val="20"/>
                <w:color w:val="auto"/>
              </w:rPr>
            </w:pPr>
            <w:r>
              <w:rPr>
                <w:rFonts w:ascii="Arial" w:cs="Arial" w:eastAsia="Arial" w:hAnsi="Arial"/>
                <w:sz w:val="18"/>
                <w:szCs w:val="18"/>
                <w:color w:val="0000FF"/>
                <w:w w:val="90"/>
              </w:rPr>
              <w:t>Waiver and Eleventh Amendment to Second Amended</w:t>
            </w:r>
          </w:p>
        </w:tc>
        <w:tc>
          <w:tcPr>
            <w:tcW w:w="40" w:type="dxa"/>
            <w:vAlign w:val="bottom"/>
            <w:tcBorders>
              <w:bottom w:val="single" w:sz="8" w:color="CCEEFF"/>
            </w:tcBorders>
            <w:shd w:val="clear" w:color="auto" w:fill="CCEEFF"/>
          </w:tcPr>
          <w:p>
            <w:pPr>
              <w:spacing w:after="0"/>
              <w:rPr>
                <w:sz w:val="15"/>
                <w:szCs w:val="15"/>
                <w:color w:val="auto"/>
              </w:rPr>
            </w:pPr>
          </w:p>
        </w:tc>
        <w:tc>
          <w:tcPr>
            <w:tcW w:w="4500" w:type="dxa"/>
            <w:vAlign w:val="bottom"/>
            <w:tcBorders>
              <w:bottom w:val="single" w:sz="8" w:color="CCEEFF"/>
            </w:tcBorders>
            <w:gridSpan w:val="25"/>
            <w:shd w:val="clear" w:color="auto" w:fill="CCEEFF"/>
          </w:tcPr>
          <w:p>
            <w:pPr>
              <w:spacing w:after="0" w:line="178" w:lineRule="exact"/>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0000FF"/>
            </w:tcBorders>
            <w:gridSpan w:val="5"/>
            <w:shd w:val="clear" w:color="auto" w:fill="CCEEFF"/>
          </w:tcPr>
          <w:p>
            <w:pPr>
              <w:spacing w:after="0" w:line="175" w:lineRule="exact"/>
              <w:rPr>
                <w:sz w:val="20"/>
                <w:szCs w:val="20"/>
                <w:color w:val="auto"/>
              </w:rPr>
            </w:pPr>
            <w:r>
              <w:rPr>
                <w:rFonts w:ascii="Arial" w:cs="Arial" w:eastAsia="Arial" w:hAnsi="Arial"/>
                <w:sz w:val="18"/>
                <w:szCs w:val="18"/>
                <w:color w:val="0000FF"/>
                <w:w w:val="89"/>
              </w:rPr>
              <w:t>and Restated Credit Agreement, dated December 29,</w:t>
            </w:r>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0000FF"/>
            </w:tcBorders>
            <w:gridSpan w:val="3"/>
            <w:shd w:val="clear" w:color="auto" w:fill="CCEEFF"/>
          </w:tcPr>
          <w:p>
            <w:pPr>
              <w:spacing w:after="0" w:line="175" w:lineRule="exact"/>
              <w:rPr>
                <w:sz w:val="20"/>
                <w:szCs w:val="20"/>
                <w:color w:val="auto"/>
              </w:rPr>
            </w:pPr>
            <w:r>
              <w:rPr>
                <w:rFonts w:ascii="Arial" w:cs="Arial" w:eastAsia="Arial" w:hAnsi="Arial"/>
                <w:sz w:val="18"/>
                <w:szCs w:val="18"/>
                <w:color w:val="0000FF"/>
                <w:w w:val="90"/>
              </w:rPr>
              <w:t>2025, between Consolidated Amusement Holdings,</w:t>
            </w:r>
          </w:p>
        </w:tc>
        <w:tc>
          <w:tcPr>
            <w:tcW w:w="280" w:type="dxa"/>
            <w:vAlign w:val="bottom"/>
            <w:tcBorders>
              <w:bottom w:val="single" w:sz="8" w:color="CCEEFF"/>
            </w:tcBorders>
            <w:gridSpan w:val="5"/>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spacing w:after="0"/>
              <w:rPr>
                <w:sz w:val="15"/>
                <w:szCs w:val="15"/>
                <w:color w:val="auto"/>
              </w:rPr>
            </w:pPr>
          </w:p>
        </w:tc>
        <w:tc>
          <w:tcPr>
            <w:tcW w:w="402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0000FF"/>
              </w:rPr>
              <w:t>LLC, and Bank of America, N.A</w:t>
            </w:r>
            <w:r>
              <w:rPr>
                <w:rFonts w:ascii="Arial" w:cs="Arial" w:eastAsia="Arial" w:hAnsi="Arial"/>
                <w:sz w:val="18"/>
                <w:szCs w:val="18"/>
                <w:color w:val="000000"/>
              </w:rPr>
              <w:t>.</w:t>
            </w:r>
          </w:p>
        </w:tc>
        <w:tc>
          <w:tcPr>
            <w:tcW w:w="62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8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3"/>
              </w:rPr>
              <w:t>10.46</w:t>
            </w:r>
          </w:p>
        </w:tc>
        <w:tc>
          <w:tcPr>
            <w:tcW w:w="4020" w:type="dxa"/>
            <w:vAlign w:val="bottom"/>
            <w:gridSpan w:val="8"/>
          </w:tcPr>
          <w:p>
            <w:pPr>
              <w:spacing w:after="0" w:line="189" w:lineRule="exact"/>
              <w:rPr>
                <w:sz w:val="20"/>
                <w:szCs w:val="20"/>
                <w:color w:val="auto"/>
              </w:rPr>
            </w:pPr>
            <w:r>
              <w:rPr>
                <w:rFonts w:ascii="Arial" w:cs="Arial" w:eastAsia="Arial" w:hAnsi="Arial"/>
                <w:sz w:val="18"/>
                <w:szCs w:val="18"/>
                <w:color w:val="auto"/>
              </w:rPr>
              <w:t>Consolidated, Amended and Restated Mortgage</w:t>
            </w:r>
          </w:p>
        </w:tc>
        <w:tc>
          <w:tcPr>
            <w:tcW w:w="4500" w:type="dxa"/>
            <w:vAlign w:val="bottom"/>
            <w:gridSpan w:val="25"/>
          </w:tcPr>
          <w:p>
            <w:pPr>
              <w:spacing w:after="0" w:line="189" w:lineRule="exact"/>
              <w:rPr>
                <w:rFonts w:ascii="Arial" w:cs="Arial" w:eastAsia="Arial" w:hAnsi="Arial"/>
                <w:sz w:val="20"/>
                <w:szCs w:val="20"/>
                <w:color w:val="auto"/>
              </w:rPr>
            </w:pPr>
            <w:r>
              <w:rPr>
                <w:rFonts w:ascii="Arial" w:cs="Arial" w:eastAsia="Arial" w:hAnsi="Arial"/>
                <w:sz w:val="20"/>
                <w:szCs w:val="20"/>
                <w:color w:val="auto"/>
              </w:rPr>
              <w:t xml:space="preserve">Filed as </w:t>
            </w:r>
            <w:hyperlink r:id="rId217">
              <w:r>
                <w:rPr>
                  <w:rFonts w:ascii="Arial" w:cs="Arial" w:eastAsia="Arial" w:hAnsi="Arial"/>
                  <w:sz w:val="20"/>
                  <w:szCs w:val="20"/>
                  <w:color w:val="0000FF"/>
                </w:rPr>
                <w:t>Exhibit 10.4.1 to the Company’s report on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rPr>
              <w:t>Promissory Note dated March 13, 2020, between</w:t>
            </w:r>
          </w:p>
        </w:tc>
        <w:tc>
          <w:tcPr>
            <w:tcW w:w="740" w:type="dxa"/>
            <w:vAlign w:val="bottom"/>
            <w:tcBorders>
              <w:right w:val="single" w:sz="8" w:color="0000FF"/>
            </w:tcBorders>
            <w:gridSpan w:val="3"/>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4500" w:type="dxa"/>
            <w:vAlign w:val="bottom"/>
            <w:gridSpan w:val="25"/>
          </w:tcPr>
          <w:p>
            <w:pPr>
              <w:spacing w:after="0" w:line="180" w:lineRule="exact"/>
              <w:rPr>
                <w:rFonts w:ascii="Arial" w:cs="Arial" w:eastAsia="Arial" w:hAnsi="Arial"/>
                <w:sz w:val="20"/>
                <w:szCs w:val="20"/>
                <w:color w:val="0000FF"/>
                <w:w w:val="95"/>
              </w:rPr>
            </w:pPr>
            <w:hyperlink r:id="rId217">
              <w:r>
                <w:rPr>
                  <w:rFonts w:ascii="Arial" w:cs="Arial" w:eastAsia="Arial" w:hAnsi="Arial"/>
                  <w:sz w:val="20"/>
                  <w:szCs w:val="20"/>
                  <w:color w:val="0000FF"/>
                  <w:w w:val="95"/>
                </w:rPr>
                <w:t>Form 8-K (file no. 1-8625), filed on June 2, 2020</w:t>
              </w:r>
            </w:hyperlink>
            <w:r>
              <w:rPr>
                <w:rFonts w:ascii="Arial" w:cs="Arial" w:eastAsia="Arial" w:hAnsi="Arial"/>
                <w:sz w:val="20"/>
                <w:szCs w:val="20"/>
                <w:color w:val="000000"/>
                <w:w w:val="95"/>
              </w:rPr>
              <w:t>,</w:t>
            </w:r>
            <w:r>
              <w:rPr>
                <w:rFonts w:ascii="Arial" w:cs="Arial" w:eastAsia="Arial" w:hAnsi="Arial"/>
                <w:sz w:val="20"/>
                <w:szCs w:val="20"/>
                <w:color w:val="0000FF"/>
                <w:w w:val="95"/>
              </w:rPr>
              <w:t xml:space="preserve"> </w:t>
            </w:r>
            <w:r>
              <w:rPr>
                <w:rFonts w:ascii="Arial" w:cs="Arial" w:eastAsia="Arial" w:hAnsi="Arial"/>
                <w:sz w:val="20"/>
                <w:szCs w:val="20"/>
                <w:color w:val="000000"/>
                <w:w w:val="95"/>
              </w:rPr>
              <w:t>and</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4"/>
              </w:rPr>
              <w:t>Sutton Hill Properties, LLC and Valley National Bank.</w:t>
            </w:r>
          </w:p>
        </w:tc>
        <w:tc>
          <w:tcPr>
            <w:tcW w:w="740" w:type="dxa"/>
            <w:vAlign w:val="bottom"/>
            <w:tcBorders>
              <w:bottom w:val="single" w:sz="8" w:color="0000FF"/>
            </w:tcBorders>
            <w:gridSpan w:val="3"/>
          </w:tcPr>
          <w:p>
            <w:pPr>
              <w:spacing w:after="0" w:line="20" w:lineRule="exact"/>
              <w:rPr>
                <w:sz w:val="1"/>
                <w:szCs w:val="1"/>
                <w:color w:val="auto"/>
              </w:rPr>
            </w:pPr>
          </w:p>
        </w:tc>
        <w:tc>
          <w:tcPr>
            <w:tcW w:w="1660" w:type="dxa"/>
            <w:vAlign w:val="bottom"/>
            <w:tcBorders>
              <w:bottom w:val="single" w:sz="8" w:color="0000FF"/>
            </w:tcBorders>
          </w:tcPr>
          <w:p>
            <w:pPr>
              <w:spacing w:after="0" w:line="20" w:lineRule="exact"/>
              <w:rPr>
                <w:sz w:val="1"/>
                <w:szCs w:val="1"/>
                <w:color w:val="auto"/>
              </w:rPr>
            </w:pPr>
          </w:p>
        </w:tc>
        <w:tc>
          <w:tcPr>
            <w:tcW w:w="1540" w:type="dxa"/>
            <w:vAlign w:val="bottom"/>
            <w:tcBorders>
              <w:bottom w:val="single" w:sz="8" w:color="0000FF"/>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4020" w:type="dxa"/>
            <w:vAlign w:val="bottom"/>
            <w:gridSpan w:val="8"/>
            <w:vMerge w:val="continue"/>
          </w:tcPr>
          <w:p>
            <w:pPr>
              <w:spacing w:after="0"/>
              <w:rPr>
                <w:sz w:val="18"/>
                <w:szCs w:val="18"/>
                <w:color w:val="auto"/>
              </w:rPr>
            </w:pPr>
          </w:p>
        </w:tc>
        <w:tc>
          <w:tcPr>
            <w:tcW w:w="4500" w:type="dxa"/>
            <w:vAlign w:val="bottom"/>
            <w:gridSpan w:val="25"/>
          </w:tcPr>
          <w:p>
            <w:pPr>
              <w:spacing w:after="0" w:line="215" w:lineRule="exact"/>
              <w:rPr>
                <w:sz w:val="20"/>
                <w:szCs w:val="20"/>
                <w:color w:val="auto"/>
              </w:rPr>
            </w:pPr>
            <w:r>
              <w:rPr>
                <w:rFonts w:ascii="Arial" w:cs="Arial" w:eastAsia="Arial" w:hAnsi="Arial"/>
                <w:sz w:val="20"/>
                <w:szCs w:val="20"/>
                <w:color w:val="auto"/>
              </w:rPr>
              <w:t>incorporated herein by reference.</w:t>
            </w:r>
          </w:p>
        </w:tc>
        <w:tc>
          <w:tcPr>
            <w:tcW w:w="0" w:type="dxa"/>
            <w:vAlign w:val="bottom"/>
          </w:tcPr>
          <w:p>
            <w:pPr>
              <w:spacing w:after="0"/>
              <w:rPr>
                <w:sz w:val="1"/>
                <w:szCs w:val="1"/>
                <w:color w:val="auto"/>
              </w:rPr>
            </w:pPr>
          </w:p>
        </w:tc>
      </w:tr>
      <w:tr>
        <w:trPr>
          <w:trHeight w:val="192"/>
        </w:trPr>
        <w:tc>
          <w:tcPr>
            <w:tcW w:w="88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0"/>
              </w:rPr>
              <w:t>10.47†</w:t>
            </w:r>
          </w:p>
        </w:tc>
        <w:tc>
          <w:tcPr>
            <w:tcW w:w="4020" w:type="dxa"/>
            <w:vAlign w:val="bottom"/>
            <w:gridSpan w:val="8"/>
            <w:shd w:val="clear" w:color="auto" w:fill="CCEEFF"/>
          </w:tcPr>
          <w:p>
            <w:pPr>
              <w:spacing w:after="0" w:line="192" w:lineRule="exact"/>
              <w:rPr>
                <w:sz w:val="20"/>
                <w:szCs w:val="20"/>
                <w:color w:val="auto"/>
              </w:rPr>
            </w:pPr>
            <w:r>
              <w:rPr>
                <w:rFonts w:ascii="Arial" w:cs="Arial" w:eastAsia="Arial" w:hAnsi="Arial"/>
                <w:sz w:val="18"/>
                <w:szCs w:val="18"/>
                <w:color w:val="auto"/>
                <w:w w:val="97"/>
              </w:rPr>
              <w:t>Amended and Restated Mortgage Promissory Note</w:t>
            </w:r>
          </w:p>
        </w:tc>
        <w:tc>
          <w:tcPr>
            <w:tcW w:w="4500" w:type="dxa"/>
            <w:vAlign w:val="bottom"/>
            <w:gridSpan w:val="25"/>
            <w:shd w:val="clear" w:color="auto" w:fill="CCEEFF"/>
          </w:tcPr>
          <w:p>
            <w:pPr>
              <w:spacing w:after="0" w:line="192" w:lineRule="exact"/>
              <w:rPr>
                <w:sz w:val="20"/>
                <w:szCs w:val="20"/>
                <w:color w:val="auto"/>
              </w:rPr>
            </w:pPr>
            <w:r>
              <w:rPr>
                <w:rFonts w:ascii="Arial" w:cs="Arial" w:eastAsia="Arial" w:hAnsi="Arial"/>
                <w:sz w:val="20"/>
                <w:szCs w:val="20"/>
                <w:color w:val="auto"/>
              </w:rPr>
              <w:t>Filed as</w:t>
            </w:r>
          </w:p>
        </w:tc>
        <w:tc>
          <w:tcPr>
            <w:tcW w:w="0" w:type="dxa"/>
            <w:vAlign w:val="bottom"/>
          </w:tcPr>
          <w:p>
            <w:pPr>
              <w:spacing w:after="0"/>
              <w:rPr>
                <w:sz w:val="1"/>
                <w:szCs w:val="1"/>
                <w:color w:val="auto"/>
              </w:rPr>
            </w:pPr>
          </w:p>
        </w:tc>
      </w:tr>
      <w:tr>
        <w:trPr>
          <w:trHeight w:val="201"/>
        </w:trPr>
        <w:tc>
          <w:tcPr>
            <w:tcW w:w="88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8"/>
            <w:shd w:val="clear" w:color="auto" w:fill="CCEEFF"/>
          </w:tcPr>
          <w:p>
            <w:pPr>
              <w:spacing w:after="0" w:line="199" w:lineRule="exact"/>
              <w:rPr>
                <w:sz w:val="20"/>
                <w:szCs w:val="20"/>
                <w:color w:val="auto"/>
              </w:rPr>
            </w:pPr>
            <w:r>
              <w:rPr>
                <w:rFonts w:ascii="Arial" w:cs="Arial" w:eastAsia="Arial" w:hAnsi="Arial"/>
                <w:sz w:val="18"/>
                <w:szCs w:val="18"/>
                <w:color w:val="auto"/>
                <w:w w:val="98"/>
              </w:rPr>
              <w:t>dated September 29, 2023, executed by Sutton Hill</w:t>
            </w:r>
          </w:p>
        </w:tc>
        <w:tc>
          <w:tcPr>
            <w:tcW w:w="4500" w:type="dxa"/>
            <w:vAlign w:val="bottom"/>
            <w:tcBorders>
              <w:bottom w:val="single" w:sz="8" w:color="CCEEFF"/>
            </w:tcBorders>
            <w:gridSpan w:val="25"/>
            <w:shd w:val="clear" w:color="auto" w:fill="CCEEFF"/>
          </w:tcPr>
          <w:p>
            <w:pPr>
              <w:spacing w:after="0" w:line="200" w:lineRule="exact"/>
              <w:rPr>
                <w:rFonts w:ascii="Arial" w:cs="Arial" w:eastAsia="Arial" w:hAnsi="Arial"/>
                <w:sz w:val="20"/>
                <w:szCs w:val="20"/>
                <w:color w:val="0000FF"/>
              </w:rPr>
            </w:pPr>
            <w:hyperlink r:id="rId218">
              <w:r>
                <w:rPr>
                  <w:rFonts w:ascii="Arial" w:cs="Arial" w:eastAsia="Arial" w:hAnsi="Arial"/>
                  <w:sz w:val="20"/>
                  <w:szCs w:val="20"/>
                  <w:color w:val="0000FF"/>
                </w:rPr>
                <w:t>Exhibit 10.1 to the Company’s Quarterly report on</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4020" w:type="dxa"/>
            <w:vAlign w:val="bottom"/>
            <w:gridSpan w:val="8"/>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Properties, LLC in favor of Valley National Bank..</w:t>
            </w: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CCEEFF"/>
            </w:tcBorders>
            <w:gridSpan w:val="3"/>
            <w:shd w:val="clear" w:color="auto" w:fill="0000FF"/>
          </w:tcPr>
          <w:p>
            <w:pPr>
              <w:spacing w:after="0" w:line="20" w:lineRule="exact"/>
              <w:rPr>
                <w:sz w:val="1"/>
                <w:szCs w:val="1"/>
                <w:color w:val="auto"/>
              </w:rPr>
            </w:pPr>
          </w:p>
        </w:tc>
        <w:tc>
          <w:tcPr>
            <w:tcW w:w="380" w:type="dxa"/>
            <w:vAlign w:val="bottom"/>
            <w:gridSpan w:val="6"/>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4020" w:type="dxa"/>
            <w:vAlign w:val="bottom"/>
            <w:gridSpan w:val="8"/>
            <w:vMerge w:val="continue"/>
            <w:shd w:val="clear" w:color="auto" w:fill="CCEEFF"/>
          </w:tcPr>
          <w:p>
            <w:pPr>
              <w:spacing w:after="0"/>
              <w:rPr>
                <w:sz w:val="17"/>
                <w:szCs w:val="17"/>
                <w:color w:val="auto"/>
              </w:rPr>
            </w:pPr>
          </w:p>
        </w:tc>
        <w:tc>
          <w:tcPr>
            <w:tcW w:w="4500" w:type="dxa"/>
            <w:vAlign w:val="bottom"/>
            <w:gridSpan w:val="25"/>
            <w:shd w:val="clear" w:color="auto" w:fill="CCEEFF"/>
          </w:tcPr>
          <w:p>
            <w:pPr>
              <w:spacing w:after="0" w:line="196" w:lineRule="exact"/>
              <w:rPr>
                <w:rFonts w:ascii="Arial" w:cs="Arial" w:eastAsia="Arial" w:hAnsi="Arial"/>
                <w:sz w:val="20"/>
                <w:szCs w:val="20"/>
                <w:color w:val="0000FF"/>
                <w:w w:val="92"/>
              </w:rPr>
            </w:pPr>
            <w:hyperlink r:id="rId218">
              <w:r>
                <w:rPr>
                  <w:rFonts w:ascii="Arial" w:cs="Arial" w:eastAsia="Arial" w:hAnsi="Arial"/>
                  <w:sz w:val="20"/>
                  <w:szCs w:val="20"/>
                  <w:color w:val="0000FF"/>
                  <w:w w:val="92"/>
                </w:rPr>
                <w:t>Form 10-Q for the Quarter ended March 31, 2025</w:t>
              </w:r>
            </w:hyperlink>
            <w:r>
              <w:rPr>
                <w:rFonts w:ascii="Arial" w:cs="Arial" w:eastAsia="Arial" w:hAnsi="Arial"/>
                <w:sz w:val="20"/>
                <w:szCs w:val="20"/>
                <w:color w:val="000000"/>
                <w:w w:val="92"/>
              </w:rPr>
              <w:t>,</w:t>
            </w:r>
            <w:r>
              <w:rPr>
                <w:rFonts w:ascii="Arial" w:cs="Arial" w:eastAsia="Arial" w:hAnsi="Arial"/>
                <w:sz w:val="20"/>
                <w:szCs w:val="20"/>
                <w:color w:val="0000FF"/>
                <w:w w:val="92"/>
              </w:rPr>
              <w:t xml:space="preserve"> </w:t>
            </w:r>
            <w:r>
              <w:rPr>
                <w:rFonts w:ascii="Arial" w:cs="Arial" w:eastAsia="Arial" w:hAnsi="Arial"/>
                <w:sz w:val="20"/>
                <w:szCs w:val="20"/>
                <w:color w:val="000000"/>
                <w:w w:val="92"/>
              </w:rPr>
              <w:t>and</w:t>
            </w:r>
          </w:p>
        </w:tc>
        <w:tc>
          <w:tcPr>
            <w:tcW w:w="0" w:type="dxa"/>
            <w:vAlign w:val="bottom"/>
          </w:tcPr>
          <w:p>
            <w:pPr>
              <w:spacing w:after="0"/>
              <w:rPr>
                <w:sz w:val="1"/>
                <w:szCs w:val="1"/>
                <w:color w:val="auto"/>
              </w:rPr>
            </w:pPr>
          </w:p>
        </w:tc>
      </w:tr>
      <w:tr>
        <w:trPr>
          <w:trHeight w:val="215"/>
        </w:trPr>
        <w:tc>
          <w:tcPr>
            <w:tcW w:w="8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0000FF"/>
            </w:tcBorders>
            <w:gridSpan w:val="16"/>
            <w:shd w:val="clear" w:color="auto" w:fill="CCEEFF"/>
          </w:tcPr>
          <w:p>
            <w:pPr>
              <w:spacing w:after="0" w:line="215" w:lineRule="exact"/>
              <w:rPr>
                <w:sz w:val="20"/>
                <w:szCs w:val="20"/>
                <w:color w:val="auto"/>
              </w:rPr>
            </w:pPr>
            <w:r>
              <w:rPr>
                <w:rFonts w:ascii="Arial" w:cs="Arial" w:eastAsia="Arial" w:hAnsi="Arial"/>
                <w:sz w:val="20"/>
                <w:szCs w:val="20"/>
                <w:color w:val="auto"/>
              </w:rPr>
              <w:t>incorporated herein by reference.</w:t>
            </w:r>
          </w:p>
        </w:tc>
        <w:tc>
          <w:tcPr>
            <w:tcW w:w="500" w:type="dxa"/>
            <w:vAlign w:val="bottom"/>
            <w:tcBorders>
              <w:top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spacing w:after="0" w:line="192" w:lineRule="exact"/>
              <w:rPr>
                <w:sz w:val="20"/>
                <w:szCs w:val="20"/>
                <w:color w:val="auto"/>
              </w:rPr>
            </w:pPr>
            <w:r>
              <w:rPr>
                <w:rFonts w:ascii="Arial" w:cs="Arial" w:eastAsia="Arial" w:hAnsi="Arial"/>
                <w:sz w:val="18"/>
                <w:szCs w:val="18"/>
                <w:color w:val="auto"/>
                <w:w w:val="93"/>
              </w:rPr>
              <w:t>10.48</w:t>
            </w:r>
          </w:p>
        </w:tc>
        <w:tc>
          <w:tcPr>
            <w:tcW w:w="4020" w:type="dxa"/>
            <w:vAlign w:val="bottom"/>
            <w:gridSpan w:val="8"/>
          </w:tcPr>
          <w:p>
            <w:pPr>
              <w:spacing w:after="0" w:line="192" w:lineRule="exact"/>
              <w:rPr>
                <w:sz w:val="20"/>
                <w:szCs w:val="20"/>
                <w:color w:val="auto"/>
              </w:rPr>
            </w:pPr>
            <w:r>
              <w:rPr>
                <w:rFonts w:ascii="Arial" w:cs="Arial" w:eastAsia="Arial" w:hAnsi="Arial"/>
                <w:sz w:val="18"/>
                <w:szCs w:val="18"/>
                <w:color w:val="auto"/>
              </w:rPr>
              <w:t>Amended and Restated Mortgage and Security</w:t>
            </w:r>
          </w:p>
        </w:tc>
        <w:tc>
          <w:tcPr>
            <w:tcW w:w="4500" w:type="dxa"/>
            <w:vAlign w:val="bottom"/>
            <w:gridSpan w:val="25"/>
          </w:tcPr>
          <w:p>
            <w:pPr>
              <w:spacing w:after="0" w:line="192" w:lineRule="exact"/>
              <w:rPr>
                <w:rFonts w:ascii="Arial" w:cs="Arial" w:eastAsia="Arial" w:hAnsi="Arial"/>
                <w:sz w:val="20"/>
                <w:szCs w:val="20"/>
                <w:color w:val="auto"/>
              </w:rPr>
            </w:pPr>
            <w:r>
              <w:rPr>
                <w:rFonts w:ascii="Arial" w:cs="Arial" w:eastAsia="Arial" w:hAnsi="Arial"/>
                <w:sz w:val="20"/>
                <w:szCs w:val="20"/>
                <w:color w:val="auto"/>
              </w:rPr>
              <w:t xml:space="preserve">Filed as </w:t>
            </w:r>
            <w:hyperlink r:id="rId219">
              <w:r>
                <w:rPr>
                  <w:rFonts w:ascii="Arial" w:cs="Arial" w:eastAsia="Arial" w:hAnsi="Arial"/>
                  <w:sz w:val="20"/>
                  <w:szCs w:val="20"/>
                  <w:color w:val="0000FF"/>
                </w:rPr>
                <w:t>Exhibit 10.44 to the Company’s Annual</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6"/>
              </w:rPr>
              <w:t>Agreement dated September 29, 2023, executed by</w:t>
            </w:r>
          </w:p>
        </w:tc>
        <w:tc>
          <w:tcPr>
            <w:tcW w:w="740" w:type="dxa"/>
            <w:vAlign w:val="bottom"/>
            <w:gridSpan w:val="3"/>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gridSpan w:val="10"/>
            <w:shd w:val="clear" w:color="auto" w:fill="0000FF"/>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4500" w:type="dxa"/>
            <w:vAlign w:val="bottom"/>
            <w:gridSpan w:val="25"/>
          </w:tcPr>
          <w:p>
            <w:pPr>
              <w:spacing w:after="0" w:line="180" w:lineRule="exact"/>
              <w:rPr>
                <w:rFonts w:ascii="Arial" w:cs="Arial" w:eastAsia="Arial" w:hAnsi="Arial"/>
                <w:sz w:val="20"/>
                <w:szCs w:val="20"/>
                <w:color w:val="0000FF"/>
                <w:w w:val="93"/>
              </w:rPr>
            </w:pPr>
            <w:hyperlink r:id="rId219">
              <w:r>
                <w:rPr>
                  <w:rFonts w:ascii="Arial" w:cs="Arial" w:eastAsia="Arial" w:hAnsi="Arial"/>
                  <w:sz w:val="20"/>
                  <w:szCs w:val="20"/>
                  <w:color w:val="0000FF"/>
                  <w:w w:val="93"/>
                </w:rPr>
                <w:t xml:space="preserve">Report on Form 10-K/A No. 2 </w:t>
              </w:r>
            </w:hyperlink>
            <w:r>
              <w:rPr>
                <w:rFonts w:ascii="Arial" w:cs="Arial" w:eastAsia="Arial" w:hAnsi="Arial"/>
                <w:sz w:val="20"/>
                <w:szCs w:val="20"/>
                <w:color w:val="000000"/>
                <w:w w:val="93"/>
              </w:rPr>
              <w:t>and</w:t>
            </w:r>
            <w:r>
              <w:rPr>
                <w:rFonts w:ascii="Arial" w:cs="Arial" w:eastAsia="Arial" w:hAnsi="Arial"/>
                <w:sz w:val="20"/>
                <w:szCs w:val="20"/>
                <w:color w:val="0000FF"/>
                <w:w w:val="93"/>
              </w:rPr>
              <w:t xml:space="preserve"> </w:t>
            </w:r>
            <w:r>
              <w:rPr>
                <w:rFonts w:ascii="Arial" w:cs="Arial" w:eastAsia="Arial" w:hAnsi="Arial"/>
                <w:sz w:val="20"/>
                <w:szCs w:val="20"/>
                <w:color w:val="000000"/>
                <w:w w:val="93"/>
              </w:rPr>
              <w:t>incorporated herein</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w w:val="94"/>
              </w:rPr>
              <w:t>Sutton Hill Properties, LLC in favor of Valley National</w:t>
            </w:r>
          </w:p>
        </w:tc>
        <w:tc>
          <w:tcPr>
            <w:tcW w:w="2400" w:type="dxa"/>
            <w:vAlign w:val="bottom"/>
            <w:tcBorders>
              <w:bottom w:val="single" w:sz="8" w:color="0000FF"/>
            </w:tcBorders>
            <w:gridSpan w:val="4"/>
          </w:tcPr>
          <w:p>
            <w:pPr>
              <w:spacing w:after="0" w:line="20" w:lineRule="exact"/>
              <w:rPr>
                <w:sz w:val="1"/>
                <w:szCs w:val="1"/>
                <w:color w:val="auto"/>
              </w:rPr>
            </w:pPr>
          </w:p>
        </w:tc>
        <w:tc>
          <w:tcPr>
            <w:tcW w:w="2100" w:type="dxa"/>
            <w:vAlign w:val="bottom"/>
            <w:gridSpan w:val="21"/>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vMerge w:val="continue"/>
          </w:tcPr>
          <w:p>
            <w:pPr>
              <w:spacing w:after="0"/>
              <w:rPr>
                <w:sz w:val="15"/>
                <w:szCs w:val="15"/>
                <w:color w:val="auto"/>
              </w:rPr>
            </w:pPr>
          </w:p>
        </w:tc>
        <w:tc>
          <w:tcPr>
            <w:tcW w:w="2400" w:type="dxa"/>
            <w:vAlign w:val="bottom"/>
            <w:gridSpan w:val="4"/>
          </w:tcPr>
          <w:p>
            <w:pPr>
              <w:spacing w:after="0" w:line="174" w:lineRule="exact"/>
              <w:rPr>
                <w:sz w:val="20"/>
                <w:szCs w:val="20"/>
                <w:color w:val="auto"/>
              </w:rPr>
            </w:pPr>
            <w:r>
              <w:rPr>
                <w:rFonts w:ascii="Arial" w:cs="Arial" w:eastAsia="Arial" w:hAnsi="Arial"/>
                <w:sz w:val="20"/>
                <w:szCs w:val="20"/>
                <w:color w:val="auto"/>
              </w:rPr>
              <w:t>by reference</w:t>
            </w:r>
            <w:r>
              <w:rPr>
                <w:rFonts w:ascii="Arial" w:cs="Arial" w:eastAsia="Arial" w:hAnsi="Arial"/>
                <w:sz w:val="18"/>
                <w:szCs w:val="18"/>
                <w:color w:val="auto"/>
              </w:rPr>
              <w:t>.</w:t>
            </w:r>
          </w:p>
        </w:tc>
        <w:tc>
          <w:tcPr>
            <w:tcW w:w="210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4020" w:type="dxa"/>
            <w:vAlign w:val="bottom"/>
            <w:gridSpan w:val="8"/>
          </w:tcPr>
          <w:p>
            <w:pPr>
              <w:spacing w:after="0" w:line="170" w:lineRule="exact"/>
              <w:rPr>
                <w:sz w:val="20"/>
                <w:szCs w:val="20"/>
                <w:color w:val="auto"/>
              </w:rPr>
            </w:pPr>
            <w:r>
              <w:rPr>
                <w:rFonts w:ascii="Arial" w:cs="Arial" w:eastAsia="Arial" w:hAnsi="Arial"/>
                <w:sz w:val="18"/>
                <w:szCs w:val="18"/>
                <w:color w:val="auto"/>
              </w:rPr>
              <w:t>Bank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8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w w:val="90"/>
              </w:rPr>
              <w:t>10.49†</w:t>
            </w:r>
          </w:p>
        </w:tc>
        <w:tc>
          <w:tcPr>
            <w:tcW w:w="4020" w:type="dxa"/>
            <w:vAlign w:val="bottom"/>
            <w:gridSpan w:val="8"/>
            <w:shd w:val="clear" w:color="auto" w:fill="CCEEFF"/>
          </w:tcPr>
          <w:p>
            <w:pPr>
              <w:spacing w:after="0" w:line="192" w:lineRule="exact"/>
              <w:rPr>
                <w:sz w:val="20"/>
                <w:szCs w:val="20"/>
                <w:color w:val="auto"/>
              </w:rPr>
            </w:pPr>
            <w:r>
              <w:rPr>
                <w:rFonts w:ascii="Arial" w:cs="Arial" w:eastAsia="Arial" w:hAnsi="Arial"/>
                <w:sz w:val="18"/>
                <w:szCs w:val="18"/>
                <w:color w:val="auto"/>
              </w:rPr>
              <w:t>Mortgage Modification and Extension Agreement</w:t>
            </w:r>
          </w:p>
        </w:tc>
        <w:tc>
          <w:tcPr>
            <w:tcW w:w="4500" w:type="dxa"/>
            <w:vAlign w:val="bottom"/>
            <w:gridSpan w:val="25"/>
            <w:shd w:val="clear" w:color="auto" w:fill="CCEEFF"/>
          </w:tcPr>
          <w:p>
            <w:pPr>
              <w:spacing w:after="0" w:line="192" w:lineRule="exact"/>
              <w:rPr>
                <w:sz w:val="20"/>
                <w:szCs w:val="20"/>
                <w:color w:val="auto"/>
              </w:rPr>
            </w:pPr>
            <w:r>
              <w:rPr>
                <w:rFonts w:ascii="Arial" w:cs="Arial" w:eastAsia="Arial" w:hAnsi="Arial"/>
                <w:sz w:val="20"/>
                <w:szCs w:val="20"/>
                <w:color w:val="auto"/>
              </w:rPr>
              <w:t>Filed as</w:t>
            </w:r>
          </w:p>
        </w:tc>
        <w:tc>
          <w:tcPr>
            <w:tcW w:w="0" w:type="dxa"/>
            <w:vAlign w:val="bottom"/>
          </w:tcPr>
          <w:p>
            <w:pPr>
              <w:spacing w:after="0"/>
              <w:rPr>
                <w:sz w:val="1"/>
                <w:szCs w:val="1"/>
                <w:color w:val="auto"/>
              </w:rPr>
            </w:pPr>
          </w:p>
        </w:tc>
      </w:tr>
      <w:tr>
        <w:trPr>
          <w:trHeight w:val="201"/>
        </w:trPr>
        <w:tc>
          <w:tcPr>
            <w:tcW w:w="88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8"/>
            <w:shd w:val="clear" w:color="auto" w:fill="CCEEFF"/>
          </w:tcPr>
          <w:p>
            <w:pPr>
              <w:spacing w:after="0" w:line="199" w:lineRule="exact"/>
              <w:rPr>
                <w:sz w:val="20"/>
                <w:szCs w:val="20"/>
                <w:color w:val="auto"/>
              </w:rPr>
            </w:pPr>
            <w:r>
              <w:rPr>
                <w:rFonts w:ascii="Arial" w:cs="Arial" w:eastAsia="Arial" w:hAnsi="Arial"/>
                <w:sz w:val="18"/>
                <w:szCs w:val="18"/>
                <w:color w:val="auto"/>
                <w:w w:val="98"/>
              </w:rPr>
              <w:t>dated September 29, 2023, executed by Sutton Hill</w:t>
            </w:r>
          </w:p>
        </w:tc>
        <w:tc>
          <w:tcPr>
            <w:tcW w:w="4500" w:type="dxa"/>
            <w:vAlign w:val="bottom"/>
            <w:tcBorders>
              <w:bottom w:val="single" w:sz="8" w:color="CCEEFF"/>
            </w:tcBorders>
            <w:gridSpan w:val="25"/>
            <w:shd w:val="clear" w:color="auto" w:fill="CCEEFF"/>
          </w:tcPr>
          <w:p>
            <w:pPr>
              <w:spacing w:after="0" w:line="200" w:lineRule="exact"/>
              <w:rPr>
                <w:rFonts w:ascii="Arial" w:cs="Arial" w:eastAsia="Arial" w:hAnsi="Arial"/>
                <w:sz w:val="20"/>
                <w:szCs w:val="20"/>
                <w:color w:val="0000FF"/>
              </w:rPr>
            </w:pPr>
            <w:hyperlink r:id="rId220">
              <w:r>
                <w:rPr>
                  <w:rFonts w:ascii="Arial" w:cs="Arial" w:eastAsia="Arial" w:hAnsi="Arial"/>
                  <w:sz w:val="20"/>
                  <w:szCs w:val="20"/>
                  <w:color w:val="0000FF"/>
                </w:rPr>
                <w:t>Exhibit 10.2 to the Company’s Quarterly report on</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4020" w:type="dxa"/>
            <w:vAlign w:val="bottom"/>
            <w:gridSpan w:val="8"/>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Properties, LLC and Valley National Bank.</w:t>
            </w:r>
          </w:p>
        </w:tc>
        <w:tc>
          <w:tcPr>
            <w:tcW w:w="4120" w:type="dxa"/>
            <w:vAlign w:val="bottom"/>
            <w:tcBorders>
              <w:right w:val="single" w:sz="8" w:color="CCEEFF"/>
            </w:tcBorders>
            <w:gridSpan w:val="19"/>
            <w:shd w:val="clear" w:color="auto" w:fill="0000FF"/>
          </w:tcPr>
          <w:p>
            <w:pPr>
              <w:spacing w:after="0" w:line="20" w:lineRule="exact"/>
              <w:rPr>
                <w:sz w:val="1"/>
                <w:szCs w:val="1"/>
                <w:color w:val="auto"/>
              </w:rPr>
            </w:pPr>
          </w:p>
        </w:tc>
        <w:tc>
          <w:tcPr>
            <w:tcW w:w="380" w:type="dxa"/>
            <w:vAlign w:val="bottom"/>
            <w:gridSpan w:val="6"/>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4020" w:type="dxa"/>
            <w:vAlign w:val="bottom"/>
            <w:gridSpan w:val="8"/>
            <w:vMerge w:val="continue"/>
            <w:shd w:val="clear" w:color="auto" w:fill="CCEEFF"/>
          </w:tcPr>
          <w:p>
            <w:pPr>
              <w:spacing w:after="0"/>
              <w:rPr>
                <w:sz w:val="17"/>
                <w:szCs w:val="17"/>
                <w:color w:val="auto"/>
              </w:rPr>
            </w:pPr>
          </w:p>
        </w:tc>
        <w:tc>
          <w:tcPr>
            <w:tcW w:w="4500" w:type="dxa"/>
            <w:vAlign w:val="bottom"/>
            <w:gridSpan w:val="25"/>
            <w:shd w:val="clear" w:color="auto" w:fill="CCEEFF"/>
          </w:tcPr>
          <w:p>
            <w:pPr>
              <w:spacing w:after="0" w:line="196" w:lineRule="exact"/>
              <w:rPr>
                <w:rFonts w:ascii="Arial" w:cs="Arial" w:eastAsia="Arial" w:hAnsi="Arial"/>
                <w:sz w:val="20"/>
                <w:szCs w:val="20"/>
                <w:color w:val="0000FF"/>
                <w:w w:val="92"/>
              </w:rPr>
            </w:pPr>
            <w:hyperlink r:id="rId220">
              <w:r>
                <w:rPr>
                  <w:rFonts w:ascii="Arial" w:cs="Arial" w:eastAsia="Arial" w:hAnsi="Arial"/>
                  <w:sz w:val="20"/>
                  <w:szCs w:val="20"/>
                  <w:color w:val="0000FF"/>
                  <w:w w:val="92"/>
                </w:rPr>
                <w:t>Form 10-Q for the Quarter ended March 31, 2025</w:t>
              </w:r>
            </w:hyperlink>
            <w:r>
              <w:rPr>
                <w:rFonts w:ascii="Arial" w:cs="Arial" w:eastAsia="Arial" w:hAnsi="Arial"/>
                <w:sz w:val="20"/>
                <w:szCs w:val="20"/>
                <w:color w:val="000000"/>
                <w:w w:val="92"/>
              </w:rPr>
              <w:t>,</w:t>
            </w:r>
            <w:r>
              <w:rPr>
                <w:rFonts w:ascii="Arial" w:cs="Arial" w:eastAsia="Arial" w:hAnsi="Arial"/>
                <w:sz w:val="20"/>
                <w:szCs w:val="20"/>
                <w:color w:val="0000FF"/>
                <w:w w:val="92"/>
              </w:rPr>
              <w:t xml:space="preserve"> </w:t>
            </w:r>
            <w:r>
              <w:rPr>
                <w:rFonts w:ascii="Arial" w:cs="Arial" w:eastAsia="Arial" w:hAnsi="Arial"/>
                <w:sz w:val="20"/>
                <w:szCs w:val="20"/>
                <w:color w:val="000000"/>
                <w:w w:val="92"/>
              </w:rPr>
              <w:t>and</w:t>
            </w:r>
          </w:p>
        </w:tc>
        <w:tc>
          <w:tcPr>
            <w:tcW w:w="0" w:type="dxa"/>
            <w:vAlign w:val="bottom"/>
          </w:tcPr>
          <w:p>
            <w:pPr>
              <w:spacing w:after="0"/>
              <w:rPr>
                <w:sz w:val="1"/>
                <w:szCs w:val="1"/>
                <w:color w:val="auto"/>
              </w:rPr>
            </w:pPr>
          </w:p>
        </w:tc>
      </w:tr>
      <w:tr>
        <w:trPr>
          <w:trHeight w:val="215"/>
        </w:trPr>
        <w:tc>
          <w:tcPr>
            <w:tcW w:w="8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0000FF"/>
            </w:tcBorders>
            <w:gridSpan w:val="16"/>
            <w:shd w:val="clear" w:color="auto" w:fill="CCEEFF"/>
          </w:tcPr>
          <w:p>
            <w:pPr>
              <w:spacing w:after="0" w:line="215" w:lineRule="exact"/>
              <w:rPr>
                <w:sz w:val="20"/>
                <w:szCs w:val="20"/>
                <w:color w:val="auto"/>
              </w:rPr>
            </w:pPr>
            <w:r>
              <w:rPr>
                <w:rFonts w:ascii="Arial" w:cs="Arial" w:eastAsia="Arial" w:hAnsi="Arial"/>
                <w:sz w:val="20"/>
                <w:szCs w:val="20"/>
                <w:color w:val="auto"/>
              </w:rPr>
              <w:t>incorporated herein by reference.</w:t>
            </w:r>
          </w:p>
        </w:tc>
        <w:tc>
          <w:tcPr>
            <w:tcW w:w="500" w:type="dxa"/>
            <w:vAlign w:val="bottom"/>
            <w:tcBorders>
              <w:top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spacing w:after="0" w:line="192" w:lineRule="exact"/>
              <w:rPr>
                <w:sz w:val="20"/>
                <w:szCs w:val="20"/>
                <w:color w:val="auto"/>
              </w:rPr>
            </w:pPr>
            <w:r>
              <w:rPr>
                <w:rFonts w:ascii="Arial" w:cs="Arial" w:eastAsia="Arial" w:hAnsi="Arial"/>
                <w:sz w:val="18"/>
                <w:szCs w:val="18"/>
                <w:color w:val="auto"/>
                <w:w w:val="90"/>
              </w:rPr>
              <w:t>10.50†</w:t>
            </w:r>
          </w:p>
        </w:tc>
        <w:tc>
          <w:tcPr>
            <w:tcW w:w="4020" w:type="dxa"/>
            <w:vAlign w:val="bottom"/>
            <w:gridSpan w:val="8"/>
          </w:tcPr>
          <w:p>
            <w:pPr>
              <w:spacing w:after="0" w:line="192" w:lineRule="exact"/>
              <w:rPr>
                <w:sz w:val="20"/>
                <w:szCs w:val="20"/>
                <w:color w:val="auto"/>
              </w:rPr>
            </w:pPr>
            <w:r>
              <w:rPr>
                <w:rFonts w:ascii="Arial" w:cs="Arial" w:eastAsia="Arial" w:hAnsi="Arial"/>
                <w:sz w:val="18"/>
                <w:szCs w:val="18"/>
                <w:color w:val="auto"/>
                <w:w w:val="94"/>
              </w:rPr>
              <w:t>Note Modification Agreement dated October 1, 2024,</w:t>
            </w:r>
          </w:p>
        </w:tc>
        <w:tc>
          <w:tcPr>
            <w:tcW w:w="4500" w:type="dxa"/>
            <w:vAlign w:val="bottom"/>
            <w:gridSpan w:val="25"/>
          </w:tcPr>
          <w:p>
            <w:pPr>
              <w:spacing w:after="0" w:line="192" w:lineRule="exact"/>
              <w:rPr>
                <w:sz w:val="20"/>
                <w:szCs w:val="20"/>
                <w:color w:val="auto"/>
              </w:rPr>
            </w:pPr>
            <w:r>
              <w:rPr>
                <w:rFonts w:ascii="Arial" w:cs="Arial" w:eastAsia="Arial" w:hAnsi="Arial"/>
                <w:sz w:val="20"/>
                <w:szCs w:val="20"/>
                <w:color w:val="auto"/>
              </w:rPr>
              <w:t>Filed as</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4020" w:type="dxa"/>
            <w:vAlign w:val="bottom"/>
            <w:gridSpan w:val="8"/>
          </w:tcPr>
          <w:p>
            <w:pPr>
              <w:spacing w:after="0" w:line="199" w:lineRule="exact"/>
              <w:rPr>
                <w:sz w:val="20"/>
                <w:szCs w:val="20"/>
                <w:color w:val="auto"/>
              </w:rPr>
            </w:pPr>
            <w:r>
              <w:rPr>
                <w:rFonts w:ascii="Arial" w:cs="Arial" w:eastAsia="Arial" w:hAnsi="Arial"/>
                <w:sz w:val="18"/>
                <w:szCs w:val="18"/>
                <w:color w:val="auto"/>
                <w:w w:val="99"/>
              </w:rPr>
              <w:t>executed by Sutton Hill Properties, LLC and Valley</w:t>
            </w:r>
          </w:p>
        </w:tc>
        <w:tc>
          <w:tcPr>
            <w:tcW w:w="4500" w:type="dxa"/>
            <w:vAlign w:val="bottom"/>
            <w:gridSpan w:val="25"/>
          </w:tcPr>
          <w:p>
            <w:pPr>
              <w:spacing w:after="0" w:line="200" w:lineRule="exact"/>
              <w:rPr>
                <w:rFonts w:ascii="Arial" w:cs="Arial" w:eastAsia="Arial" w:hAnsi="Arial"/>
                <w:sz w:val="20"/>
                <w:szCs w:val="20"/>
                <w:color w:val="0000FF"/>
              </w:rPr>
            </w:pPr>
            <w:hyperlink r:id="rId221">
              <w:r>
                <w:rPr>
                  <w:rFonts w:ascii="Arial" w:cs="Arial" w:eastAsia="Arial" w:hAnsi="Arial"/>
                  <w:sz w:val="20"/>
                  <w:szCs w:val="20"/>
                  <w:color w:val="0000FF"/>
                </w:rPr>
                <w:t>Exhibit 10.3 to the Company’s Quarterly report on</w:t>
              </w:r>
            </w:hyperlink>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4020" w:type="dxa"/>
            <w:vAlign w:val="bottom"/>
            <w:gridSpan w:val="8"/>
            <w:vMerge w:val="restart"/>
          </w:tcPr>
          <w:p>
            <w:pPr>
              <w:spacing w:after="0" w:line="199" w:lineRule="exact"/>
              <w:rPr>
                <w:sz w:val="20"/>
                <w:szCs w:val="20"/>
                <w:color w:val="auto"/>
              </w:rPr>
            </w:pPr>
            <w:r>
              <w:rPr>
                <w:rFonts w:ascii="Arial" w:cs="Arial" w:eastAsia="Arial" w:hAnsi="Arial"/>
                <w:sz w:val="18"/>
                <w:szCs w:val="18"/>
                <w:color w:val="auto"/>
              </w:rPr>
              <w:t>National Bank</w:t>
            </w:r>
          </w:p>
        </w:tc>
        <w:tc>
          <w:tcPr>
            <w:tcW w:w="4120" w:type="dxa"/>
            <w:vAlign w:val="bottom"/>
            <w:tcBorders>
              <w:bottom w:val="single" w:sz="8" w:color="0000FF"/>
            </w:tcBorders>
            <w:gridSpan w:val="19"/>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20" w:type="dxa"/>
            <w:vAlign w:val="bottom"/>
            <w:gridSpan w:val="8"/>
            <w:vMerge w:val="continue"/>
          </w:tcPr>
          <w:p>
            <w:pPr>
              <w:spacing w:after="0"/>
              <w:rPr>
                <w:sz w:val="17"/>
                <w:szCs w:val="17"/>
                <w:color w:val="auto"/>
              </w:rPr>
            </w:pPr>
          </w:p>
        </w:tc>
        <w:tc>
          <w:tcPr>
            <w:tcW w:w="4500" w:type="dxa"/>
            <w:vAlign w:val="bottom"/>
            <w:gridSpan w:val="25"/>
          </w:tcPr>
          <w:p>
            <w:pPr>
              <w:spacing w:after="0" w:line="196" w:lineRule="exact"/>
              <w:rPr>
                <w:rFonts w:ascii="Arial" w:cs="Arial" w:eastAsia="Arial" w:hAnsi="Arial"/>
                <w:sz w:val="20"/>
                <w:szCs w:val="20"/>
                <w:color w:val="0000FF"/>
                <w:w w:val="92"/>
              </w:rPr>
            </w:pPr>
            <w:hyperlink r:id="rId221">
              <w:r>
                <w:rPr>
                  <w:rFonts w:ascii="Arial" w:cs="Arial" w:eastAsia="Arial" w:hAnsi="Arial"/>
                  <w:sz w:val="20"/>
                  <w:szCs w:val="20"/>
                  <w:color w:val="0000FF"/>
                  <w:w w:val="92"/>
                </w:rPr>
                <w:t>Form 10-Q for the Quarter ended March 31, 2025</w:t>
              </w:r>
            </w:hyperlink>
            <w:r>
              <w:rPr>
                <w:rFonts w:ascii="Arial" w:cs="Arial" w:eastAsia="Arial" w:hAnsi="Arial"/>
                <w:sz w:val="20"/>
                <w:szCs w:val="20"/>
                <w:color w:val="000000"/>
                <w:w w:val="92"/>
              </w:rPr>
              <w:t>,</w:t>
            </w:r>
            <w:r>
              <w:rPr>
                <w:rFonts w:ascii="Arial" w:cs="Arial" w:eastAsia="Arial" w:hAnsi="Arial"/>
                <w:sz w:val="20"/>
                <w:szCs w:val="20"/>
                <w:color w:val="0000FF"/>
                <w:w w:val="92"/>
              </w:rPr>
              <w:t xml:space="preserve"> </w:t>
            </w:r>
            <w:r>
              <w:rPr>
                <w:rFonts w:ascii="Arial" w:cs="Arial" w:eastAsia="Arial" w:hAnsi="Arial"/>
                <w:sz w:val="20"/>
                <w:szCs w:val="20"/>
                <w:color w:val="000000"/>
                <w:w w:val="92"/>
              </w:rPr>
              <w:t>and</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tcBorders>
              <w:top w:val="single" w:sz="8" w:color="0000FF"/>
            </w:tcBorders>
            <w:gridSpan w:val="16"/>
          </w:tcPr>
          <w:p>
            <w:pPr>
              <w:spacing w:after="0" w:line="215" w:lineRule="exact"/>
              <w:rPr>
                <w:sz w:val="20"/>
                <w:szCs w:val="20"/>
                <w:color w:val="auto"/>
              </w:rPr>
            </w:pPr>
            <w:r>
              <w:rPr>
                <w:rFonts w:ascii="Arial" w:cs="Arial" w:eastAsia="Arial" w:hAnsi="Arial"/>
                <w:sz w:val="20"/>
                <w:szCs w:val="20"/>
                <w:color w:val="auto"/>
              </w:rPr>
              <w:t>incorporated herein by reference.</w:t>
            </w:r>
          </w:p>
        </w:tc>
        <w:tc>
          <w:tcPr>
            <w:tcW w:w="5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88"/>
              </w:rPr>
              <w:t>10.51†+</w:t>
            </w:r>
          </w:p>
        </w:tc>
        <w:tc>
          <w:tcPr>
            <w:tcW w:w="3900" w:type="dxa"/>
            <w:vAlign w:val="bottom"/>
            <w:tcBorders>
              <w:bottom w:val="single" w:sz="8" w:color="0000FF"/>
            </w:tcBorders>
            <w:gridSpan w:val="6"/>
            <w:shd w:val="clear" w:color="auto" w:fill="CCEEFF"/>
          </w:tcPr>
          <w:p>
            <w:pPr>
              <w:spacing w:after="0" w:line="177" w:lineRule="exact"/>
              <w:rPr>
                <w:sz w:val="20"/>
                <w:szCs w:val="20"/>
                <w:color w:val="auto"/>
              </w:rPr>
            </w:pPr>
            <w:r>
              <w:rPr>
                <w:rFonts w:ascii="Arial" w:cs="Arial" w:eastAsia="Arial" w:hAnsi="Arial"/>
                <w:sz w:val="18"/>
                <w:szCs w:val="18"/>
                <w:color w:val="0000FF"/>
                <w:w w:val="92"/>
              </w:rPr>
              <w:t>Note Modification Agreement dated October 1, 2025,</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4500" w:type="dxa"/>
            <w:vAlign w:val="bottom"/>
            <w:tcBorders>
              <w:bottom w:val="single" w:sz="8" w:color="CCEEFF"/>
            </w:tcBorders>
            <w:gridSpan w:val="25"/>
            <w:shd w:val="clear" w:color="auto" w:fill="CCEEFF"/>
          </w:tcPr>
          <w:p>
            <w:pPr>
              <w:spacing w:after="0" w:line="178" w:lineRule="exact"/>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3760" w:type="dxa"/>
            <w:vAlign w:val="bottom"/>
            <w:tcBorders>
              <w:bottom w:val="single" w:sz="8" w:color="0000FF"/>
            </w:tcBorders>
            <w:gridSpan w:val="4"/>
            <w:shd w:val="clear" w:color="auto" w:fill="CCEEFF"/>
          </w:tcPr>
          <w:p>
            <w:pPr>
              <w:spacing w:after="0" w:line="175" w:lineRule="exact"/>
              <w:rPr>
                <w:sz w:val="20"/>
                <w:szCs w:val="20"/>
                <w:color w:val="auto"/>
              </w:rPr>
            </w:pPr>
            <w:r>
              <w:rPr>
                <w:rFonts w:ascii="Arial" w:cs="Arial" w:eastAsia="Arial" w:hAnsi="Arial"/>
                <w:sz w:val="18"/>
                <w:szCs w:val="18"/>
                <w:color w:val="0000FF"/>
                <w:w w:val="92"/>
              </w:rPr>
              <w:t>executed by Sutton Hill Properties, LLC and Valley</w:t>
            </w:r>
          </w:p>
        </w:tc>
        <w:tc>
          <w:tcPr>
            <w:tcW w:w="260" w:type="dxa"/>
            <w:vAlign w:val="bottom"/>
            <w:tcBorders>
              <w:bottom w:val="single" w:sz="8" w:color="CCEEFF"/>
            </w:tcBorders>
            <w:gridSpan w:val="4"/>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0000FF"/>
            </w:tcBorders>
            <w:shd w:val="clear" w:color="auto" w:fill="CCEEFF"/>
          </w:tcPr>
          <w:p>
            <w:pPr>
              <w:spacing w:after="0" w:line="175" w:lineRule="exact"/>
              <w:rPr>
                <w:sz w:val="20"/>
                <w:szCs w:val="20"/>
                <w:color w:val="auto"/>
              </w:rPr>
            </w:pPr>
            <w:r>
              <w:rPr>
                <w:rFonts w:ascii="Arial" w:cs="Arial" w:eastAsia="Arial" w:hAnsi="Arial"/>
                <w:sz w:val="18"/>
                <w:szCs w:val="18"/>
                <w:color w:val="0000FF"/>
                <w:w w:val="92"/>
              </w:rPr>
              <w:t>National Bank.</w:t>
            </w:r>
          </w:p>
        </w:tc>
        <w:tc>
          <w:tcPr>
            <w:tcW w:w="2920" w:type="dxa"/>
            <w:vAlign w:val="bottom"/>
            <w:tcBorders>
              <w:bottom w:val="single" w:sz="8" w:color="CCEEFF"/>
            </w:tcBorders>
            <w:gridSpan w:val="7"/>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jc w:val="center"/>
              <w:spacing w:after="0" w:line="175" w:lineRule="exact"/>
              <w:rPr>
                <w:sz w:val="20"/>
                <w:szCs w:val="20"/>
                <w:color w:val="auto"/>
              </w:rPr>
            </w:pPr>
            <w:r>
              <w:rPr>
                <w:rFonts w:ascii="Arial" w:cs="Arial" w:eastAsia="Arial" w:hAnsi="Arial"/>
                <w:sz w:val="18"/>
                <w:szCs w:val="18"/>
                <w:color w:val="auto"/>
                <w:w w:val="90"/>
              </w:rPr>
              <w:t>10.52†</w:t>
            </w:r>
          </w:p>
        </w:tc>
        <w:tc>
          <w:tcPr>
            <w:tcW w:w="4020" w:type="dxa"/>
            <w:vAlign w:val="bottom"/>
            <w:gridSpan w:val="8"/>
          </w:tcPr>
          <w:p>
            <w:pPr>
              <w:spacing w:after="0" w:line="175" w:lineRule="exact"/>
              <w:rPr>
                <w:sz w:val="20"/>
                <w:szCs w:val="20"/>
                <w:color w:val="auto"/>
              </w:rPr>
            </w:pPr>
            <w:r>
              <w:rPr>
                <w:rFonts w:ascii="Arial" w:cs="Arial" w:eastAsia="Arial" w:hAnsi="Arial"/>
                <w:sz w:val="18"/>
                <w:szCs w:val="18"/>
                <w:color w:val="auto"/>
              </w:rPr>
              <w:t>Loan Agreement dated as of May 7, 2021, by and</w:t>
            </w:r>
          </w:p>
        </w:tc>
        <w:tc>
          <w:tcPr>
            <w:tcW w:w="4500" w:type="dxa"/>
            <w:vAlign w:val="bottom"/>
            <w:gridSpan w:val="25"/>
          </w:tcPr>
          <w:p>
            <w:pPr>
              <w:spacing w:after="0" w:line="175" w:lineRule="exact"/>
              <w:rPr>
                <w:rFonts w:ascii="Arial" w:cs="Arial" w:eastAsia="Arial" w:hAnsi="Arial"/>
                <w:sz w:val="18"/>
                <w:szCs w:val="18"/>
                <w:color w:val="auto"/>
                <w:w w:val="94"/>
              </w:rPr>
            </w:pPr>
            <w:r>
              <w:rPr>
                <w:rFonts w:ascii="Arial" w:cs="Arial" w:eastAsia="Arial" w:hAnsi="Arial"/>
                <w:sz w:val="18"/>
                <w:szCs w:val="18"/>
                <w:color w:val="auto"/>
                <w:w w:val="94"/>
              </w:rPr>
              <w:t xml:space="preserve">Filed as </w:t>
            </w:r>
            <w:hyperlink r:id="rId222">
              <w:r>
                <w:rPr>
                  <w:rFonts w:ascii="Arial" w:cs="Arial" w:eastAsia="Arial" w:hAnsi="Arial"/>
                  <w:sz w:val="18"/>
                  <w:szCs w:val="18"/>
                  <w:b w:val="1"/>
                  <w:bCs w:val="1"/>
                  <w:color w:val="0000FF"/>
                  <w:w w:val="94"/>
                </w:rPr>
                <w:t>Exhibit 10.1 to the Company’s Quarterly Report</w:t>
              </w:r>
            </w:hyperlink>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gridSpan w:val="8"/>
          </w:tcPr>
          <w:p>
            <w:pPr>
              <w:spacing w:after="0" w:line="175" w:lineRule="exact"/>
              <w:rPr>
                <w:sz w:val="20"/>
                <w:szCs w:val="20"/>
                <w:color w:val="auto"/>
              </w:rPr>
            </w:pPr>
            <w:r>
              <w:rPr>
                <w:rFonts w:ascii="Arial" w:cs="Arial" w:eastAsia="Arial" w:hAnsi="Arial"/>
                <w:sz w:val="18"/>
                <w:szCs w:val="18"/>
                <w:color w:val="auto"/>
              </w:rPr>
              <w:t>between Reading Tammany Owner LLC and US</w:t>
            </w:r>
          </w:p>
        </w:tc>
        <w:tc>
          <w:tcPr>
            <w:tcW w:w="620" w:type="dxa"/>
            <w:vAlign w:val="bottom"/>
          </w:tcPr>
          <w:p>
            <w:pPr>
              <w:spacing w:after="0" w:line="175" w:lineRule="exact"/>
              <w:rPr>
                <w:rFonts w:ascii="Arial" w:cs="Arial" w:eastAsia="Arial" w:hAnsi="Arial"/>
                <w:sz w:val="18"/>
                <w:szCs w:val="18"/>
                <w:b w:val="1"/>
                <w:bCs w:val="1"/>
                <w:color w:val="0000FF"/>
                <w:w w:val="80"/>
              </w:rPr>
            </w:pPr>
            <w:hyperlink r:id="rId222">
              <w:r>
                <w:rPr>
                  <w:rFonts w:ascii="Arial" w:cs="Arial" w:eastAsia="Arial" w:hAnsi="Arial"/>
                  <w:sz w:val="18"/>
                  <w:szCs w:val="18"/>
                  <w:b w:val="1"/>
                  <w:bCs w:val="1"/>
                  <w:color w:val="0000FF"/>
                  <w:w w:val="80"/>
                </w:rPr>
                <w:t>on Form</w:t>
              </w:r>
            </w:hyperlink>
          </w:p>
        </w:tc>
        <w:tc>
          <w:tcPr>
            <w:tcW w:w="3800" w:type="dxa"/>
            <w:vAlign w:val="bottom"/>
            <w:tcBorders>
              <w:top w:val="single" w:sz="8" w:color="0000FF"/>
            </w:tcBorders>
            <w:gridSpan w:val="22"/>
          </w:tcPr>
          <w:p>
            <w:pPr>
              <w:ind w:left="100"/>
              <w:spacing w:after="0" w:line="175" w:lineRule="exact"/>
              <w:rPr>
                <w:rFonts w:ascii="Arial" w:cs="Arial" w:eastAsia="Arial" w:hAnsi="Arial"/>
                <w:sz w:val="18"/>
                <w:szCs w:val="18"/>
                <w:b w:val="1"/>
                <w:bCs w:val="1"/>
                <w:color w:val="0000FF"/>
                <w:w w:val="94"/>
              </w:rPr>
            </w:pPr>
            <w:hyperlink r:id="rId222">
              <w:r>
                <w:rPr>
                  <w:rFonts w:ascii="Arial" w:cs="Arial" w:eastAsia="Arial" w:hAnsi="Arial"/>
                  <w:sz w:val="18"/>
                  <w:szCs w:val="18"/>
                  <w:b w:val="1"/>
                  <w:bCs w:val="1"/>
                  <w:color w:val="0000FF"/>
                  <w:w w:val="94"/>
                </w:rPr>
                <w:t>10-Q for the quarter ended June 30, 2021</w:t>
              </w:r>
            </w:hyperlink>
            <w:r>
              <w:rPr>
                <w:rFonts w:ascii="Arial" w:cs="Arial" w:eastAsia="Arial" w:hAnsi="Arial"/>
                <w:sz w:val="18"/>
                <w:szCs w:val="18"/>
                <w:color w:val="000000"/>
                <w:w w:val="94"/>
              </w:rPr>
              <w:t>,</w:t>
            </w:r>
            <w:r>
              <w:rPr>
                <w:rFonts w:ascii="Arial" w:cs="Arial" w:eastAsia="Arial" w:hAnsi="Arial"/>
                <w:sz w:val="18"/>
                <w:szCs w:val="18"/>
                <w:b w:val="1"/>
                <w:bCs w:val="1"/>
                <w:color w:val="0000FF"/>
                <w:w w:val="94"/>
              </w:rPr>
              <w:t xml:space="preserve"> </w:t>
            </w:r>
            <w:r>
              <w:rPr>
                <w:rFonts w:ascii="Arial" w:cs="Arial" w:eastAsia="Arial" w:hAnsi="Arial"/>
                <w:sz w:val="18"/>
                <w:szCs w:val="18"/>
                <w:color w:val="000000"/>
                <w:w w:val="94"/>
              </w:rPr>
              <w:t>and</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20" w:type="dxa"/>
            <w:vAlign w:val="bottom"/>
            <w:gridSpan w:val="8"/>
          </w:tcPr>
          <w:p>
            <w:pPr>
              <w:spacing w:after="0" w:line="189" w:lineRule="exact"/>
              <w:rPr>
                <w:sz w:val="20"/>
                <w:szCs w:val="20"/>
                <w:color w:val="auto"/>
              </w:rPr>
            </w:pPr>
            <w:r>
              <w:rPr>
                <w:rFonts w:ascii="Arial" w:cs="Arial" w:eastAsia="Arial" w:hAnsi="Arial"/>
                <w:sz w:val="18"/>
                <w:szCs w:val="18"/>
                <w:color w:val="auto"/>
              </w:rPr>
              <w:t>Development, LLC, collectively as borrower, and</w:t>
            </w:r>
          </w:p>
        </w:tc>
        <w:tc>
          <w:tcPr>
            <w:tcW w:w="3880" w:type="dxa"/>
            <w:vAlign w:val="bottom"/>
            <w:tcBorders>
              <w:top w:val="single" w:sz="8" w:color="0000FF"/>
            </w:tcBorders>
            <w:gridSpan w:val="12"/>
          </w:tcPr>
          <w:p>
            <w:pPr>
              <w:spacing w:after="0" w:line="189" w:lineRule="exact"/>
              <w:rPr>
                <w:sz w:val="20"/>
                <w:szCs w:val="20"/>
                <w:color w:val="auto"/>
              </w:rPr>
            </w:pPr>
            <w:r>
              <w:rPr>
                <w:rFonts w:ascii="Arial" w:cs="Arial" w:eastAsia="Arial" w:hAnsi="Arial"/>
                <w:sz w:val="18"/>
                <w:szCs w:val="18"/>
                <w:color w:val="auto"/>
                <w:w w:val="99"/>
              </w:rPr>
              <w:t>incorporated herein by reference.in by reference.</w:t>
            </w:r>
          </w:p>
        </w:tc>
        <w:tc>
          <w:tcPr>
            <w:tcW w:w="6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4020" w:type="dxa"/>
            <w:vAlign w:val="bottom"/>
            <w:gridSpan w:val="8"/>
          </w:tcPr>
          <w:p>
            <w:pPr>
              <w:spacing w:after="0" w:line="195" w:lineRule="exact"/>
              <w:rPr>
                <w:sz w:val="20"/>
                <w:szCs w:val="20"/>
                <w:color w:val="auto"/>
              </w:rPr>
            </w:pPr>
            <w:r>
              <w:rPr>
                <w:rFonts w:ascii="Arial" w:cs="Arial" w:eastAsia="Arial" w:hAnsi="Arial"/>
                <w:sz w:val="18"/>
                <w:szCs w:val="18"/>
                <w:color w:val="auto"/>
                <w:w w:val="92"/>
              </w:rPr>
              <w:t>Emerald Creek Capital 3, LLC, as administrative agent</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020" w:type="dxa"/>
            <w:vAlign w:val="bottom"/>
            <w:gridSpan w:val="8"/>
          </w:tcPr>
          <w:p>
            <w:pPr>
              <w:spacing w:after="0" w:line="199" w:lineRule="exact"/>
              <w:rPr>
                <w:sz w:val="20"/>
                <w:szCs w:val="20"/>
                <w:color w:val="auto"/>
              </w:rPr>
            </w:pPr>
            <w:r>
              <w:rPr>
                <w:rFonts w:ascii="Arial" w:cs="Arial" w:eastAsia="Arial" w:hAnsi="Arial"/>
                <w:sz w:val="18"/>
                <w:szCs w:val="18"/>
                <w:color w:val="auto"/>
              </w:rPr>
              <w:t>and collateral agent for the lender.</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104" w:right="1246" w:bottom="0"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39</w:t>
      </w:r>
    </w:p>
    <w:p>
      <w:pPr>
        <w:sectPr>
          <w:pgSz w:w="11900" w:h="16838" w:orient="portrait"/>
          <w:cols w:equalWidth="0" w:num="1">
            <w:col w:w="9400"/>
          </w:cols>
          <w:pgMar w:left="1260" w:top="1104" w:right="1246" w:bottom="0" w:gutter="0" w:footer="0" w:header="0"/>
          <w:type w:val="continuous"/>
        </w:sectPr>
      </w:pPr>
    </w:p>
    <w:bookmarkStart w:id="156" w:name="page157"/>
    <w:bookmarkEnd w:id="156"/>
    <w:p>
      <w:pPr>
        <w:jc w:val="center"/>
        <w:ind w:right="6"/>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236220</wp:posOffset>
            </wp:positionV>
            <wp:extent cx="596773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39</w:t>
      </w:r>
    </w:p>
    <w:p>
      <w:pPr>
        <w:sectPr>
          <w:pgSz w:w="11900" w:h="16838" w:orient="portrait"/>
          <w:cols w:equalWidth="0" w:num="1">
            <w:col w:w="9026"/>
          </w:cols>
          <w:pgMar w:left="1440" w:top="1131" w:right="1440" w:bottom="0" w:gutter="0" w:footer="0" w:header="0"/>
          <w:type w:val="continuous"/>
        </w:sectPr>
      </w:pPr>
    </w:p>
    <w:bookmarkStart w:id="157" w:name="page158"/>
    <w:bookmarkEnd w:id="157"/>
    <w:p>
      <w:pPr>
        <w:ind w:left="886" w:right="60" w:hanging="653"/>
        <w:spacing w:after="0" w:line="225" w:lineRule="auto"/>
        <w:tabs>
          <w:tab w:leader="none" w:pos="866" w:val="left"/>
        </w:tabs>
        <w:rPr>
          <w:sz w:val="20"/>
          <w:szCs w:val="20"/>
          <w:color w:val="auto"/>
        </w:rPr>
      </w:pPr>
      <w:r>
        <w:rPr>
          <w:rFonts w:ascii="Arial" w:cs="Arial" w:eastAsia="Arial" w:hAnsi="Arial"/>
          <w:sz w:val="18"/>
          <w:szCs w:val="18"/>
          <w:color w:val="auto"/>
        </w:rPr>
        <w:t>10.53</w:t>
        <w:tab/>
        <w:t>First Omnibus Loan Modification and Extension Agreement dated April 23, 2024, by and between Reading Tammany Owner LLC and US Development, LLC, collectively as borrower, and Emerald Creek Capital 3, LLC, as administrative agent and collateral agent for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-737235</wp:posOffset>
            </wp:positionV>
            <wp:extent cx="3108960" cy="7404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3108960" cy="740410"/>
                    </a:xfrm>
                    <a:prstGeom prst="rect">
                      <a:avLst/>
                    </a:prstGeom>
                    <a:noFill/>
                  </pic:spPr>
                </pic:pic>
              </a:graphicData>
            </a:graphic>
          </wp:anchor>
        </w:drawing>
      </w:r>
    </w:p>
    <w:p>
      <w:pPr>
        <w:ind w:left="886" w:right="60" w:hanging="698"/>
        <w:spacing w:after="0" w:line="225" w:lineRule="auto"/>
        <w:tabs>
          <w:tab w:leader="none" w:pos="866" w:val="left"/>
        </w:tabs>
        <w:rPr>
          <w:sz w:val="20"/>
          <w:szCs w:val="20"/>
          <w:color w:val="auto"/>
        </w:rPr>
      </w:pPr>
      <w:r>
        <w:rPr>
          <w:rFonts w:ascii="Arial" w:cs="Arial" w:eastAsia="Arial" w:hAnsi="Arial"/>
          <w:sz w:val="18"/>
          <w:szCs w:val="18"/>
          <w:color w:val="auto"/>
        </w:rPr>
        <w:t>10.54†</w:t>
        <w:tab/>
        <w:t>Second Omnibus Loan Modification and Extension Agreement dated May 2, 2025, by and between Reading Tammany Owner LLC and US Development, LLC, collectively as borrower, and Emerald Creek Capital 3, LLC, as administrative agent and collateral agent for the lender.</w:t>
      </w:r>
    </w:p>
    <w:p>
      <w:pPr>
        <w:spacing w:after="0" w:line="2" w:lineRule="exact"/>
        <w:rPr>
          <w:sz w:val="20"/>
          <w:szCs w:val="20"/>
          <w:color w:val="auto"/>
        </w:rPr>
      </w:pPr>
    </w:p>
    <w:p>
      <w:pPr>
        <w:jc w:val="right"/>
        <w:ind w:left="186" w:right="420"/>
        <w:spacing w:after="0" w:line="242" w:lineRule="auto"/>
        <w:rPr>
          <w:sz w:val="20"/>
          <w:szCs w:val="20"/>
          <w:color w:val="auto"/>
        </w:rPr>
      </w:pPr>
      <w:r>
        <w:rPr>
          <w:rFonts w:ascii="Arial" w:cs="Arial" w:eastAsia="Arial" w:hAnsi="Arial"/>
          <w:sz w:val="17"/>
          <w:szCs w:val="17"/>
          <w:color w:val="auto"/>
        </w:rPr>
        <w:t>10.55*  Form of Indemnification Agreement, as routinely granted to the Company’s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3108960" cy="3702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spacing w:after="0" w:line="169" w:lineRule="exact"/>
        <w:rPr>
          <w:sz w:val="20"/>
          <w:szCs w:val="20"/>
          <w:color w:val="auto"/>
        </w:rPr>
      </w:pPr>
    </w:p>
    <w:p>
      <w:pPr>
        <w:ind w:left="886" w:right="460" w:hanging="539"/>
        <w:spacing w:after="0" w:line="272" w:lineRule="auto"/>
        <w:tabs>
          <w:tab w:leader="none" w:pos="8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Preferability Letter from Independent Registered Public Accounting Firm, Grant Thornton LLP.</w:t>
      </w:r>
    </w:p>
    <w:p>
      <w:pPr>
        <w:spacing w:after="0" w:line="166" w:lineRule="exact"/>
        <w:rPr>
          <w:sz w:val="20"/>
          <w:szCs w:val="20"/>
          <w:color w:val="auto"/>
        </w:rPr>
      </w:pPr>
    </w:p>
    <w:p>
      <w:pPr>
        <w:ind w:left="886" w:right="280" w:hanging="608"/>
        <w:spacing w:after="0" w:line="227" w:lineRule="auto"/>
        <w:tabs>
          <w:tab w:leader="none" w:pos="866"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Reading International, Inc. and Subsidiaries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3108960" cy="370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spacing w:after="0" w:line="172" w:lineRule="exact"/>
        <w:rPr>
          <w:sz w:val="20"/>
          <w:szCs w:val="20"/>
          <w:color w:val="auto"/>
        </w:rPr>
      </w:pPr>
    </w:p>
    <w:p>
      <w:pPr>
        <w:ind w:left="886" w:right="60" w:hanging="608"/>
        <w:spacing w:after="0" w:line="238" w:lineRule="auto"/>
        <w:tabs>
          <w:tab w:leader="none" w:pos="866"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Reading International, Inc. Amended and Restated Supplemental Policy Concerning Trading in Company Securities by Designated Persons</w:t>
      </w:r>
    </w:p>
    <w:p>
      <w:pPr>
        <w:spacing w:after="0" w:line="1" w:lineRule="exact"/>
        <w:rPr>
          <w:sz w:val="20"/>
          <w:szCs w:val="20"/>
          <w:color w:val="auto"/>
        </w:rPr>
      </w:pPr>
    </w:p>
    <w:p>
      <w:pPr>
        <w:ind w:left="306"/>
        <w:spacing w:after="0"/>
        <w:tabs>
          <w:tab w:leader="none" w:pos="866"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u w:val="single" w:color="auto"/>
          <w:color w:val="0000FF"/>
        </w:rPr>
        <w:t>List of Subsidiaries</w:t>
      </w:r>
      <w:r>
        <w:rPr>
          <w:rFonts w:ascii="Arial" w:cs="Arial" w:eastAsia="Arial" w:hAnsi="Arial"/>
          <w:sz w:val="19"/>
          <w:szCs w:val="19"/>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3108960" cy="141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3108960" cy="141605"/>
                    </a:xfrm>
                    <a:prstGeom prst="rect">
                      <a:avLst/>
                    </a:prstGeom>
                    <a:noFill/>
                  </pic:spPr>
                </pic:pic>
              </a:graphicData>
            </a:graphic>
          </wp:anchor>
        </w:drawing>
      </w:r>
    </w:p>
    <w:p>
      <w:pPr>
        <w:ind w:left="226"/>
        <w:spacing w:after="0"/>
        <w:tabs>
          <w:tab w:leader="none" w:pos="866"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u w:val="single" w:color="auto"/>
          <w:color w:val="0000FF"/>
        </w:rPr>
        <w:t>Consent of Independent Registered Public</w:t>
      </w:r>
    </w:p>
    <w:p>
      <w:pPr>
        <w:spacing w:after="0" w:line="24" w:lineRule="exact"/>
        <w:rPr>
          <w:sz w:val="20"/>
          <w:szCs w:val="20"/>
          <w:color w:val="auto"/>
        </w:rPr>
      </w:pPr>
    </w:p>
    <w:p>
      <w:pPr>
        <w:ind w:left="226" w:right="660" w:firstLine="660"/>
        <w:spacing w:after="0" w:line="248" w:lineRule="auto"/>
        <w:rPr>
          <w:sz w:val="20"/>
          <w:szCs w:val="20"/>
          <w:color w:val="auto"/>
        </w:rPr>
      </w:pPr>
      <w:r>
        <w:rPr>
          <w:rFonts w:ascii="Arial" w:cs="Arial" w:eastAsia="Arial" w:hAnsi="Arial"/>
          <w:sz w:val="17"/>
          <w:szCs w:val="17"/>
          <w:b w:val="1"/>
          <w:bCs w:val="1"/>
          <w:u w:val="single" w:color="auto"/>
          <w:color w:val="0000FF"/>
        </w:rPr>
        <w:t>Accounting Firm, Grant Thornton LLP</w:t>
      </w:r>
      <w:r>
        <w:rPr>
          <w:rFonts w:ascii="Arial" w:cs="Arial" w:eastAsia="Arial" w:hAnsi="Arial"/>
          <w:sz w:val="18"/>
          <w:szCs w:val="18"/>
          <w:b w:val="1"/>
          <w:bCs w:val="1"/>
          <w:u w:val="single" w:color="auto"/>
          <w:color w:val="0000FF"/>
        </w:rPr>
        <w:t>.</w:t>
      </w:r>
      <w:r>
        <w:rPr>
          <w:rFonts w:ascii="Arial" w:cs="Arial" w:eastAsia="Arial" w:hAnsi="Arial"/>
          <w:sz w:val="17"/>
          <w:szCs w:val="17"/>
          <w:b w:val="1"/>
          <w:bCs w:val="1"/>
          <w:u w:val="single" w:color="auto"/>
          <w:color w:val="0000FF"/>
        </w:rPr>
        <w:t xml:space="preserve"> </w:t>
      </w:r>
      <w:r>
        <w:rPr>
          <w:rFonts w:ascii="Arial" w:cs="Arial" w:eastAsia="Arial" w:hAnsi="Arial"/>
          <w:sz w:val="17"/>
          <w:szCs w:val="17"/>
          <w:color w:val="000000"/>
        </w:rPr>
        <w:t xml:space="preserve">31.1+ </w:t>
      </w:r>
      <w:r>
        <w:rPr>
          <w:rFonts w:ascii="Arial" w:cs="Arial" w:eastAsia="Arial" w:hAnsi="Arial"/>
          <w:sz w:val="17"/>
          <w:szCs w:val="17"/>
          <w:b w:val="1"/>
          <w:bCs w:val="1"/>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3108960" cy="3702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3108960" cy="370205"/>
                    </a:xfrm>
                    <a:prstGeom prst="rect">
                      <a:avLst/>
                    </a:prstGeom>
                    <a:noFill/>
                  </pic:spPr>
                </pic:pic>
              </a:graphicData>
            </a:graphic>
          </wp:anchor>
        </w:drawing>
      </w:r>
    </w:p>
    <w:p>
      <w:pPr>
        <w:ind w:left="886" w:right="120"/>
        <w:spacing w:after="0" w:line="225" w:lineRule="auto"/>
        <w:rPr>
          <w:sz w:val="20"/>
          <w:szCs w:val="20"/>
          <w:color w:val="auto"/>
        </w:rPr>
      </w:pPr>
      <w:r>
        <w:rPr>
          <w:rFonts w:ascii="Arial" w:cs="Arial" w:eastAsia="Arial" w:hAnsi="Arial"/>
          <w:sz w:val="18"/>
          <w:szCs w:val="18"/>
          <w:b w:val="1"/>
          <w:bCs w:val="1"/>
          <w:u w:val="single" w:color="auto"/>
          <w:color w:val="0000FF"/>
        </w:rPr>
        <w:t>pursuant to Section 302 of the Sarbanes-Oxley Act of 2002</w:t>
      </w:r>
      <w:r>
        <w:rPr>
          <w:rFonts w:ascii="Arial" w:cs="Arial" w:eastAsia="Arial" w:hAnsi="Arial"/>
          <w:sz w:val="18"/>
          <w:szCs w:val="18"/>
          <w:color w:val="000000"/>
        </w:rPr>
        <w:t>,</w:t>
      </w:r>
    </w:p>
    <w:p>
      <w:pPr>
        <w:spacing w:after="0" w:line="1" w:lineRule="exact"/>
        <w:rPr>
          <w:sz w:val="20"/>
          <w:szCs w:val="20"/>
          <w:color w:val="auto"/>
        </w:rPr>
      </w:pPr>
    </w:p>
    <w:p>
      <w:pPr>
        <w:ind w:left="886" w:right="120" w:hanging="659"/>
        <w:spacing w:after="0" w:line="225" w:lineRule="auto"/>
        <w:tabs>
          <w:tab w:leader="none" w:pos="866"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b w:val="1"/>
          <w:bCs w:val="1"/>
          <w:u w:val="single" w:color="auto"/>
          <w:color w:val="0000FF"/>
        </w:rPr>
        <w:t>Certification of Principal Financial Officer pursuant to Section 302 of the Sarbanes-Oxley Act of 2002</w:t>
      </w:r>
      <w:r>
        <w:rPr>
          <w:rFonts w:ascii="Arial" w:cs="Arial" w:eastAsia="Arial" w:hAnsi="Arial"/>
          <w:sz w:val="18"/>
          <w:szCs w:val="18"/>
          <w:color w:val="000000"/>
        </w:rPr>
        <w:t>,</w:t>
      </w:r>
    </w:p>
    <w:p>
      <w:pPr>
        <w:spacing w:after="0" w:line="1" w:lineRule="exact"/>
        <w:rPr>
          <w:sz w:val="20"/>
          <w:szCs w:val="20"/>
          <w:color w:val="auto"/>
        </w:rPr>
      </w:pPr>
    </w:p>
    <w:p>
      <w:pPr>
        <w:ind w:left="886" w:right="120" w:hanging="659"/>
        <w:spacing w:after="0" w:line="225" w:lineRule="auto"/>
        <w:tabs>
          <w:tab w:leader="none" w:pos="866"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b w:val="1"/>
          <w:bCs w:val="1"/>
          <w:u w:val="single" w:color="auto"/>
          <w:color w:val="0000FF"/>
        </w:rPr>
        <w:t>Certification of Principal Executive Officer pursuant to 18 U.S.C. Section 1350, as adopted pursuant to Section 906 of the Sarbanes-Oxley Act of 2002</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3108960" cy="494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3108960" cy="494030"/>
                    </a:xfrm>
                    <a:prstGeom prst="rect">
                      <a:avLst/>
                    </a:prstGeom>
                    <a:noFill/>
                  </pic:spPr>
                </pic:pic>
              </a:graphicData>
            </a:graphic>
          </wp:anchor>
        </w:drawing>
      </w:r>
    </w:p>
    <w:p>
      <w:pPr>
        <w:ind w:left="886" w:right="120" w:hanging="659"/>
        <w:spacing w:after="0" w:line="225" w:lineRule="auto"/>
        <w:tabs>
          <w:tab w:leader="none" w:pos="866"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b w:val="1"/>
          <w:bCs w:val="1"/>
          <w:u w:val="single" w:color="auto"/>
          <w:color w:val="0000FF"/>
        </w:rPr>
        <w:t>Certification of Principal Financial Officer pursuant to 18 U.S.C. Section 1350, as adopted pursuant to Section 906 of the Sarbanes-Oxley Act of 2002</w:t>
      </w:r>
      <w:r>
        <w:rPr>
          <w:rFonts w:ascii="Arial" w:cs="Arial" w:eastAsia="Arial" w:hAnsi="Arial"/>
          <w:sz w:val="18"/>
          <w:szCs w:val="18"/>
          <w:color w:val="000000"/>
        </w:rPr>
        <w:t>.</w:t>
      </w:r>
    </w:p>
    <w:p>
      <w:pPr>
        <w:spacing w:after="0" w:line="1" w:lineRule="exact"/>
        <w:rPr>
          <w:sz w:val="20"/>
          <w:szCs w:val="20"/>
          <w:color w:val="auto"/>
        </w:rPr>
      </w:pPr>
    </w:p>
    <w:p>
      <w:pPr>
        <w:ind w:left="886" w:hanging="584"/>
        <w:spacing w:after="0" w:line="253" w:lineRule="auto"/>
        <w:tabs>
          <w:tab w:leader="none" w:pos="8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following material from our Company’s Annal Report on Form 10-K for the year ended December 31, 2020, formatted in iXBRL (Inline Extensible Business Reporting Language): (i) Consolidated Balance Sheets, (ii) Consolidated Statements of Income, (iii)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-736600</wp:posOffset>
            </wp:positionV>
            <wp:extent cx="3108960" cy="9874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3108960" cy="987425"/>
                    </a:xfrm>
                    <a:prstGeom prst="rect">
                      <a:avLst/>
                    </a:prstGeom>
                    <a:noFill/>
                  </pic:spPr>
                </pic:pic>
              </a:graphicData>
            </a:graphic>
          </wp:anchor>
        </w:drawing>
      </w:r>
    </w:p>
    <w:p>
      <w:pPr>
        <w:jc w:val="both"/>
        <w:ind w:left="886" w:right="200" w:firstLine="3"/>
        <w:spacing w:after="0" w:line="253" w:lineRule="auto"/>
        <w:tabs>
          <w:tab w:leader="none" w:pos="1191"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Consolidated Statements of Cash Flows, and (v) the Notes to the Consolidated Financial Statements.</w:t>
      </w:r>
    </w:p>
    <w:p>
      <w:pPr>
        <w:spacing w:after="0" w:line="1" w:lineRule="exact"/>
        <w:rPr>
          <w:sz w:val="20"/>
          <w:szCs w:val="20"/>
          <w:color w:val="auto"/>
        </w:rPr>
      </w:pPr>
    </w:p>
    <w:p>
      <w:pPr>
        <w:ind w:left="886" w:right="160" w:hanging="584"/>
        <w:spacing w:after="0" w:line="225" w:lineRule="auto"/>
        <w:tabs>
          <w:tab w:leader="none" w:pos="886"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ind w:left="6"/>
        <w:spacing w:after="0" w:line="226" w:lineRule="auto"/>
        <w:rPr>
          <w:sz w:val="20"/>
          <w:szCs w:val="20"/>
          <w:color w:val="auto"/>
        </w:rPr>
      </w:pPr>
      <w:r>
        <w:rPr>
          <w:rFonts w:ascii="Arial" w:cs="Arial" w:eastAsia="Arial" w:hAnsi="Arial"/>
          <w:sz w:val="20"/>
          <w:szCs w:val="20"/>
          <w:color w:val="auto"/>
        </w:rPr>
        <w:t>_______________________</w:t>
      </w:r>
    </w:p>
    <w:p>
      <w:pPr>
        <w:spacing w:after="0" w:line="20" w:lineRule="exact"/>
        <w:rPr>
          <w:sz w:val="20"/>
          <w:szCs w:val="20"/>
          <w:color w:val="auto"/>
        </w:rPr>
      </w:pPr>
      <w:r>
        <w:rPr>
          <w:sz w:val="20"/>
          <w:szCs w:val="20"/>
          <w:color w:val="auto"/>
        </w:rPr>
        <w:br w:type="column"/>
      </w:r>
    </w:p>
    <w:p>
      <w:pPr>
        <w:spacing w:after="0" w:line="226"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231">
        <w:r>
          <w:rPr>
            <w:rFonts w:ascii="Arial" w:cs="Arial" w:eastAsia="Arial" w:hAnsi="Arial"/>
            <w:sz w:val="18"/>
            <w:szCs w:val="18"/>
            <w:b w:val="1"/>
            <w:bCs w:val="1"/>
            <w:u w:val="single" w:color="auto"/>
            <w:color w:val="0000FF"/>
          </w:rPr>
          <w:t>Exhibit 10.2 to the Company’s report on Form 10-</w:t>
        </w:r>
      </w:hyperlink>
      <w:hyperlink r:id="rId231">
        <w:r>
          <w:rPr>
            <w:rFonts w:ascii="Arial" w:cs="Arial" w:eastAsia="Arial" w:hAnsi="Arial"/>
            <w:sz w:val="18"/>
            <w:szCs w:val="18"/>
            <w:b w:val="1"/>
            <w:bCs w:val="1"/>
            <w:u w:val="single" w:color="auto"/>
            <w:color w:val="0000FF"/>
          </w:rPr>
          <w:t>Q for the period ended June 30, 2024</w:t>
        </w:r>
        <w:r>
          <w:rPr>
            <w:rFonts w:ascii="Arial" w:cs="Arial" w:eastAsia="Arial" w:hAnsi="Arial"/>
            <w:sz w:val="18"/>
            <w:szCs w:val="18"/>
            <w:u w:val="single" w:color="auto"/>
            <w:color w:val="0000FF"/>
          </w:rPr>
          <w:t>,</w:t>
        </w:r>
        <w:r>
          <w:rPr>
            <w:rFonts w:ascii="Arial" w:cs="Arial" w:eastAsia="Arial" w:hAnsi="Arial"/>
            <w:sz w:val="18"/>
            <w:szCs w:val="18"/>
            <w:b w:val="1"/>
            <w:bCs w:val="1"/>
            <w:color w:val="0000FF"/>
          </w:rPr>
          <w:t xml:space="preserve"> </w:t>
        </w:r>
      </w:hyperlink>
      <w:r>
        <w:rPr>
          <w:rFonts w:ascii="Arial" w:cs="Arial" w:eastAsia="Arial" w:hAnsi="Arial"/>
          <w:sz w:val="18"/>
          <w:szCs w:val="18"/>
          <w:color w:val="000000"/>
        </w:rPr>
        <w:t>and</w:t>
      </w:r>
      <w:r>
        <w:rPr>
          <w:rFonts w:ascii="Arial" w:cs="Arial" w:eastAsia="Arial" w:hAnsi="Arial"/>
          <w:sz w:val="18"/>
          <w:szCs w:val="18"/>
          <w:b w:val="1"/>
          <w:bCs w:val="1"/>
          <w:color w:val="0000FF"/>
        </w:rPr>
        <w:t xml:space="preserve"> </w:t>
      </w:r>
      <w:r>
        <w:rPr>
          <w:rFonts w:ascii="Arial" w:cs="Arial" w:eastAsia="Arial" w:hAnsi="Arial"/>
          <w:sz w:val="18"/>
          <w:szCs w:val="18"/>
          <w:color w:val="000000"/>
        </w:rPr>
        <w:t>incorporated</w:t>
      </w:r>
      <w:r>
        <w:rPr>
          <w:rFonts w:ascii="Arial" w:cs="Arial" w:eastAsia="Arial" w:hAnsi="Arial"/>
          <w:sz w:val="18"/>
          <w:szCs w:val="18"/>
          <w:b w:val="1"/>
          <w:bCs w:val="1"/>
          <w:color w:val="0000FF"/>
        </w:rPr>
        <w:t xml:space="preserve"> </w:t>
      </w:r>
      <w:r>
        <w:rPr>
          <w:rFonts w:ascii="Arial" w:cs="Arial" w:eastAsia="Arial" w:hAnsi="Arial"/>
          <w:sz w:val="18"/>
          <w:szCs w:val="18"/>
          <w:color w:val="000000"/>
        </w:rPr>
        <w: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2858770" cy="7404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2858770" cy="74041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81" w:lineRule="auto"/>
        <w:rPr>
          <w:rFonts w:ascii="Arial" w:cs="Arial" w:eastAsia="Arial" w:hAnsi="Arial"/>
          <w:sz w:val="16"/>
          <w:szCs w:val="16"/>
          <w:b w:val="1"/>
          <w:bCs w:val="1"/>
          <w:color w:val="0000FF"/>
        </w:rPr>
      </w:pPr>
      <w:r>
        <w:rPr>
          <w:rFonts w:ascii="Arial" w:cs="Arial" w:eastAsia="Arial" w:hAnsi="Arial"/>
          <w:sz w:val="16"/>
          <w:szCs w:val="16"/>
          <w:color w:val="auto"/>
        </w:rPr>
        <w:t xml:space="preserve">Filed as </w:t>
      </w:r>
      <w:hyperlink r:id="rId233">
        <w:r>
          <w:rPr>
            <w:rFonts w:ascii="Arial" w:cs="Arial" w:eastAsia="Arial" w:hAnsi="Arial"/>
            <w:sz w:val="16"/>
            <w:szCs w:val="16"/>
            <w:b w:val="1"/>
            <w:bCs w:val="1"/>
            <w:u w:val="single" w:color="auto"/>
            <w:color w:val="0000FF"/>
          </w:rPr>
          <w:t>Exhibit 10.2 to the Company’s report on Form 10-</w:t>
        </w:r>
      </w:hyperlink>
      <w:hyperlink r:id="rId233">
        <w:r>
          <w:rPr>
            <w:rFonts w:ascii="Arial" w:cs="Arial" w:eastAsia="Arial" w:hAnsi="Arial"/>
            <w:sz w:val="16"/>
            <w:szCs w:val="16"/>
            <w:b w:val="1"/>
            <w:bCs w:val="1"/>
            <w:u w:val="single" w:color="auto"/>
            <w:color w:val="0000FF"/>
          </w:rPr>
          <w:t>Q for the period ended June 30, 2025</w:t>
        </w:r>
        <w:r>
          <w:rPr>
            <w:rFonts w:ascii="Arial" w:cs="Arial" w:eastAsia="Arial" w:hAnsi="Arial"/>
            <w:sz w:val="17"/>
            <w:szCs w:val="17"/>
            <w:u w:val="single" w:color="auto"/>
            <w:color w:val="0000FF"/>
          </w:rPr>
          <w:t>,</w:t>
        </w:r>
        <w:r>
          <w:rPr>
            <w:rFonts w:ascii="Arial" w:cs="Arial" w:eastAsia="Arial" w:hAnsi="Arial"/>
            <w:sz w:val="16"/>
            <w:szCs w:val="16"/>
            <w:b w:val="1"/>
            <w:bCs w:val="1"/>
            <w:color w:val="0000FF"/>
          </w:rPr>
          <w:t xml:space="preserve"> </w:t>
        </w:r>
        <w:r>
          <w:rPr>
            <w:rFonts w:ascii="Arial" w:cs="Arial" w:eastAsia="Arial" w:hAnsi="Arial"/>
            <w:sz w:val="16"/>
            <w:szCs w:val="16"/>
            <w:color w:val="0000FF"/>
          </w:rPr>
          <w:t>a</w:t>
        </w:r>
      </w:hyperlink>
      <w:r>
        <w:rPr>
          <w:rFonts w:ascii="Arial" w:cs="Arial" w:eastAsia="Arial" w:hAnsi="Arial"/>
          <w:sz w:val="16"/>
          <w:szCs w:val="16"/>
          <w:color w:val="000000"/>
        </w:rPr>
        <w:t>nd</w:t>
      </w:r>
      <w:r>
        <w:rPr>
          <w:rFonts w:ascii="Arial" w:cs="Arial" w:eastAsia="Arial" w:hAnsi="Arial"/>
          <w:sz w:val="16"/>
          <w:szCs w:val="16"/>
          <w:b w:val="1"/>
          <w:bCs w:val="1"/>
          <w:color w:val="0000FF"/>
        </w:rPr>
        <w:t xml:space="preserve"> </w:t>
      </w:r>
      <w:r>
        <w:rPr>
          <w:rFonts w:ascii="Arial" w:cs="Arial" w:eastAsia="Arial" w:hAnsi="Arial"/>
          <w:sz w:val="16"/>
          <w:szCs w:val="16"/>
          <w:color w:val="000000"/>
        </w:rPr>
        <w:t>incorporated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1835785</wp:posOffset>
                </wp:positionH>
                <wp:positionV relativeFrom="paragraph">
                  <wp:posOffset>-23495</wp:posOffset>
                </wp:positionV>
                <wp:extent cx="7937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 cy="4763"/>
                        </a:xfrm>
                        <a:prstGeom prst="line">
                          <a:avLst/>
                        </a:prstGeom>
                        <a:solidFill>
                          <a:srgbClr val="FFFFFF"/>
                        </a:solidFill>
                        <a:ln w="5581">
                          <a:solidFill>
                            <a:srgbClr val="0000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55pt,-1.8499pt" to="150.8pt,-1.8499pt" o:allowincell="f" strokecolor="#0000FF" strokeweight="0.4394pt"/>
            </w:pict>
          </mc:Fallback>
        </mc:AlternateContent>
      </w:r>
    </w:p>
    <w:p>
      <w:pPr>
        <w:spacing w:after="0" w:line="231" w:lineRule="auto"/>
        <w:rPr>
          <w:sz w:val="20"/>
          <w:szCs w:val="20"/>
          <w:color w:val="auto"/>
        </w:rPr>
      </w:pPr>
      <w:r>
        <w:rPr>
          <w:rFonts w:ascii="Arial" w:cs="Arial" w:eastAsia="Arial" w:hAnsi="Arial"/>
          <w:sz w:val="18"/>
          <w:szCs w:val="18"/>
          <w:color w:val="auto"/>
        </w:rPr>
        <w:t>herein by reference.</w:t>
      </w:r>
    </w:p>
    <w:p>
      <w:pPr>
        <w:spacing w:after="0" w:line="200" w:lineRule="exact"/>
        <w:rPr>
          <w:sz w:val="20"/>
          <w:szCs w:val="20"/>
          <w:color w:val="auto"/>
        </w:rPr>
      </w:pPr>
    </w:p>
    <w:p>
      <w:pPr>
        <w:spacing w:after="0" w:line="305" w:lineRule="exact"/>
        <w:rPr>
          <w:sz w:val="20"/>
          <w:szCs w:val="20"/>
          <w:color w:val="auto"/>
        </w:rPr>
      </w:pPr>
    </w:p>
    <w:p>
      <w:pPr>
        <w:jc w:val="both"/>
        <w:ind w:right="100"/>
        <w:spacing w:after="0" w:line="225" w:lineRule="auto"/>
        <w:rPr>
          <w:rFonts w:ascii="Arial" w:cs="Arial" w:eastAsia="Arial" w:hAnsi="Arial"/>
          <w:sz w:val="18"/>
          <w:szCs w:val="18"/>
          <w:b w:val="1"/>
          <w:bCs w:val="1"/>
          <w:color w:val="0000FF"/>
        </w:rPr>
      </w:pPr>
      <w:r>
        <w:rPr>
          <w:rFonts w:ascii="Arial" w:cs="Arial" w:eastAsia="Arial" w:hAnsi="Arial"/>
          <w:sz w:val="18"/>
          <w:szCs w:val="18"/>
          <w:color w:val="auto"/>
        </w:rPr>
        <w:t xml:space="preserve">Filed as </w:t>
      </w:r>
      <w:hyperlink r:id="rId234">
        <w:r>
          <w:rPr>
            <w:rFonts w:ascii="Arial" w:cs="Arial" w:eastAsia="Arial" w:hAnsi="Arial"/>
            <w:sz w:val="18"/>
            <w:szCs w:val="18"/>
            <w:b w:val="1"/>
            <w:bCs w:val="1"/>
            <w:u w:val="single" w:color="auto"/>
            <w:color w:val="0000FF"/>
          </w:rPr>
          <w:t>Exhibit 10.4 to the Company’s Quarterly Report</w:t>
        </w:r>
      </w:hyperlink>
      <w:r>
        <w:rPr>
          <w:rFonts w:ascii="Arial" w:cs="Arial" w:eastAsia="Arial" w:hAnsi="Arial"/>
          <w:sz w:val="18"/>
          <w:szCs w:val="18"/>
          <w:color w:val="auto"/>
        </w:rPr>
        <w:t xml:space="preserve"> </w:t>
      </w:r>
      <w:hyperlink r:id="rId234">
        <w:r>
          <w:rPr>
            <w:rFonts w:ascii="Arial" w:cs="Arial" w:eastAsia="Arial" w:hAnsi="Arial"/>
            <w:sz w:val="18"/>
            <w:szCs w:val="18"/>
            <w:b w:val="1"/>
            <w:bCs w:val="1"/>
            <w:u w:val="single" w:color="auto"/>
            <w:color w:val="0000FF"/>
          </w:rPr>
          <w:t>on Form 10-Q for the quarter ended March 31, 2020</w:t>
        </w:r>
      </w:hyperlink>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and</w:t>
      </w:r>
      <w:r>
        <w:rPr>
          <w:rFonts w:ascii="Arial" w:cs="Arial" w:eastAsia="Arial" w:hAnsi="Arial"/>
          <w:sz w:val="18"/>
          <w:szCs w:val="18"/>
          <w:b w:val="1"/>
          <w:bCs w:val="1"/>
          <w:color w:val="0000FF"/>
        </w:rPr>
        <w:t xml:space="preserve"> </w:t>
      </w:r>
      <w:r>
        <w:rPr>
          <w:rFonts w:ascii="Arial" w:cs="Arial" w:eastAsia="Arial" w:hAnsi="Arial"/>
          <w:sz w:val="18"/>
          <w:szCs w:val="18"/>
          <w:color w:val="000000"/>
        </w:rPr>
        <w:t>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2858770" cy="3702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ind w:right="80"/>
        <w:spacing w:after="0" w:line="253" w:lineRule="auto"/>
        <w:rPr>
          <w:rFonts w:ascii="Arial" w:cs="Arial" w:eastAsia="Arial" w:hAnsi="Arial"/>
          <w:sz w:val="16"/>
          <w:szCs w:val="16"/>
          <w:color w:val="000000"/>
          <w:shd w:val="clear" w:color="auto" w:fill="BCE2FA"/>
        </w:rPr>
      </w:pPr>
      <w:r>
        <w:rPr>
          <w:rFonts w:ascii="Arial" w:cs="Arial" w:eastAsia="Arial" w:hAnsi="Arial"/>
          <w:sz w:val="16"/>
          <w:szCs w:val="16"/>
          <w:color w:val="auto"/>
        </w:rPr>
        <w:t xml:space="preserve">Filed as </w:t>
      </w:r>
      <w:hyperlink r:id="rId236">
        <w:r>
          <w:rPr>
            <w:rFonts w:ascii="Arial" w:cs="Arial" w:eastAsia="Arial" w:hAnsi="Arial"/>
            <w:sz w:val="16"/>
            <w:szCs w:val="16"/>
            <w:b w:val="1"/>
            <w:bCs w:val="1"/>
            <w:u w:val="single" w:color="auto"/>
            <w:color w:val="0000FF"/>
          </w:rPr>
          <w:t>Exhibit 18 to the Company’s Annual Report on</w:t>
        </w:r>
      </w:hyperlink>
      <w:r>
        <w:rPr>
          <w:rFonts w:ascii="Arial" w:cs="Arial" w:eastAsia="Arial" w:hAnsi="Arial"/>
          <w:sz w:val="16"/>
          <w:szCs w:val="16"/>
          <w:color w:val="auto"/>
        </w:rPr>
        <w:t xml:space="preserve"> </w:t>
      </w:r>
      <w:hyperlink r:id="rId236">
        <w:r>
          <w:rPr>
            <w:rFonts w:ascii="Arial" w:cs="Arial" w:eastAsia="Arial" w:hAnsi="Arial"/>
            <w:sz w:val="16"/>
            <w:szCs w:val="16"/>
            <w:b w:val="1"/>
            <w:bCs w:val="1"/>
            <w:u w:val="single" w:color="auto"/>
            <w:color w:val="0000FF"/>
          </w:rPr>
          <w:t>Form 10-K for the year ended December 31, 2016</w:t>
        </w:r>
        <w:r>
          <w:rPr>
            <w:rFonts w:ascii="Arial" w:cs="Arial" w:eastAsia="Arial" w:hAnsi="Arial"/>
            <w:sz w:val="16"/>
            <w:szCs w:val="16"/>
            <w:b w:val="1"/>
            <w:bCs w:val="1"/>
            <w:color w:val="0000FF"/>
          </w:rPr>
          <w:t xml:space="preserve"> </w:t>
        </w:r>
      </w:hyperlink>
      <w:r>
        <w:rPr>
          <w:rFonts w:ascii="Arial" w:cs="Arial" w:eastAsia="Arial" w:hAnsi="Arial"/>
          <w:sz w:val="16"/>
          <w:szCs w:val="16"/>
          <w:color w:val="000000"/>
        </w:rPr>
        <w:t>filed</w:t>
      </w:r>
      <w:r>
        <w:rPr>
          <w:rFonts w:ascii="Arial" w:cs="Arial" w:eastAsia="Arial" w:hAnsi="Arial"/>
          <w:sz w:val="16"/>
          <w:szCs w:val="16"/>
          <w:b w:val="1"/>
          <w:bCs w:val="1"/>
          <w:color w:val="0000FF"/>
        </w:rPr>
        <w:t xml:space="preserve"> </w:t>
      </w:r>
      <w:r>
        <w:rPr>
          <w:rFonts w:ascii="Arial" w:cs="Arial" w:eastAsia="Arial" w:hAnsi="Arial"/>
          <w:sz w:val="16"/>
          <w:szCs w:val="16"/>
          <w:color w:val="000000"/>
        </w:rPr>
        <w:t>on</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March 13, 2017 and incorporated herein by reference Filed as </w:t>
      </w:r>
      <w:hyperlink r:id="rId237">
        <w:r>
          <w:rPr>
            <w:rFonts w:ascii="Arial" w:cs="Arial" w:eastAsia="Arial" w:hAnsi="Arial"/>
            <w:sz w:val="16"/>
            <w:szCs w:val="16"/>
            <w:u w:val="single" w:color="auto"/>
            <w:color w:val="0000FF"/>
          </w:rPr>
          <w:t>Exhibit 19.1 to the Company’s Annual Report on</w:t>
        </w:r>
      </w:hyperlink>
      <w:r>
        <w:rPr>
          <w:rFonts w:ascii="Arial" w:cs="Arial" w:eastAsia="Arial" w:hAnsi="Arial"/>
          <w:sz w:val="16"/>
          <w:szCs w:val="16"/>
          <w:color w:val="000000"/>
        </w:rPr>
        <w:t xml:space="preserve"> </w:t>
      </w:r>
      <w:hyperlink r:id="rId237">
        <w:r>
          <w:rPr>
            <w:rFonts w:ascii="Arial" w:cs="Arial" w:eastAsia="Arial" w:hAnsi="Arial"/>
            <w:sz w:val="16"/>
            <w:szCs w:val="16"/>
            <w:u w:val="single" w:color="auto"/>
            <w:color w:val="0000FF"/>
          </w:rPr>
          <w:t>Form 10-K/A No.1 for the year ended December 31, 2024</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filed on April 21, 2025 and incorporated herein by reference. </w:t>
      </w:r>
      <w:r>
        <w:rPr>
          <w:rFonts w:ascii="Arial" w:cs="Arial" w:eastAsia="Arial" w:hAnsi="Arial"/>
          <w:sz w:val="16"/>
          <w:szCs w:val="16"/>
          <w:color w:val="000000"/>
          <w:shd w:val="clear" w:color="auto" w:fill="BCE2FA"/>
        </w:rPr>
        <w:t xml:space="preserve">Filed as </w:t>
      </w:r>
      <w:hyperlink r:id="rId238">
        <w:r>
          <w:rPr>
            <w:rFonts w:ascii="Arial" w:cs="Arial" w:eastAsia="Arial" w:hAnsi="Arial"/>
            <w:sz w:val="16"/>
            <w:szCs w:val="16"/>
            <w:b w:val="1"/>
            <w:bCs w:val="1"/>
            <w:u w:val="single" w:color="auto"/>
            <w:color w:val="0000FF"/>
            <w:shd w:val="clear" w:color="auto" w:fill="BCE2FA"/>
          </w:rPr>
          <w:t>Exhibit 19.2 to the Company’s Annual Report on</w:t>
        </w:r>
      </w:hyperlink>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2858770" cy="3702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jc w:val="both"/>
        <w:ind w:right="60"/>
        <w:spacing w:after="0" w:line="226" w:lineRule="auto"/>
        <w:rPr>
          <w:rFonts w:ascii="Arial" w:cs="Arial" w:eastAsia="Arial" w:hAnsi="Arial"/>
          <w:sz w:val="18"/>
          <w:szCs w:val="18"/>
          <w:b w:val="1"/>
          <w:bCs w:val="1"/>
          <w:u w:val="single" w:color="auto"/>
          <w:color w:val="0000FF"/>
          <w:shd w:val="clear" w:color="auto" w:fill="BCE2FA"/>
        </w:rPr>
      </w:pPr>
      <w:hyperlink r:id="rId238">
        <w:r>
          <w:rPr>
            <w:rFonts w:ascii="Arial" w:cs="Arial" w:eastAsia="Arial" w:hAnsi="Arial"/>
            <w:sz w:val="18"/>
            <w:szCs w:val="18"/>
            <w:b w:val="1"/>
            <w:bCs w:val="1"/>
            <w:u w:val="single" w:color="auto"/>
            <w:color w:val="0000FF"/>
            <w:shd w:val="clear" w:color="auto" w:fill="BCE2FA"/>
          </w:rPr>
          <w:t>Form 10-K/A No.1 for the year ended December 31, 2024</w:t>
        </w:r>
      </w:hyperlink>
      <w:r>
        <w:rPr>
          <w:rFonts w:ascii="Arial" w:cs="Arial" w:eastAsia="Arial" w:hAnsi="Arial"/>
          <w:sz w:val="1"/>
          <w:szCs w:val="1"/>
          <w:b w:val="1"/>
          <w:bCs w:val="1"/>
          <w:u w:val="single" w:color="auto"/>
          <w:color w:val="0000FF"/>
          <w:shd w:val="clear" w:color="auto" w:fill="BCE2FA"/>
        </w:rPr>
        <w:drawing>
          <wp:inline distT="0" distB="0" distL="0" distR="0">
            <wp:extent cx="28575" cy="10477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28575" cy="104775"/>
                    </a:xfrm>
                    <a:prstGeom prst="rect">
                      <a:avLst/>
                    </a:prstGeom>
                    <a:noFill/>
                    <a:ln>
                      <a:noFill/>
                    </a:ln>
                  </pic:spPr>
                </pic:pic>
              </a:graphicData>
            </a:graphic>
          </wp:inline>
        </w:drawing>
      </w:r>
      <w:r>
        <w:rPr>
          <w:rFonts w:ascii="Arial" w:cs="Arial" w:eastAsia="Arial" w:hAnsi="Arial"/>
          <w:sz w:val="18"/>
          <w:szCs w:val="18"/>
          <w:b w:val="1"/>
          <w:bCs w:val="1"/>
          <w:u w:val="single" w:color="auto"/>
          <w:color w:val="0000FF"/>
          <w:shd w:val="clear" w:color="auto" w:fill="BCE2FA"/>
        </w:rPr>
        <w:t xml:space="preserve"> filed on April 21, 2025 and incorporated herein by reference. </w:t>
      </w:r>
      <w:r>
        <w:rPr>
          <w:rFonts w:ascii="Arial" w:cs="Arial" w:eastAsia="Arial" w:hAnsi="Arial"/>
          <w:sz w:val="18"/>
          <w:szCs w:val="18"/>
          <w:b w:val="1"/>
          <w:bCs w:val="1"/>
          <w:u w:val="single" w:color="auto"/>
          <w:color w:val="0000FF"/>
        </w:rPr>
        <w:t>N/A</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2858770" cy="141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2858770" cy="1416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w:t>
      </w:r>
    </w:p>
    <w:p>
      <w:pPr>
        <w:spacing w:after="0" w:line="239" w:lineRule="exact"/>
        <w:rPr>
          <w:rFonts w:ascii="Arial" w:cs="Arial" w:eastAsia="Arial" w:hAnsi="Arial"/>
          <w:sz w:val="16"/>
          <w:szCs w:val="16"/>
          <w:color w:val="000000"/>
        </w:rPr>
      </w:pPr>
    </w:p>
    <w:p>
      <w:pPr>
        <w:spacing w:after="0"/>
        <w:rPr>
          <w:sz w:val="20"/>
          <w:szCs w:val="20"/>
          <w:color w:val="auto"/>
        </w:rPr>
      </w:pPr>
      <w:r>
        <w:rPr>
          <w:rFonts w:ascii="Arial" w:cs="Arial" w:eastAsia="Arial" w:hAnsi="Arial"/>
          <w:sz w:val="18"/>
          <w:szCs w:val="18"/>
          <w:color w:val="auto"/>
        </w:rPr>
        <w:t>N/A</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2858770" cy="3702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2858770" cy="370205"/>
                    </a:xfrm>
                    <a:prstGeom prst="rect">
                      <a:avLst/>
                    </a:prstGeom>
                    <a:noFill/>
                  </pic:spPr>
                </pic:pic>
              </a:graphicData>
            </a:graphic>
          </wp:anchor>
        </w:drawing>
      </w:r>
    </w:p>
    <w:p>
      <w:pPr>
        <w:spacing w:after="0" w:line="356" w:lineRule="exact"/>
        <w:rPr>
          <w:rFonts w:ascii="Arial" w:cs="Arial" w:eastAsia="Arial" w:hAnsi="Arial"/>
          <w:sz w:val="16"/>
          <w:szCs w:val="16"/>
          <w:color w:val="000000"/>
        </w:rPr>
      </w:pPr>
    </w:p>
    <w:p>
      <w:pPr>
        <w:spacing w:after="0"/>
        <w:rPr>
          <w:sz w:val="20"/>
          <w:szCs w:val="20"/>
          <w:color w:val="auto"/>
        </w:rPr>
      </w:pPr>
      <w:r>
        <w:rPr>
          <w:rFonts w:ascii="Arial" w:cs="Arial" w:eastAsia="Arial" w:hAnsi="Arial"/>
          <w:sz w:val="18"/>
          <w:szCs w:val="18"/>
          <w:color w:val="auto"/>
        </w:rPr>
        <w:t>N/A</w:t>
      </w:r>
    </w:p>
    <w:p>
      <w:pPr>
        <w:spacing w:after="0" w:line="376" w:lineRule="exact"/>
        <w:rPr>
          <w:rFonts w:ascii="Arial" w:cs="Arial" w:eastAsia="Arial" w:hAnsi="Arial"/>
          <w:sz w:val="16"/>
          <w:szCs w:val="16"/>
          <w:color w:val="000000"/>
        </w:rPr>
      </w:pPr>
    </w:p>
    <w:p>
      <w:pPr>
        <w:spacing w:after="0"/>
        <w:rPr>
          <w:sz w:val="20"/>
          <w:szCs w:val="20"/>
          <w:color w:val="auto"/>
        </w:rPr>
      </w:pPr>
      <w:r>
        <w:rPr>
          <w:rFonts w:ascii="Arial" w:cs="Arial" w:eastAsia="Arial" w:hAnsi="Arial"/>
          <w:sz w:val="18"/>
          <w:szCs w:val="18"/>
          <w:color w:val="auto"/>
        </w:rPr>
        <w:t>N/A</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2858770" cy="494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2858770" cy="494030"/>
                    </a:xfrm>
                    <a:prstGeom prst="rect">
                      <a:avLst/>
                    </a:prstGeom>
                    <a:noFill/>
                  </pic:spPr>
                </pic:pic>
              </a:graphicData>
            </a:graphic>
          </wp:anchor>
        </w:drawing>
      </w:r>
    </w:p>
    <w:p>
      <w:pPr>
        <w:spacing w:after="0" w:line="200" w:lineRule="exact"/>
        <w:rPr>
          <w:rFonts w:ascii="Arial" w:cs="Arial" w:eastAsia="Arial" w:hAnsi="Arial"/>
          <w:sz w:val="16"/>
          <w:szCs w:val="16"/>
          <w:color w:val="000000"/>
        </w:rPr>
      </w:pPr>
    </w:p>
    <w:p>
      <w:pPr>
        <w:spacing w:after="0" w:line="351" w:lineRule="exact"/>
        <w:rPr>
          <w:rFonts w:ascii="Arial" w:cs="Arial" w:eastAsia="Arial" w:hAnsi="Arial"/>
          <w:sz w:val="16"/>
          <w:szCs w:val="16"/>
          <w:color w:val="000000"/>
        </w:rPr>
      </w:pPr>
    </w:p>
    <w:p>
      <w:pPr>
        <w:spacing w:after="0"/>
        <w:rPr>
          <w:sz w:val="20"/>
          <w:szCs w:val="20"/>
          <w:color w:val="auto"/>
        </w:rPr>
      </w:pPr>
      <w:r>
        <w:rPr>
          <w:rFonts w:ascii="Arial" w:cs="Arial" w:eastAsia="Arial" w:hAnsi="Arial"/>
          <w:sz w:val="18"/>
          <w:szCs w:val="18"/>
          <w:color w:val="auto"/>
        </w:rPr>
        <w:t>N/A</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2858770" cy="9874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2858770" cy="987425"/>
                    </a:xfrm>
                    <a:prstGeom prst="rect">
                      <a:avLst/>
                    </a:prstGeom>
                    <a:noFill/>
                  </pic:spPr>
                </pic:pic>
              </a:graphicData>
            </a:graphic>
          </wp:anchor>
        </w:drawing>
      </w: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306" w:lineRule="exact"/>
        <w:rPr>
          <w:rFonts w:ascii="Arial" w:cs="Arial" w:eastAsia="Arial" w:hAnsi="Arial"/>
          <w:sz w:val="16"/>
          <w:szCs w:val="16"/>
          <w:color w:val="000000"/>
        </w:rPr>
      </w:pPr>
    </w:p>
    <w:p>
      <w:pPr>
        <w:spacing w:after="0"/>
        <w:rPr>
          <w:sz w:val="20"/>
          <w:szCs w:val="20"/>
          <w:color w:val="auto"/>
        </w:rPr>
      </w:pPr>
      <w:r>
        <w:rPr>
          <w:rFonts w:ascii="Arial" w:cs="Arial" w:eastAsia="Arial" w:hAnsi="Arial"/>
          <w:sz w:val="18"/>
          <w:szCs w:val="18"/>
          <w:color w:val="auto"/>
        </w:rPr>
        <w:t>N/A</w:t>
      </w:r>
    </w:p>
    <w:p>
      <w:pPr>
        <w:spacing w:after="0" w:line="407" w:lineRule="exact"/>
        <w:rPr>
          <w:rFonts w:ascii="Arial" w:cs="Arial" w:eastAsia="Arial" w:hAnsi="Arial"/>
          <w:sz w:val="16"/>
          <w:szCs w:val="16"/>
          <w:color w:val="000000"/>
        </w:rPr>
      </w:pPr>
    </w:p>
    <w:p>
      <w:pPr>
        <w:sectPr>
          <w:pgSz w:w="11900" w:h="16838" w:orient="portrait"/>
          <w:cols w:equalWidth="0" w:num="2">
            <w:col w:w="4866" w:space="40"/>
            <w:col w:w="4480"/>
          </w:cols>
          <w:pgMar w:left="1254" w:top="1131" w:right="1266" w:bottom="0" w:gutter="0" w:footer="0" w:header="0"/>
        </w:sectPr>
      </w:pPr>
    </w:p>
    <w:p>
      <w:pPr>
        <w:ind w:left="6"/>
        <w:spacing w:after="0" w:line="225" w:lineRule="auto"/>
        <w:rPr>
          <w:sz w:val="20"/>
          <w:szCs w:val="20"/>
          <w:color w:val="auto"/>
        </w:rPr>
      </w:pPr>
      <w:r>
        <w:rPr>
          <w:rFonts w:ascii="Arial" w:cs="Arial" w:eastAsia="Arial" w:hAnsi="Arial"/>
          <w:sz w:val="18"/>
          <w:szCs w:val="18"/>
          <w:color w:val="auto"/>
        </w:rPr>
        <w:t>+ Filed or furnished herewith</w:t>
      </w:r>
    </w:p>
    <w:p>
      <w:pPr>
        <w:spacing w:after="0" w:line="1" w:lineRule="exact"/>
        <w:rPr>
          <w:rFonts w:ascii="Arial" w:cs="Arial" w:eastAsia="Arial" w:hAnsi="Arial"/>
          <w:sz w:val="16"/>
          <w:szCs w:val="16"/>
          <w:color w:val="000000"/>
        </w:rPr>
      </w:pPr>
    </w:p>
    <w:p>
      <w:pPr>
        <w:jc w:val="both"/>
        <w:ind w:left="6" w:right="60" w:hanging="6"/>
        <w:spacing w:after="0" w:line="238" w:lineRule="auto"/>
        <w:tabs>
          <w:tab w:leader="none" w:pos="1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1" w:lineRule="exact"/>
        <w:rPr>
          <w:rFonts w:ascii="Arial" w:cs="Arial" w:eastAsia="Arial" w:hAnsi="Arial"/>
          <w:sz w:val="17"/>
          <w:szCs w:val="17"/>
          <w:color w:val="auto"/>
        </w:rPr>
      </w:pPr>
    </w:p>
    <w:p>
      <w:pPr>
        <w:ind w:left="6"/>
        <w:spacing w:after="0" w:line="230" w:lineRule="auto"/>
        <w:rPr>
          <w:rFonts w:ascii="Arial" w:cs="Arial" w:eastAsia="Arial" w:hAnsi="Arial"/>
          <w:sz w:val="17"/>
          <w:szCs w:val="17"/>
          <w:color w:val="auto"/>
        </w:rPr>
      </w:pPr>
      <w:r>
        <w:rPr>
          <w:rFonts w:ascii="Arial" w:cs="Arial" w:eastAsia="Arial" w:hAnsi="Arial"/>
          <w:sz w:val="18"/>
          <w:szCs w:val="18"/>
          <w:color w:val="auto"/>
        </w:rPr>
        <w:t>* Indicates a management contract or compensatory plan or arrangement.</w:t>
      </w:r>
    </w:p>
    <w:p>
      <w:pPr>
        <w:spacing w:after="0" w:line="13"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6"/>
          <w:szCs w:val="16"/>
          <w:color w:val="auto"/>
        </w:rPr>
        <w:t>(1) Included is the amended and restated version of this exhibit, redlined to show the amendment adopted on November 7, 2017.</w:t>
      </w:r>
    </w:p>
    <w:p>
      <w:pPr>
        <w:spacing w:after="0" w:line="227" w:lineRule="exact"/>
        <w:rPr>
          <w:rFonts w:ascii="Arial" w:cs="Arial" w:eastAsia="Arial" w:hAnsi="Arial"/>
          <w:sz w:val="17"/>
          <w:szCs w:val="17"/>
          <w:color w:val="auto"/>
        </w:rPr>
      </w:pPr>
    </w:p>
    <w:p>
      <w:pPr>
        <w:ind w:left="4546" w:hanging="114"/>
        <w:spacing w:after="0"/>
        <w:tabs>
          <w:tab w:leader="none" w:pos="4546" w:val="left"/>
        </w:tabs>
        <w:numPr>
          <w:ilvl w:val="1"/>
          <w:numId w:val="70"/>
        </w:numPr>
        <w:rPr>
          <w:rFonts w:ascii="Arial" w:cs="Arial" w:eastAsia="Arial" w:hAnsi="Arial"/>
          <w:sz w:val="20"/>
          <w:szCs w:val="20"/>
          <w:color w:val="auto"/>
        </w:rPr>
      </w:pPr>
      <w:r>
        <w:rPr>
          <w:rFonts w:ascii="Arial" w:cs="Arial" w:eastAsia="Arial" w:hAnsi="Arial"/>
          <w:sz w:val="20"/>
          <w:szCs w:val="20"/>
          <w:color w:val="auto"/>
        </w:rPr>
        <w:t>101 -</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0</wp:posOffset>
            </wp:positionH>
            <wp:positionV relativeFrom="paragraph">
              <wp:posOffset>227965</wp:posOffset>
            </wp:positionV>
            <wp:extent cx="5967730"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131" w:right="1266" w:bottom="0" w:gutter="0" w:footer="0" w:header="0"/>
          <w:type w:val="continuous"/>
        </w:sect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200" w:lineRule="exact"/>
        <w:rPr>
          <w:rFonts w:ascii="Arial" w:cs="Arial" w:eastAsia="Arial" w:hAnsi="Arial"/>
          <w:sz w:val="16"/>
          <w:szCs w:val="16"/>
          <w:color w:val="000000"/>
        </w:rPr>
      </w:pPr>
    </w:p>
    <w:p>
      <w:pPr>
        <w:spacing w:after="0" w:line="377" w:lineRule="exact"/>
        <w:rPr>
          <w:rFonts w:ascii="Arial" w:cs="Arial" w:eastAsia="Arial" w:hAnsi="Arial"/>
          <w:sz w:val="16"/>
          <w:szCs w:val="16"/>
          <w:color w:val="000000"/>
        </w:rPr>
      </w:pPr>
    </w:p>
    <w:p>
      <w:pPr>
        <w:jc w:val="center"/>
        <w:ind w:right="-5"/>
        <w:spacing w:after="0"/>
        <w:rPr>
          <w:sz w:val="20"/>
          <w:szCs w:val="20"/>
          <w:color w:val="auto"/>
        </w:rPr>
      </w:pPr>
      <w:r>
        <w:rPr>
          <w:rFonts w:ascii="Arial" w:cs="Arial" w:eastAsia="Arial" w:hAnsi="Arial"/>
          <w:sz w:val="20"/>
          <w:szCs w:val="20"/>
          <w:color w:val="auto"/>
        </w:rPr>
        <w:t>15 / 39</w:t>
      </w:r>
    </w:p>
    <w:p>
      <w:pPr>
        <w:sectPr>
          <w:pgSz w:w="11900" w:h="16838" w:orient="portrait"/>
          <w:cols w:equalWidth="0" w:num="1">
            <w:col w:w="9386"/>
          </w:cols>
          <w:pgMar w:left="1254" w:top="1131" w:right="1266" w:bottom="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8"/>
          <w:szCs w:val="28"/>
          <w:b w:val="1"/>
          <w:bCs w:val="1"/>
          <w:u w:val="single" w:color="auto"/>
          <w:color w:val="auto"/>
        </w:rPr>
        <w:t>SIGNATURES</w:t>
      </w:r>
    </w:p>
    <w:p>
      <w:pPr>
        <w:spacing w:after="0" w:line="296"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READING INTERNATIONAL, INC.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 w:leader="none" w:pos="4220" w:val="left"/>
          <w:tab w:leader="none" w:pos="4720" w:val="left"/>
        </w:tabs>
        <w:rPr>
          <w:sz w:val="20"/>
          <w:szCs w:val="20"/>
          <w:color w:val="auto"/>
        </w:rPr>
      </w:pPr>
      <w:r>
        <w:rPr>
          <w:rFonts w:ascii="Arial" w:cs="Arial" w:eastAsia="Arial" w:hAnsi="Arial"/>
          <w:sz w:val="20"/>
          <w:szCs w:val="20"/>
          <w:color w:val="auto"/>
        </w:rPr>
        <w:t>Date:</w:t>
        <w:tab/>
        <w:t>March 31,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Gilbert Avanes</w:t>
      </w:r>
    </w:p>
    <w:p>
      <w:pPr>
        <w:ind w:left="4740"/>
        <w:spacing w:after="0" w:line="225" w:lineRule="auto"/>
        <w:rPr>
          <w:sz w:val="20"/>
          <w:szCs w:val="20"/>
          <w:color w:val="auto"/>
        </w:rPr>
      </w:pPr>
      <w:r>
        <w:rPr>
          <w:rFonts w:ascii="Arial" w:cs="Arial" w:eastAsia="Arial" w:hAnsi="Arial"/>
          <w:sz w:val="20"/>
          <w:szCs w:val="20"/>
          <w:color w:val="auto"/>
        </w:rPr>
        <w:t>Gilbert Avanes</w:t>
      </w:r>
    </w:p>
    <w:p>
      <w:pPr>
        <w:ind w:left="4740"/>
        <w:spacing w:after="0" w:line="237" w:lineRule="auto"/>
        <w:rPr>
          <w:sz w:val="20"/>
          <w:szCs w:val="20"/>
          <w:color w:val="auto"/>
        </w:rPr>
      </w:pPr>
      <w:r>
        <w:rPr>
          <w:rFonts w:ascii="Arial" w:cs="Arial" w:eastAsia="Arial" w:hAnsi="Arial"/>
          <w:sz w:val="19"/>
          <w:szCs w:val="19"/>
          <w:color w:val="auto"/>
        </w:rPr>
        <w:t>Executive Vice President, Chief Financial Officer and</w:t>
      </w:r>
    </w:p>
    <w:p>
      <w:pPr>
        <w:ind w:left="4740"/>
        <w:spacing w:after="0" w:line="226" w:lineRule="auto"/>
        <w:rPr>
          <w:sz w:val="20"/>
          <w:szCs w:val="20"/>
          <w:color w:val="auto"/>
        </w:rPr>
      </w:pPr>
      <w:r>
        <w:rPr>
          <w:rFonts w:ascii="Arial" w:cs="Arial" w:eastAsia="Arial" w:hAnsi="Arial"/>
          <w:sz w:val="20"/>
          <w:szCs w:val="20"/>
          <w:color w:val="auto"/>
        </w:rPr>
        <w:t>Treasurer</w:t>
      </w:r>
    </w:p>
    <w:p>
      <w:pPr>
        <w:ind w:left="4740"/>
        <w:spacing w:after="0" w:line="229" w:lineRule="auto"/>
        <w:rPr>
          <w:sz w:val="20"/>
          <w:szCs w:val="20"/>
          <w:color w:val="auto"/>
        </w:rPr>
      </w:pPr>
      <w:r>
        <w:rPr>
          <w:rFonts w:ascii="Arial" w:cs="Arial" w:eastAsia="Arial" w:hAnsi="Arial"/>
          <w:sz w:val="20"/>
          <w:szCs w:val="20"/>
          <w:color w:val="auto"/>
        </w:rPr>
        <w:t>(Principal Financial Officer)</w:t>
      </w:r>
    </w:p>
    <w:p>
      <w:pPr>
        <w:spacing w:after="0" w:line="213"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Pursuant to the requirements of the Securities and Exchange Act of 1934, this report has been signed below by the following persons on behalf of Registrant and in capacities and on dates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20"/>
                <w:szCs w:val="20"/>
                <w:b w:val="1"/>
                <w:bCs w:val="1"/>
                <w:color w:val="auto"/>
              </w:rPr>
              <w:t>Signature</w:t>
            </w:r>
          </w:p>
        </w:tc>
        <w:tc>
          <w:tcPr>
            <w:tcW w:w="5780" w:type="dxa"/>
            <w:vAlign w:val="bottom"/>
            <w:gridSpan w:val="3"/>
          </w:tcPr>
          <w:p>
            <w:pPr>
              <w:ind w:left="2600"/>
              <w:spacing w:after="0"/>
              <w:rPr>
                <w:sz w:val="20"/>
                <w:szCs w:val="20"/>
                <w:color w:val="auto"/>
              </w:rPr>
            </w:pPr>
            <w:r>
              <w:rPr>
                <w:rFonts w:ascii="Arial" w:cs="Arial" w:eastAsia="Arial" w:hAnsi="Arial"/>
                <w:sz w:val="20"/>
                <w:szCs w:val="20"/>
                <w:b w:val="1"/>
                <w:bCs w:val="1"/>
                <w:color w:val="auto"/>
              </w:rPr>
              <w:t>Title(s)</w:t>
            </w:r>
          </w:p>
        </w:tc>
        <w:tc>
          <w:tcPr>
            <w:tcW w:w="1320" w:type="dxa"/>
            <w:vAlign w:val="bottom"/>
            <w:gridSpan w:val="3"/>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260" w:type="dxa"/>
            <w:vAlign w:val="bottom"/>
            <w:gridSpan w:val="2"/>
            <w:vMerge w:val="restart"/>
          </w:tcPr>
          <w:p>
            <w:pPr>
              <w:spacing w:after="0"/>
              <w:rPr>
                <w:sz w:val="20"/>
                <w:szCs w:val="20"/>
                <w:color w:val="auto"/>
              </w:rPr>
            </w:pPr>
            <w:r>
              <w:rPr>
                <w:rFonts w:ascii="Arial" w:cs="Arial" w:eastAsia="Arial" w:hAnsi="Arial"/>
                <w:sz w:val="20"/>
                <w:szCs w:val="20"/>
                <w:color w:val="auto"/>
              </w:rPr>
              <w:t>/s/ Ellen M. Cotter</w:t>
            </w:r>
          </w:p>
        </w:tc>
        <w:tc>
          <w:tcPr>
            <w:tcW w:w="5780" w:type="dxa"/>
            <w:vAlign w:val="bottom"/>
            <w:gridSpan w:val="3"/>
          </w:tcPr>
          <w:p>
            <w:pPr>
              <w:spacing w:after="0"/>
              <w:rPr>
                <w:sz w:val="20"/>
                <w:szCs w:val="20"/>
                <w:color w:val="auto"/>
              </w:rPr>
            </w:pPr>
            <w:r>
              <w:rPr>
                <w:rFonts w:ascii="Arial" w:cs="Arial" w:eastAsia="Arial" w:hAnsi="Arial"/>
                <w:sz w:val="20"/>
                <w:szCs w:val="20"/>
                <w:color w:val="auto"/>
              </w:rPr>
              <w:t>President, Chief Executive Officer and Vice Chair of Board and</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60" w:type="dxa"/>
            <w:vAlign w:val="bottom"/>
            <w:tcBorders>
              <w:bottom w:val="single" w:sz="8" w:color="auto"/>
            </w:tcBorders>
            <w:gridSpan w:val="2"/>
            <w:vMerge w:val="continue"/>
          </w:tcPr>
          <w:p>
            <w:pPr>
              <w:spacing w:after="0"/>
              <w:rPr>
                <w:sz w:val="18"/>
                <w:szCs w:val="18"/>
                <w:color w:val="auto"/>
              </w:rPr>
            </w:pPr>
          </w:p>
        </w:tc>
        <w:tc>
          <w:tcPr>
            <w:tcW w:w="5780" w:type="dxa"/>
            <w:vAlign w:val="bottom"/>
            <w:gridSpan w:val="3"/>
          </w:tcPr>
          <w:p>
            <w:pPr>
              <w:spacing w:after="0" w:line="208" w:lineRule="exact"/>
              <w:rPr>
                <w:sz w:val="20"/>
                <w:szCs w:val="20"/>
                <w:color w:val="auto"/>
              </w:rPr>
            </w:pPr>
            <w:r>
              <w:rPr>
                <w:rFonts w:ascii="Arial" w:cs="Arial" w:eastAsia="Arial" w:hAnsi="Arial"/>
                <w:sz w:val="20"/>
                <w:szCs w:val="20"/>
                <w:color w:val="auto"/>
              </w:rPr>
              <w:t>Director</w:t>
            </w:r>
          </w:p>
        </w:tc>
        <w:tc>
          <w:tcPr>
            <w:tcW w:w="1320" w:type="dxa"/>
            <w:vAlign w:val="bottom"/>
            <w:gridSpan w:val="3"/>
          </w:tcPr>
          <w:p>
            <w:pPr>
              <w:jc w:val="center"/>
              <w:spacing w:after="0" w:line="208" w:lineRule="exact"/>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Ellen M. Cotter</w:t>
            </w:r>
          </w:p>
        </w:tc>
        <w:tc>
          <w:tcPr>
            <w:tcW w:w="5780" w:type="dxa"/>
            <w:vAlign w:val="bottom"/>
            <w:gridSpan w:val="3"/>
          </w:tcPr>
          <w:p>
            <w:pPr>
              <w:spacing w:after="0" w:line="217" w:lineRule="exact"/>
              <w:rPr>
                <w:sz w:val="20"/>
                <w:szCs w:val="20"/>
                <w:color w:val="auto"/>
              </w:rPr>
            </w:pPr>
            <w:r>
              <w:rPr>
                <w:rFonts w:ascii="Arial" w:cs="Arial" w:eastAsia="Arial" w:hAnsi="Arial"/>
                <w:sz w:val="20"/>
                <w:szCs w:val="20"/>
                <w:i w:val="1"/>
                <w:iCs w:val="1"/>
                <w:color w:val="auto"/>
              </w:rPr>
              <w:t>(Principal Executive Officer)</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Gilbert Avanes</w:t>
            </w:r>
          </w:p>
        </w:tc>
        <w:tc>
          <w:tcPr>
            <w:tcW w:w="5780" w:type="dxa"/>
            <w:vAlign w:val="bottom"/>
            <w:gridSpan w:val="3"/>
          </w:tcPr>
          <w:p>
            <w:pPr>
              <w:spacing w:after="0"/>
              <w:rPr>
                <w:sz w:val="20"/>
                <w:szCs w:val="20"/>
                <w:color w:val="auto"/>
              </w:rPr>
            </w:pPr>
            <w:r>
              <w:rPr>
                <w:rFonts w:ascii="Arial" w:cs="Arial" w:eastAsia="Arial" w:hAnsi="Arial"/>
                <w:sz w:val="20"/>
                <w:szCs w:val="20"/>
                <w:color w:val="auto"/>
              </w:rPr>
              <w:t>Executive Vice President, Chief Financial Officer and Treasurer</w:t>
            </w:r>
          </w:p>
        </w:tc>
        <w:tc>
          <w:tcPr>
            <w:tcW w:w="132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Gilbert Avanes</w:t>
            </w:r>
          </w:p>
        </w:tc>
        <w:tc>
          <w:tcPr>
            <w:tcW w:w="5780" w:type="dxa"/>
            <w:vAlign w:val="bottom"/>
            <w:gridSpan w:val="3"/>
          </w:tcPr>
          <w:p>
            <w:pPr>
              <w:spacing w:after="0" w:line="217" w:lineRule="exact"/>
              <w:rPr>
                <w:sz w:val="20"/>
                <w:szCs w:val="20"/>
                <w:color w:val="auto"/>
              </w:rPr>
            </w:pPr>
            <w:r>
              <w:rPr>
                <w:rFonts w:ascii="Arial" w:cs="Arial" w:eastAsia="Arial" w:hAnsi="Arial"/>
                <w:sz w:val="20"/>
                <w:szCs w:val="20"/>
                <w:i w:val="1"/>
                <w:iCs w:val="1"/>
                <w:color w:val="auto"/>
              </w:rPr>
              <w:t>(Principal Financial Officer)</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Steve Lucas</w:t>
            </w:r>
          </w:p>
        </w:tc>
        <w:tc>
          <w:tcPr>
            <w:tcW w:w="5780" w:type="dxa"/>
            <w:vAlign w:val="bottom"/>
            <w:gridSpan w:val="3"/>
          </w:tcPr>
          <w:p>
            <w:pPr>
              <w:spacing w:after="0"/>
              <w:rPr>
                <w:sz w:val="20"/>
                <w:szCs w:val="20"/>
                <w:color w:val="auto"/>
              </w:rPr>
            </w:pPr>
            <w:r>
              <w:rPr>
                <w:rFonts w:ascii="Arial" w:cs="Arial" w:eastAsia="Arial" w:hAnsi="Arial"/>
                <w:sz w:val="20"/>
                <w:szCs w:val="20"/>
                <w:color w:val="auto"/>
              </w:rPr>
              <w:t>Vice President, Controller and Chief Accounting Officer</w:t>
            </w:r>
          </w:p>
        </w:tc>
        <w:tc>
          <w:tcPr>
            <w:tcW w:w="132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Steve Lucas</w:t>
            </w:r>
          </w:p>
        </w:tc>
        <w:tc>
          <w:tcPr>
            <w:tcW w:w="5780" w:type="dxa"/>
            <w:vAlign w:val="bottom"/>
            <w:gridSpan w:val="3"/>
          </w:tcPr>
          <w:p>
            <w:pPr>
              <w:spacing w:after="0" w:line="217" w:lineRule="exact"/>
              <w:rPr>
                <w:sz w:val="20"/>
                <w:szCs w:val="20"/>
                <w:color w:val="auto"/>
              </w:rPr>
            </w:pPr>
            <w:r>
              <w:rPr>
                <w:rFonts w:ascii="Arial" w:cs="Arial" w:eastAsia="Arial" w:hAnsi="Arial"/>
                <w:sz w:val="20"/>
                <w:szCs w:val="20"/>
                <w:i w:val="1"/>
                <w:iCs w:val="1"/>
                <w:color w:val="auto"/>
              </w:rPr>
              <w:t>(Principal Accounting Officer)</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260" w:type="dxa"/>
            <w:vAlign w:val="bottom"/>
            <w:gridSpan w:val="2"/>
            <w:vMerge w:val="restart"/>
          </w:tcPr>
          <w:p>
            <w:pPr>
              <w:spacing w:after="0"/>
              <w:rPr>
                <w:sz w:val="20"/>
                <w:szCs w:val="20"/>
                <w:color w:val="auto"/>
              </w:rPr>
            </w:pPr>
            <w:r>
              <w:rPr>
                <w:rFonts w:ascii="Arial" w:cs="Arial" w:eastAsia="Arial" w:hAnsi="Arial"/>
                <w:sz w:val="20"/>
                <w:szCs w:val="20"/>
                <w:color w:val="auto"/>
              </w:rPr>
              <w:t>/s/ Margaret Cotter</w:t>
            </w:r>
          </w:p>
        </w:tc>
        <w:tc>
          <w:tcPr>
            <w:tcW w:w="5780" w:type="dxa"/>
            <w:vAlign w:val="bottom"/>
            <w:gridSpan w:val="3"/>
          </w:tcPr>
          <w:p>
            <w:pPr>
              <w:spacing w:after="0"/>
              <w:rPr>
                <w:sz w:val="20"/>
                <w:szCs w:val="20"/>
                <w:color w:val="auto"/>
              </w:rPr>
            </w:pPr>
            <w:r>
              <w:rPr>
                <w:rFonts w:ascii="Arial" w:cs="Arial" w:eastAsia="Arial" w:hAnsi="Arial"/>
                <w:sz w:val="20"/>
                <w:szCs w:val="20"/>
                <w:color w:val="auto"/>
              </w:rPr>
              <w:t>Executive Vice President Real Estate and Chair of the Board and</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60" w:type="dxa"/>
            <w:vAlign w:val="bottom"/>
            <w:tcBorders>
              <w:bottom w:val="single" w:sz="8" w:color="auto"/>
            </w:tcBorders>
            <w:gridSpan w:val="2"/>
            <w:vMerge w:val="continue"/>
          </w:tcPr>
          <w:p>
            <w:pPr>
              <w:spacing w:after="0"/>
              <w:rPr>
                <w:sz w:val="18"/>
                <w:szCs w:val="18"/>
                <w:color w:val="auto"/>
              </w:rPr>
            </w:pPr>
          </w:p>
        </w:tc>
        <w:tc>
          <w:tcPr>
            <w:tcW w:w="5780" w:type="dxa"/>
            <w:vAlign w:val="bottom"/>
            <w:gridSpan w:val="3"/>
          </w:tcPr>
          <w:p>
            <w:pPr>
              <w:spacing w:after="0" w:line="208" w:lineRule="exact"/>
              <w:rPr>
                <w:sz w:val="20"/>
                <w:szCs w:val="20"/>
                <w:color w:val="auto"/>
              </w:rPr>
            </w:pPr>
            <w:r>
              <w:rPr>
                <w:rFonts w:ascii="Arial" w:cs="Arial" w:eastAsia="Arial" w:hAnsi="Arial"/>
                <w:sz w:val="20"/>
                <w:szCs w:val="20"/>
                <w:color w:val="auto"/>
              </w:rPr>
              <w:t>Director</w:t>
            </w:r>
          </w:p>
        </w:tc>
        <w:tc>
          <w:tcPr>
            <w:tcW w:w="1320" w:type="dxa"/>
            <w:vAlign w:val="bottom"/>
            <w:gridSpan w:val="3"/>
          </w:tcPr>
          <w:p>
            <w:pPr>
              <w:jc w:val="center"/>
              <w:spacing w:after="0" w:line="208" w:lineRule="exact"/>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Margaret Cotter</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Guy W. Adams</w:t>
            </w:r>
          </w:p>
        </w:tc>
        <w:tc>
          <w:tcPr>
            <w:tcW w:w="5780" w:type="dxa"/>
            <w:vAlign w:val="bottom"/>
            <w:gridSpan w:val="3"/>
          </w:tcPr>
          <w:p>
            <w:pPr>
              <w:spacing w:after="0"/>
              <w:rPr>
                <w:sz w:val="20"/>
                <w:szCs w:val="20"/>
                <w:color w:val="auto"/>
              </w:rPr>
            </w:pPr>
            <w:r>
              <w:rPr>
                <w:rFonts w:ascii="Arial" w:cs="Arial" w:eastAsia="Arial" w:hAnsi="Arial"/>
                <w:sz w:val="20"/>
                <w:szCs w:val="20"/>
                <w:color w:val="auto"/>
              </w:rPr>
              <w:t>Director</w:t>
            </w:r>
          </w:p>
        </w:tc>
        <w:tc>
          <w:tcPr>
            <w:tcW w:w="132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Guy W. Adams</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/s/ Douglas J. McEachern</w:t>
            </w:r>
          </w:p>
        </w:tc>
        <w:tc>
          <w:tcPr>
            <w:tcW w:w="5780" w:type="dxa"/>
            <w:vAlign w:val="bottom"/>
            <w:gridSpan w:val="3"/>
          </w:tcPr>
          <w:p>
            <w:pPr>
              <w:spacing w:after="0"/>
              <w:rPr>
                <w:sz w:val="20"/>
                <w:szCs w:val="20"/>
                <w:color w:val="auto"/>
              </w:rPr>
            </w:pPr>
            <w:r>
              <w:rPr>
                <w:rFonts w:ascii="Arial" w:cs="Arial" w:eastAsia="Arial" w:hAnsi="Arial"/>
                <w:sz w:val="20"/>
                <w:szCs w:val="20"/>
                <w:color w:val="auto"/>
              </w:rPr>
              <w:t>Director</w:t>
            </w:r>
          </w:p>
        </w:tc>
        <w:tc>
          <w:tcPr>
            <w:tcW w:w="132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Douglas J. McEachern</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Dr. Judy Codding</w:t>
            </w:r>
          </w:p>
        </w:tc>
        <w:tc>
          <w:tcPr>
            <w:tcW w:w="5780" w:type="dxa"/>
            <w:vAlign w:val="bottom"/>
            <w:gridSpan w:val="3"/>
          </w:tcPr>
          <w:p>
            <w:pPr>
              <w:spacing w:after="0"/>
              <w:rPr>
                <w:sz w:val="20"/>
                <w:szCs w:val="20"/>
                <w:color w:val="auto"/>
              </w:rPr>
            </w:pPr>
            <w:r>
              <w:rPr>
                <w:rFonts w:ascii="Arial" w:cs="Arial" w:eastAsia="Arial" w:hAnsi="Arial"/>
                <w:sz w:val="20"/>
                <w:szCs w:val="20"/>
                <w:color w:val="auto"/>
              </w:rPr>
              <w:t>Director</w:t>
            </w:r>
          </w:p>
        </w:tc>
        <w:tc>
          <w:tcPr>
            <w:tcW w:w="132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2026</w:t>
            </w: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line="220" w:lineRule="exact"/>
              <w:rPr>
                <w:sz w:val="20"/>
                <w:szCs w:val="20"/>
                <w:color w:val="auto"/>
              </w:rPr>
            </w:pPr>
            <w:r>
              <w:rPr>
                <w:rFonts w:ascii="Arial" w:cs="Arial" w:eastAsia="Arial" w:hAnsi="Arial"/>
                <w:sz w:val="20"/>
                <w:szCs w:val="20"/>
                <w:color w:val="auto"/>
              </w:rPr>
              <w:t>Dr. Judy Codding</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5"/>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0" w:type="dxa"/>
            <w:vAlign w:val="bottom"/>
            <w:gridSpan w:val="2"/>
          </w:tcPr>
          <w:p>
            <w:pPr>
              <w:ind w:left="2160"/>
              <w:spacing w:after="0"/>
              <w:rPr>
                <w:sz w:val="20"/>
                <w:szCs w:val="20"/>
                <w:color w:val="auto"/>
              </w:rPr>
            </w:pPr>
            <w:r>
              <w:rPr>
                <w:rFonts w:ascii="Arial" w:cs="Arial" w:eastAsia="Arial" w:hAnsi="Arial"/>
                <w:sz w:val="20"/>
                <w:szCs w:val="20"/>
                <w:color w:val="auto"/>
              </w:rPr>
              <w:t>- 102 -</w:t>
            </w: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80"/>
          </w:cols>
          <w:pgMar w:left="1260" w:top="133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39</w:t>
      </w:r>
    </w:p>
    <w:p>
      <w:pPr>
        <w:sectPr>
          <w:pgSz w:w="11900" w:h="16838" w:orient="portrait"/>
          <w:cols w:equalWidth="0" w:num="1">
            <w:col w:w="9380"/>
          </w:cols>
          <w:pgMar w:left="1260" w:top="1333" w:right="1266" w:bottom="0" w:gutter="0" w:footer="0" w:header="0"/>
          <w:type w:val="continuous"/>
        </w:sectPr>
      </w:pPr>
    </w:p>
    <w:bookmarkStart w:id="159" w:name="page160"/>
    <w:bookmarkEnd w:id="159"/>
    <w:p>
      <w:pPr>
        <w:spacing w:after="0" w:line="67" w:lineRule="exact"/>
        <w:rPr>
          <w:sz w:val="20"/>
          <w:szCs w:val="20"/>
          <w:color w:val="auto"/>
        </w:rPr>
      </w:pPr>
    </w:p>
    <w:p>
      <w:pPr>
        <w:jc w:val="both"/>
        <w:ind w:left="1140" w:right="1086"/>
        <w:spacing w:after="0" w:line="311" w:lineRule="auto"/>
        <w:rPr>
          <w:sz w:val="20"/>
          <w:szCs w:val="20"/>
          <w:color w:val="auto"/>
        </w:rPr>
      </w:pPr>
      <w:r>
        <w:rPr>
          <w:rFonts w:ascii="Arial" w:cs="Arial" w:eastAsia="Arial" w:hAnsi="Arial"/>
          <w:sz w:val="22"/>
          <w:szCs w:val="22"/>
          <w:b w:val="1"/>
          <w:bCs w:val="1"/>
          <w:color w:val="auto"/>
        </w:rPr>
        <w:t>PORTIONS OF THIS EXHIBIT HAVE BEEN OMITTED BECAUSE THEY ARE BOTH (I) NOT 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6"/>
          <w:szCs w:val="16"/>
          <w:color w:val="0D0D0D"/>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418465</wp:posOffset>
            </wp:positionV>
            <wp:extent cx="3834130"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383413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40"/>
        <w:spacing w:after="0"/>
        <w:rPr>
          <w:sz w:val="20"/>
          <w:szCs w:val="20"/>
          <w:color w:val="auto"/>
        </w:rPr>
      </w:pPr>
      <w:r>
        <w:rPr>
          <w:rFonts w:ascii="Arial" w:cs="Arial" w:eastAsia="Arial" w:hAnsi="Arial"/>
          <w:sz w:val="70"/>
          <w:szCs w:val="70"/>
          <w:color w:val="002060"/>
        </w:rPr>
        <w:t>Amendment Deed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Corporate Markets Loan &amp; Bank Guarantee Facility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40"/>
        <w:spacing w:after="0"/>
        <w:rPr>
          <w:sz w:val="20"/>
          <w:szCs w:val="20"/>
          <w:color w:val="auto"/>
        </w:rPr>
      </w:pPr>
      <w:r>
        <w:rPr>
          <w:rFonts w:ascii="Arial" w:cs="Arial" w:eastAsia="Arial" w:hAnsi="Arial"/>
          <w:sz w:val="22"/>
          <w:szCs w:val="22"/>
          <w:color w:val="002060"/>
        </w:rPr>
        <w:t>National Australia Bank Limited</w:t>
      </w: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Arial" w:cs="Arial" w:eastAsia="Arial" w:hAnsi="Arial"/>
          <w:sz w:val="22"/>
          <w:szCs w:val="22"/>
          <w:color w:val="002060"/>
        </w:rPr>
        <w:t>Reading Entertainment Australia Pty Ltd</w:t>
      </w: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Arial" w:cs="Arial" w:eastAsia="Arial" w:hAnsi="Arial"/>
          <w:sz w:val="22"/>
          <w:szCs w:val="22"/>
          <w:color w:val="002060"/>
        </w:rPr>
        <w:t>Reading Cannon Park Pty Ltd</w:t>
      </w: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Arial" w:cs="Arial" w:eastAsia="Arial" w:hAnsi="Arial"/>
          <w:sz w:val="22"/>
          <w:szCs w:val="22"/>
          <w:color w:val="002060"/>
        </w:rPr>
        <w:t>Each Guarantor</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39</w:t>
      </w:r>
    </w:p>
    <w:p>
      <w:pPr>
        <w:sectPr>
          <w:pgSz w:w="11900" w:h="16838" w:orient="portrait"/>
          <w:cols w:equalWidth="0" w:num="1">
            <w:col w:w="9026"/>
          </w:cols>
          <w:pgMar w:left="1440" w:top="1440" w:right="1440" w:bottom="0" w:gutter="0" w:footer="0" w:header="0"/>
          <w:type w:val="continuous"/>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4658995</wp:posOffset>
            </wp:positionH>
            <wp:positionV relativeFrom="page">
              <wp:posOffset>1767840</wp:posOffset>
            </wp:positionV>
            <wp:extent cx="1266825" cy="7524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26682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corrs.com.au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784225</wp:posOffset>
            </wp:positionV>
            <wp:extent cx="4291330"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39</w:t>
      </w:r>
    </w:p>
    <w:p>
      <w:pPr>
        <w:sectPr>
          <w:pgSz w:w="11900" w:h="16838" w:orient="portrait"/>
          <w:cols w:equalWidth="0" w:num="1">
            <w:col w:w="9026"/>
          </w:cols>
          <w:pgMar w:left="1440" w:top="1440" w:right="1440" w:bottom="0" w:gutter="0" w:footer="0" w:header="0"/>
          <w:type w:val="continuous"/>
        </w:sectPr>
      </w:pPr>
    </w:p>
    <w:bookmarkStart w:id="161" w:name="page162"/>
    <w:bookmarkEnd w:id="161"/>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tcPr>
          <w:p>
            <w:pPr>
              <w:ind w:left="120"/>
              <w:spacing w:after="0"/>
              <w:rPr>
                <w:sz w:val="20"/>
                <w:szCs w:val="20"/>
                <w:color w:val="auto"/>
              </w:rPr>
            </w:pPr>
            <w:r>
              <w:rPr>
                <w:rFonts w:ascii="Arial" w:cs="Arial" w:eastAsia="Arial" w:hAnsi="Arial"/>
                <w:sz w:val="16"/>
                <w:szCs w:val="16"/>
                <w:color w:val="auto"/>
              </w:rPr>
              <w:t>Corrs Chambers Westgarth</w:t>
            </w:r>
          </w:p>
        </w:tc>
      </w:tr>
      <w:tr>
        <w:trPr>
          <w:trHeight w:val="474"/>
        </w:trPr>
        <w:tc>
          <w:tcPr>
            <w:tcW w:w="4900" w:type="dxa"/>
            <w:vAlign w:val="bottom"/>
            <w:gridSpan w:val="23"/>
          </w:tcPr>
          <w:p>
            <w:pPr>
              <w:spacing w:after="0"/>
              <w:rPr>
                <w:sz w:val="20"/>
                <w:szCs w:val="20"/>
                <w:color w:val="auto"/>
              </w:rPr>
            </w:pPr>
            <w:r>
              <w:rPr>
                <w:rFonts w:ascii="Arial" w:cs="Arial" w:eastAsia="Arial" w:hAnsi="Arial"/>
                <w:sz w:val="32"/>
                <w:szCs w:val="32"/>
                <w:color w:val="002060"/>
              </w:rPr>
              <w:t>Contents</w:t>
            </w:r>
          </w:p>
        </w:tc>
        <w:tc>
          <w:tcPr>
            <w:tcW w:w="4360" w:type="dxa"/>
            <w:vAlign w:val="bottom"/>
          </w:tcPr>
          <w:p>
            <w:pPr>
              <w:spacing w:after="0"/>
              <w:rPr>
                <w:sz w:val="24"/>
                <w:szCs w:val="24"/>
                <w:color w:val="auto"/>
              </w:rPr>
            </w:pPr>
          </w:p>
        </w:tc>
      </w:tr>
      <w:tr>
        <w:trPr>
          <w:trHeight w:val="444"/>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1</w:t>
            </w:r>
          </w:p>
        </w:tc>
        <w:tc>
          <w:tcPr>
            <w:tcW w:w="4220" w:type="dxa"/>
            <w:vAlign w:val="bottom"/>
            <w:gridSpan w:val="21"/>
          </w:tcPr>
          <w:p>
            <w:pPr>
              <w:spacing w:after="0"/>
              <w:rPr>
                <w:sz w:val="20"/>
                <w:szCs w:val="20"/>
                <w:color w:val="auto"/>
              </w:rPr>
            </w:pPr>
            <w:r>
              <w:rPr>
                <w:rFonts w:ascii="Calibri" w:cs="Calibri" w:eastAsia="Calibri" w:hAnsi="Calibri"/>
                <w:sz w:val="22"/>
                <w:szCs w:val="22"/>
                <w:b w:val="1"/>
                <w:bCs w:val="1"/>
                <w:color w:val="0000FF"/>
              </w:rPr>
              <w:t>Interpretation</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7"/>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1.</w:t>
            </w:r>
            <w:r>
              <w:rPr>
                <w:rFonts w:ascii="Calibri" w:cs="Calibri" w:eastAsia="Calibri" w:hAnsi="Calibri"/>
                <w:sz w:val="22"/>
                <w:szCs w:val="22"/>
                <w:u w:val="single" w:color="auto"/>
                <w:color w:val="0000FF"/>
              </w:rPr>
              <w:t>1</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Definitions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1.</w:t>
            </w:r>
            <w:r>
              <w:rPr>
                <w:rFonts w:ascii="Calibri" w:cs="Calibri" w:eastAsia="Calibri" w:hAnsi="Calibri"/>
                <w:sz w:val="22"/>
                <w:szCs w:val="22"/>
                <w:u w:val="single" w:color="auto"/>
                <w:color w:val="0000FF"/>
              </w:rPr>
              <w:t>2</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Construction</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Borders>
              <w:top w:val="single" w:sz="8" w:color="0000FF"/>
            </w:tcBorders>
            <w:gridSpan w:val="8"/>
          </w:tcPr>
          <w:p>
            <w:pPr>
              <w:spacing w:after="0"/>
              <w:rPr>
                <w:sz w:val="20"/>
                <w:szCs w:val="20"/>
                <w:color w:val="auto"/>
              </w:rPr>
            </w:pPr>
            <w:r>
              <w:rPr>
                <w:rFonts w:ascii="Calibri" w:cs="Calibri" w:eastAsia="Calibri" w:hAnsi="Calibri"/>
                <w:sz w:val="22"/>
                <w:szCs w:val="22"/>
                <w:color w:val="0000FF"/>
              </w:rPr>
              <w:t>1.</w:t>
            </w:r>
            <w:r>
              <w:rPr>
                <w:rFonts w:ascii="Calibri" w:cs="Calibri" w:eastAsia="Calibri" w:hAnsi="Calibri"/>
                <w:sz w:val="22"/>
                <w:szCs w:val="22"/>
                <w:u w:val="single" w:color="auto"/>
                <w:color w:val="0000FF"/>
              </w:rPr>
              <w:t>3</w:t>
            </w:r>
            <w:r>
              <w:rPr>
                <w:rFonts w:ascii="Calibri" w:cs="Calibri" w:eastAsia="Calibri" w:hAnsi="Calibri"/>
                <w:sz w:val="22"/>
                <w:szCs w:val="22"/>
                <w:color w:val="0000FF"/>
              </w:rPr>
              <w:t xml:space="preserve"> Deed</w:t>
            </w:r>
          </w:p>
        </w:tc>
        <w:tc>
          <w:tcPr>
            <w:tcW w:w="2760" w:type="dxa"/>
            <w:vAlign w:val="bottom"/>
            <w:gridSpan w:val="13"/>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w:t>
            </w:r>
          </w:p>
        </w:tc>
      </w:tr>
      <w:tr>
        <w:trPr>
          <w:trHeight w:val="65"/>
        </w:trPr>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2</w:t>
            </w:r>
          </w:p>
        </w:tc>
        <w:tc>
          <w:tcPr>
            <w:tcW w:w="4220" w:type="dxa"/>
            <w:vAlign w:val="bottom"/>
            <w:gridSpan w:val="21"/>
          </w:tcPr>
          <w:p>
            <w:pPr>
              <w:spacing w:after="0"/>
              <w:rPr>
                <w:sz w:val="20"/>
                <w:szCs w:val="20"/>
                <w:color w:val="auto"/>
              </w:rPr>
            </w:pPr>
            <w:r>
              <w:rPr>
                <w:rFonts w:ascii="Calibri" w:cs="Calibri" w:eastAsia="Calibri" w:hAnsi="Calibri"/>
                <w:sz w:val="22"/>
                <w:szCs w:val="22"/>
                <w:b w:val="1"/>
                <w:bCs w:val="1"/>
                <w:color w:val="0000FF"/>
              </w:rPr>
              <w:t>Consideration</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2</w:t>
            </w:r>
          </w:p>
        </w:tc>
      </w:tr>
      <w:tr>
        <w:trPr>
          <w:trHeight w:val="71"/>
        </w:trPr>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42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3</w:t>
            </w:r>
          </w:p>
        </w:tc>
        <w:tc>
          <w:tcPr>
            <w:tcW w:w="1960" w:type="dxa"/>
            <w:vAlign w:val="bottom"/>
            <w:tcBorders>
              <w:bottom w:val="single" w:sz="8" w:color="0000FF"/>
            </w:tcBorders>
            <w:gridSpan w:val="12"/>
          </w:tcPr>
          <w:p>
            <w:pPr>
              <w:spacing w:after="0"/>
              <w:rPr>
                <w:sz w:val="20"/>
                <w:szCs w:val="20"/>
                <w:color w:val="auto"/>
              </w:rPr>
            </w:pPr>
            <w:r>
              <w:rPr>
                <w:rFonts w:ascii="Calibri" w:cs="Calibri" w:eastAsia="Calibri" w:hAnsi="Calibri"/>
                <w:sz w:val="22"/>
                <w:szCs w:val="22"/>
                <w:b w:val="1"/>
                <w:bCs w:val="1"/>
                <w:color w:val="0000FF"/>
                <w:w w:val="98"/>
              </w:rPr>
              <w:t>Conditions precedent</w:t>
            </w:r>
          </w:p>
        </w:tc>
        <w:tc>
          <w:tcPr>
            <w:tcW w:w="2260" w:type="dxa"/>
            <w:vAlign w:val="bottom"/>
            <w:gridSpan w:val="9"/>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2</w:t>
            </w:r>
          </w:p>
        </w:tc>
      </w:tr>
      <w:tr>
        <w:trPr>
          <w:trHeight w:val="437"/>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000FF"/>
            </w:tcBorders>
          </w:tcPr>
          <w:p>
            <w:pPr>
              <w:spacing w:after="0"/>
              <w:rPr>
                <w:sz w:val="20"/>
                <w:szCs w:val="20"/>
                <w:color w:val="auto"/>
              </w:rPr>
            </w:pPr>
            <w:r>
              <w:rPr>
                <w:rFonts w:ascii="Calibri" w:cs="Calibri" w:eastAsia="Calibri" w:hAnsi="Calibri"/>
                <w:sz w:val="22"/>
                <w:szCs w:val="22"/>
                <w:color w:val="0000FF"/>
              </w:rPr>
              <w:t>3.</w:t>
            </w:r>
            <w:r>
              <w:rPr>
                <w:rFonts w:ascii="Calibri" w:cs="Calibri" w:eastAsia="Calibri" w:hAnsi="Calibri"/>
                <w:sz w:val="22"/>
                <w:szCs w:val="22"/>
                <w:u w:val="single" w:color="auto"/>
                <w:color w:val="0000FF"/>
              </w:rPr>
              <w:t>1</w:t>
            </w:r>
          </w:p>
        </w:tc>
        <w:tc>
          <w:tcPr>
            <w:tcW w:w="3460" w:type="dxa"/>
            <w:vAlign w:val="bottom"/>
            <w:tcBorders>
              <w:bottom w:val="single" w:sz="8" w:color="0000FF"/>
            </w:tcBorders>
            <w:gridSpan w:val="18"/>
          </w:tcPr>
          <w:p>
            <w:pPr>
              <w:ind w:left="20"/>
              <w:spacing w:after="0"/>
              <w:rPr>
                <w:sz w:val="20"/>
                <w:szCs w:val="20"/>
                <w:color w:val="auto"/>
              </w:rPr>
            </w:pPr>
            <w:r>
              <w:rPr>
                <w:rFonts w:ascii="Calibri" w:cs="Calibri" w:eastAsia="Calibri" w:hAnsi="Calibri"/>
                <w:sz w:val="22"/>
                <w:szCs w:val="22"/>
                <w:color w:val="0000FF"/>
                <w:w w:val="98"/>
              </w:rPr>
              <w:t>Conditions precedent to Effective Date</w:t>
            </w:r>
          </w:p>
        </w:tc>
        <w:tc>
          <w:tcPr>
            <w:tcW w:w="460" w:type="dxa"/>
            <w:vAlign w:val="bottom"/>
            <w:gridSpan w:val="2"/>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2</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3.</w:t>
            </w:r>
            <w:r>
              <w:rPr>
                <w:rFonts w:ascii="Calibri" w:cs="Calibri" w:eastAsia="Calibri" w:hAnsi="Calibri"/>
                <w:sz w:val="22"/>
                <w:szCs w:val="22"/>
                <w:u w:val="single" w:color="auto"/>
                <w:color w:val="0000FF"/>
              </w:rPr>
              <w:t>2</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Satisfaction of conditions precedent</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2</w:t>
            </w:r>
          </w:p>
        </w:tc>
      </w:tr>
      <w:tr>
        <w:trPr>
          <w:trHeight w:val="65"/>
        </w:trPr>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4</w:t>
            </w:r>
          </w:p>
        </w:tc>
        <w:tc>
          <w:tcPr>
            <w:tcW w:w="4220" w:type="dxa"/>
            <w:vAlign w:val="bottom"/>
            <w:gridSpan w:val="21"/>
          </w:tcPr>
          <w:p>
            <w:pPr>
              <w:spacing w:after="0"/>
              <w:rPr>
                <w:sz w:val="20"/>
                <w:szCs w:val="20"/>
                <w:color w:val="auto"/>
              </w:rPr>
            </w:pPr>
            <w:r>
              <w:rPr>
                <w:rFonts w:ascii="Calibri" w:cs="Calibri" w:eastAsia="Calibri" w:hAnsi="Calibri"/>
                <w:sz w:val="22"/>
                <w:szCs w:val="22"/>
                <w:b w:val="1"/>
                <w:bCs w:val="1"/>
                <w:color w:val="0000FF"/>
              </w:rPr>
              <w:t>Amendment of Facility Agreement</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437"/>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22"/>
                <w:szCs w:val="22"/>
                <w:color w:val="0000FF"/>
                <w:w w:val="98"/>
              </w:rPr>
              <w:t>4.</w:t>
            </w:r>
            <w:r>
              <w:rPr>
                <w:rFonts w:ascii="Calibri" w:cs="Calibri" w:eastAsia="Calibri" w:hAnsi="Calibri"/>
                <w:sz w:val="22"/>
                <w:szCs w:val="22"/>
                <w:u w:val="single" w:color="auto"/>
                <w:color w:val="0000FF"/>
                <w:w w:val="98"/>
              </w:rPr>
              <w:t>1</w:t>
            </w:r>
            <w:r>
              <w:rPr>
                <w:rFonts w:ascii="Calibri" w:cs="Calibri" w:eastAsia="Calibri" w:hAnsi="Calibri"/>
                <w:sz w:val="22"/>
                <w:szCs w:val="22"/>
                <w:color w:val="0000FF"/>
                <w:w w:val="98"/>
              </w:rPr>
              <w:t xml:space="preserve"> Amendment</w:t>
            </w:r>
          </w:p>
        </w:tc>
        <w:tc>
          <w:tcPr>
            <w:tcW w:w="1680" w:type="dxa"/>
            <w:vAlign w:val="bottom"/>
            <w:tcBorders>
              <w:top w:val="single" w:sz="8" w:color="0000FF"/>
            </w:tcBorders>
            <w:gridSpan w:val="10"/>
          </w:tcPr>
          <w:p>
            <w:pPr>
              <w:spacing w:after="0"/>
              <w:rPr>
                <w:sz w:val="24"/>
                <w:szCs w:val="24"/>
                <w:color w:val="auto"/>
              </w:rPr>
            </w:pPr>
          </w:p>
        </w:tc>
        <w:tc>
          <w:tcPr>
            <w:tcW w:w="1100" w:type="dxa"/>
            <w:vAlign w:val="bottom"/>
            <w:gridSpan w:val="4"/>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4.</w:t>
            </w:r>
            <w:r>
              <w:rPr>
                <w:rFonts w:ascii="Calibri" w:cs="Calibri" w:eastAsia="Calibri" w:hAnsi="Calibri"/>
                <w:sz w:val="22"/>
                <w:szCs w:val="22"/>
                <w:u w:val="single" w:color="auto"/>
                <w:color w:val="0000FF"/>
              </w:rPr>
              <w:t>2</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Parties bound</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65"/>
        </w:trPr>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5</w:t>
            </w:r>
          </w:p>
        </w:tc>
        <w:tc>
          <w:tcPr>
            <w:tcW w:w="2900" w:type="dxa"/>
            <w:vAlign w:val="bottom"/>
            <w:tcBorders>
              <w:bottom w:val="single" w:sz="8" w:color="0000FF"/>
            </w:tcBorders>
            <w:gridSpan w:val="15"/>
          </w:tcPr>
          <w:p>
            <w:pPr>
              <w:spacing w:after="0"/>
              <w:rPr>
                <w:sz w:val="20"/>
                <w:szCs w:val="20"/>
                <w:color w:val="auto"/>
              </w:rPr>
            </w:pPr>
            <w:r>
              <w:rPr>
                <w:rFonts w:ascii="Calibri" w:cs="Calibri" w:eastAsia="Calibri" w:hAnsi="Calibri"/>
                <w:sz w:val="22"/>
                <w:szCs w:val="22"/>
                <w:b w:val="1"/>
                <w:bCs w:val="1"/>
                <w:color w:val="0000FF"/>
                <w:w w:val="98"/>
              </w:rPr>
              <w:t>Representations and warranties</w:t>
            </w:r>
          </w:p>
        </w:tc>
        <w:tc>
          <w:tcPr>
            <w:tcW w:w="1320" w:type="dxa"/>
            <w:vAlign w:val="bottom"/>
            <w:gridSpan w:val="6"/>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437"/>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5.</w:t>
            </w:r>
            <w:r>
              <w:rPr>
                <w:rFonts w:ascii="Calibri" w:cs="Calibri" w:eastAsia="Calibri" w:hAnsi="Calibri"/>
                <w:sz w:val="22"/>
                <w:szCs w:val="22"/>
                <w:u w:val="single" w:color="auto"/>
                <w:color w:val="0000FF"/>
              </w:rPr>
              <w:t>1</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General</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5.</w:t>
            </w:r>
            <w:r>
              <w:rPr>
                <w:rFonts w:ascii="Calibri" w:cs="Calibri" w:eastAsia="Calibri" w:hAnsi="Calibri"/>
                <w:sz w:val="22"/>
                <w:szCs w:val="22"/>
                <w:u w:val="single" w:color="auto"/>
                <w:color w:val="0000FF"/>
              </w:rPr>
              <w:t>2</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Survival of representations and warranties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65"/>
        </w:trPr>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6</w:t>
            </w:r>
          </w:p>
        </w:tc>
        <w:tc>
          <w:tcPr>
            <w:tcW w:w="4220" w:type="dxa"/>
            <w:vAlign w:val="bottom"/>
            <w:gridSpan w:val="21"/>
          </w:tcPr>
          <w:p>
            <w:pPr>
              <w:spacing w:after="0"/>
              <w:rPr>
                <w:sz w:val="20"/>
                <w:szCs w:val="20"/>
                <w:color w:val="auto"/>
              </w:rPr>
            </w:pPr>
            <w:r>
              <w:rPr>
                <w:rFonts w:ascii="Calibri" w:cs="Calibri" w:eastAsia="Calibri" w:hAnsi="Calibri"/>
                <w:sz w:val="22"/>
                <w:szCs w:val="22"/>
                <w:b w:val="1"/>
                <w:bCs w:val="1"/>
                <w:color w:val="0000FF"/>
              </w:rPr>
              <w:t>Acknowledgments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3</w:t>
            </w:r>
          </w:p>
        </w:tc>
      </w:tr>
      <w:tr>
        <w:trPr>
          <w:trHeight w:val="71"/>
        </w:trPr>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42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16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4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r>
      <w:tr>
        <w:trPr>
          <w:trHeight w:val="360"/>
        </w:trPr>
        <w:tc>
          <w:tcPr>
            <w:tcW w:w="680" w:type="dxa"/>
            <w:vAlign w:val="bottom"/>
            <w:gridSpan w:val="2"/>
          </w:tcPr>
          <w:p>
            <w:pPr>
              <w:ind w:left="120"/>
              <w:spacing w:after="0"/>
              <w:rPr>
                <w:sz w:val="20"/>
                <w:szCs w:val="20"/>
                <w:color w:val="auto"/>
              </w:rPr>
            </w:pPr>
            <w:r>
              <w:rPr>
                <w:rFonts w:ascii="Calibri" w:cs="Calibri" w:eastAsia="Calibri" w:hAnsi="Calibri"/>
                <w:sz w:val="22"/>
                <w:szCs w:val="22"/>
                <w:b w:val="1"/>
                <w:bCs w:val="1"/>
                <w:color w:val="auto"/>
              </w:rPr>
              <w:t>7</w:t>
            </w:r>
          </w:p>
        </w:tc>
        <w:tc>
          <w:tcPr>
            <w:tcW w:w="4220" w:type="dxa"/>
            <w:vAlign w:val="bottom"/>
            <w:gridSpan w:val="21"/>
          </w:tcPr>
          <w:p>
            <w:pPr>
              <w:spacing w:after="0"/>
              <w:rPr>
                <w:sz w:val="20"/>
                <w:szCs w:val="20"/>
                <w:color w:val="auto"/>
              </w:rPr>
            </w:pPr>
            <w:r>
              <w:rPr>
                <w:rFonts w:ascii="Calibri" w:cs="Calibri" w:eastAsia="Calibri" w:hAnsi="Calibri"/>
                <w:sz w:val="22"/>
                <w:szCs w:val="22"/>
                <w:b w:val="1"/>
                <w:bCs w:val="1"/>
                <w:color w:val="0000FF"/>
              </w:rPr>
              <w:t>General</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71"/>
        </w:trPr>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42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r>
      <w:tr>
        <w:trPr>
          <w:trHeight w:val="366"/>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Borders>
              <w:bottom w:val="single" w:sz="8" w:color="0000FF"/>
            </w:tcBorders>
            <w:gridSpan w:val="7"/>
          </w:tcPr>
          <w:p>
            <w:pPr>
              <w:spacing w:after="0"/>
              <w:rPr>
                <w:sz w:val="20"/>
                <w:szCs w:val="20"/>
                <w:color w:val="auto"/>
              </w:rPr>
            </w:pPr>
            <w:r>
              <w:rPr>
                <w:rFonts w:ascii="Calibri" w:cs="Calibri" w:eastAsia="Calibri" w:hAnsi="Calibri"/>
                <w:sz w:val="22"/>
                <w:szCs w:val="22"/>
                <w:color w:val="0000FF"/>
                <w:w w:val="98"/>
              </w:rPr>
              <w:t>7.</w:t>
            </w:r>
            <w:r>
              <w:rPr>
                <w:rFonts w:ascii="Calibri" w:cs="Calibri" w:eastAsia="Calibri" w:hAnsi="Calibri"/>
                <w:sz w:val="22"/>
                <w:szCs w:val="22"/>
                <w:u w:val="single" w:color="auto"/>
                <w:color w:val="0000FF"/>
                <w:w w:val="98"/>
              </w:rPr>
              <w:t>1</w:t>
            </w:r>
            <w:r>
              <w:rPr>
                <w:rFonts w:ascii="Calibri" w:cs="Calibri" w:eastAsia="Calibri" w:hAnsi="Calibri"/>
                <w:sz w:val="22"/>
                <w:szCs w:val="22"/>
                <w:color w:val="0000FF"/>
                <w:w w:val="98"/>
              </w:rPr>
              <w:t xml:space="preserve"> Amendment</w:t>
            </w:r>
          </w:p>
        </w:tc>
        <w:tc>
          <w:tcPr>
            <w:tcW w:w="2780" w:type="dxa"/>
            <w:vAlign w:val="bottom"/>
            <w:gridSpan w:val="14"/>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2</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Construction</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3</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Counterparts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Borders>
              <w:top w:val="single" w:sz="8" w:color="0000FF"/>
            </w:tcBorders>
            <w:gridSpan w:val="9"/>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4</w:t>
            </w:r>
            <w:r>
              <w:rPr>
                <w:rFonts w:ascii="Calibri" w:cs="Calibri" w:eastAsia="Calibri" w:hAnsi="Calibri"/>
                <w:sz w:val="22"/>
                <w:szCs w:val="22"/>
                <w:color w:val="0000FF"/>
              </w:rPr>
              <w:t xml:space="preserve"> Duty</w:t>
            </w:r>
          </w:p>
        </w:tc>
        <w:tc>
          <w:tcPr>
            <w:tcW w:w="2720" w:type="dxa"/>
            <w:vAlign w:val="bottom"/>
            <w:gridSpan w:val="12"/>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5</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Entire understanding</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tcBorders>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6</w:t>
            </w:r>
          </w:p>
        </w:tc>
        <w:tc>
          <w:tcPr>
            <w:tcW w:w="1880" w:type="dxa"/>
            <w:vAlign w:val="bottom"/>
            <w:tcBorders>
              <w:top w:val="single" w:sz="8" w:color="0000FF"/>
            </w:tcBorders>
            <w:gridSpan w:val="12"/>
          </w:tcPr>
          <w:p>
            <w:pPr>
              <w:ind w:left="20"/>
              <w:spacing w:after="0"/>
              <w:rPr>
                <w:sz w:val="20"/>
                <w:szCs w:val="20"/>
                <w:color w:val="auto"/>
              </w:rPr>
            </w:pPr>
            <w:r>
              <w:rPr>
                <w:rFonts w:ascii="Calibri" w:cs="Calibri" w:eastAsia="Calibri" w:hAnsi="Calibri"/>
                <w:sz w:val="22"/>
                <w:szCs w:val="22"/>
                <w:color w:val="0000FF"/>
              </w:rPr>
              <w:t>Further steps</w:t>
            </w:r>
          </w:p>
        </w:tc>
        <w:tc>
          <w:tcPr>
            <w:tcW w:w="2040" w:type="dxa"/>
            <w:vAlign w:val="bottom"/>
            <w:gridSpan w:val="8"/>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4</w:t>
            </w: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000FF"/>
            </w:tcBorders>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7</w:t>
            </w:r>
          </w:p>
        </w:tc>
        <w:tc>
          <w:tcPr>
            <w:tcW w:w="2740" w:type="dxa"/>
            <w:vAlign w:val="bottom"/>
            <w:tcBorders>
              <w:bottom w:val="single" w:sz="8" w:color="0000FF"/>
            </w:tcBorders>
            <w:gridSpan w:val="15"/>
          </w:tcPr>
          <w:p>
            <w:pPr>
              <w:ind w:left="20"/>
              <w:spacing w:after="0"/>
              <w:rPr>
                <w:sz w:val="20"/>
                <w:szCs w:val="20"/>
                <w:color w:val="auto"/>
              </w:rPr>
            </w:pPr>
            <w:r>
              <w:rPr>
                <w:rFonts w:ascii="Calibri" w:cs="Calibri" w:eastAsia="Calibri" w:hAnsi="Calibri"/>
                <w:sz w:val="22"/>
                <w:szCs w:val="22"/>
                <w:color w:val="0000FF"/>
                <w:w w:val="99"/>
              </w:rPr>
              <w:t>Governing law and jurisdiction</w:t>
            </w:r>
          </w:p>
        </w:tc>
        <w:tc>
          <w:tcPr>
            <w:tcW w:w="1180" w:type="dxa"/>
            <w:vAlign w:val="bottom"/>
            <w:gridSpan w:val="5"/>
          </w:tcPr>
          <w:p>
            <w:pPr>
              <w:spacing w:after="0"/>
              <w:rPr>
                <w:sz w:val="24"/>
                <w:szCs w:val="24"/>
                <w:color w:val="auto"/>
              </w:rPr>
            </w:pP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5</w:t>
            </w:r>
          </w:p>
        </w:tc>
      </w:tr>
      <w:tr>
        <w:trPr>
          <w:trHeight w:val="43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alibri" w:cs="Calibri" w:eastAsia="Calibri" w:hAnsi="Calibri"/>
                <w:sz w:val="22"/>
                <w:szCs w:val="22"/>
                <w:color w:val="0000FF"/>
              </w:rPr>
              <w:t>7.</w:t>
            </w:r>
            <w:r>
              <w:rPr>
                <w:rFonts w:ascii="Calibri" w:cs="Calibri" w:eastAsia="Calibri" w:hAnsi="Calibri"/>
                <w:sz w:val="22"/>
                <w:szCs w:val="22"/>
                <w:u w:val="single" w:color="auto"/>
                <w:color w:val="0000FF"/>
              </w:rPr>
              <w:t>8</w:t>
            </w:r>
          </w:p>
        </w:tc>
        <w:tc>
          <w:tcPr>
            <w:tcW w:w="3920" w:type="dxa"/>
            <w:vAlign w:val="bottom"/>
            <w:gridSpan w:val="20"/>
          </w:tcPr>
          <w:p>
            <w:pPr>
              <w:ind w:left="20"/>
              <w:spacing w:after="0"/>
              <w:rPr>
                <w:sz w:val="20"/>
                <w:szCs w:val="20"/>
                <w:color w:val="auto"/>
              </w:rPr>
            </w:pPr>
            <w:r>
              <w:rPr>
                <w:rFonts w:ascii="Calibri" w:cs="Calibri" w:eastAsia="Calibri" w:hAnsi="Calibri"/>
                <w:sz w:val="22"/>
                <w:szCs w:val="22"/>
                <w:color w:val="0000FF"/>
              </w:rPr>
              <w:t>Legal costs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5</w:t>
            </w:r>
          </w:p>
        </w:tc>
      </w:tr>
      <w:tr>
        <w:trPr>
          <w:trHeight w:val="65"/>
        </w:trPr>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360"/>
        </w:trPr>
        <w:tc>
          <w:tcPr>
            <w:tcW w:w="4900" w:type="dxa"/>
            <w:vAlign w:val="bottom"/>
            <w:gridSpan w:val="23"/>
          </w:tcPr>
          <w:p>
            <w:pPr>
              <w:ind w:left="120"/>
              <w:spacing w:after="0"/>
              <w:rPr>
                <w:sz w:val="20"/>
                <w:szCs w:val="20"/>
                <w:color w:val="auto"/>
              </w:rPr>
            </w:pPr>
            <w:r>
              <w:rPr>
                <w:rFonts w:ascii="Calibri" w:cs="Calibri" w:eastAsia="Calibri" w:hAnsi="Calibri"/>
                <w:sz w:val="22"/>
                <w:szCs w:val="22"/>
                <w:b w:val="1"/>
                <w:bCs w:val="1"/>
                <w:color w:val="0000FF"/>
              </w:rPr>
              <w:t>Schedule – Corporate Guarantors</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6</w:t>
            </w:r>
          </w:p>
        </w:tc>
      </w:tr>
      <w:tr>
        <w:trPr>
          <w:trHeight w:val="71"/>
        </w:trPr>
        <w:tc>
          <w:tcPr>
            <w:tcW w:w="120" w:type="dxa"/>
            <w:vAlign w:val="bottom"/>
            <w:tcBorders>
              <w:bottom w:val="single" w:sz="8" w:color="auto"/>
            </w:tcBorders>
          </w:tcPr>
          <w:p>
            <w:pPr>
              <w:spacing w:after="0"/>
              <w:rPr>
                <w:sz w:val="6"/>
                <w:szCs w:val="6"/>
                <w:color w:val="auto"/>
              </w:rPr>
            </w:pPr>
          </w:p>
        </w:tc>
        <w:tc>
          <w:tcPr>
            <w:tcW w:w="56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42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16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4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28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280" w:type="dxa"/>
            <w:vAlign w:val="bottom"/>
            <w:tcBorders>
              <w:top w:val="single" w:sz="8" w:color="0000FF"/>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r>
      <w:tr>
        <w:trPr>
          <w:trHeight w:val="395"/>
        </w:trPr>
        <w:tc>
          <w:tcPr>
            <w:tcW w:w="4900" w:type="dxa"/>
            <w:vAlign w:val="bottom"/>
            <w:gridSpan w:val="23"/>
          </w:tcPr>
          <w:p>
            <w:pPr>
              <w:ind w:left="120"/>
              <w:spacing w:after="0"/>
              <w:rPr>
                <w:sz w:val="20"/>
                <w:szCs w:val="20"/>
                <w:color w:val="auto"/>
              </w:rPr>
            </w:pPr>
            <w:r>
              <w:rPr>
                <w:rFonts w:ascii="Calibri" w:cs="Calibri" w:eastAsia="Calibri" w:hAnsi="Calibri"/>
                <w:sz w:val="22"/>
                <w:szCs w:val="22"/>
                <w:b w:val="1"/>
                <w:bCs w:val="1"/>
                <w:color w:val="auto"/>
              </w:rPr>
              <w:t>Execution</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10</w:t>
            </w:r>
          </w:p>
        </w:tc>
      </w:tr>
      <w:tr>
        <w:trPr>
          <w:trHeight w:val="56"/>
        </w:trPr>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395"/>
        </w:trPr>
        <w:tc>
          <w:tcPr>
            <w:tcW w:w="4900" w:type="dxa"/>
            <w:vAlign w:val="bottom"/>
            <w:gridSpan w:val="23"/>
          </w:tcPr>
          <w:p>
            <w:pPr>
              <w:ind w:left="120"/>
              <w:spacing w:after="0"/>
              <w:rPr>
                <w:sz w:val="20"/>
                <w:szCs w:val="20"/>
                <w:color w:val="auto"/>
              </w:rPr>
            </w:pPr>
            <w:r>
              <w:rPr>
                <w:rFonts w:ascii="Calibri" w:cs="Calibri" w:eastAsia="Calibri" w:hAnsi="Calibri"/>
                <w:sz w:val="22"/>
                <w:szCs w:val="22"/>
                <w:b w:val="1"/>
                <w:bCs w:val="1"/>
                <w:color w:val="auto"/>
              </w:rPr>
              <w:t>Annexure</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14</w:t>
            </w:r>
          </w:p>
        </w:tc>
      </w:tr>
      <w:tr>
        <w:trPr>
          <w:trHeight w:val="56"/>
        </w:trPr>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395"/>
        </w:trPr>
        <w:tc>
          <w:tcPr>
            <w:tcW w:w="4900" w:type="dxa"/>
            <w:vAlign w:val="bottom"/>
            <w:gridSpan w:val="23"/>
          </w:tcPr>
          <w:p>
            <w:pPr>
              <w:ind w:left="120"/>
              <w:spacing w:after="0"/>
              <w:rPr>
                <w:sz w:val="20"/>
                <w:szCs w:val="20"/>
                <w:color w:val="auto"/>
              </w:rPr>
            </w:pPr>
            <w:r>
              <w:rPr>
                <w:rFonts w:ascii="Calibri" w:cs="Calibri" w:eastAsia="Calibri" w:hAnsi="Calibri"/>
                <w:sz w:val="22"/>
                <w:szCs w:val="22"/>
                <w:b w:val="1"/>
                <w:bCs w:val="1"/>
                <w:color w:val="auto"/>
              </w:rPr>
              <w:t>Annexure</w:t>
            </w:r>
          </w:p>
        </w:tc>
        <w:tc>
          <w:tcPr>
            <w:tcW w:w="4360" w:type="dxa"/>
            <w:vAlign w:val="bottom"/>
          </w:tcPr>
          <w:p>
            <w:pPr>
              <w:ind w:left="3620"/>
              <w:spacing w:after="0"/>
              <w:rPr>
                <w:sz w:val="20"/>
                <w:szCs w:val="20"/>
                <w:color w:val="auto"/>
              </w:rPr>
            </w:pPr>
            <w:r>
              <w:rPr>
                <w:rFonts w:ascii="Calibri" w:cs="Calibri" w:eastAsia="Calibri" w:hAnsi="Calibri"/>
                <w:sz w:val="22"/>
                <w:szCs w:val="22"/>
                <w:b w:val="1"/>
                <w:bCs w:val="1"/>
                <w:color w:val="auto"/>
              </w:rPr>
              <w:t>14</w:t>
            </w:r>
          </w:p>
        </w:tc>
      </w:tr>
    </w:tbl>
    <w:p>
      <w:pPr>
        <w:spacing w:after="0" w:line="200" w:lineRule="exact"/>
        <w:rPr>
          <w:sz w:val="20"/>
          <w:szCs w:val="20"/>
          <w:color w:val="auto"/>
        </w:rPr>
      </w:pPr>
    </w:p>
    <w:p>
      <w:pPr>
        <w:sectPr>
          <w:pgSz w:w="11900" w:h="16838" w:orient="portrait"/>
          <w:cols w:equalWidth="0" w:num="1">
            <w:col w:w="10400"/>
          </w:cols>
          <w:pgMar w:left="1440" w:top="1440" w:right="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39</w:t>
      </w:r>
    </w:p>
    <w:p>
      <w:pPr>
        <w:sectPr>
          <w:pgSz w:w="11900" w:h="16838" w:orient="portrait"/>
          <w:cols w:equalWidth="0" w:num="1">
            <w:col w:w="10400"/>
          </w:cols>
          <w:pgMar w:left="1440" w:top="1440" w:right="66" w:bottom="0" w:gutter="0" w:footer="0" w:header="0"/>
          <w:type w:val="continuous"/>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1634490</wp:posOffset>
            </wp:positionH>
            <wp:positionV relativeFrom="page">
              <wp:posOffset>872490</wp:posOffset>
            </wp:positionV>
            <wp:extent cx="429133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39</w:t>
      </w:r>
    </w:p>
    <w:p>
      <w:pPr>
        <w:sectPr>
          <w:pgSz w:w="11900" w:h="16838" w:orient="portrait"/>
          <w:cols w:equalWidth="0" w:num="1">
            <w:col w:w="9026"/>
          </w:cols>
          <w:pgMar w:left="1440" w:top="1440" w:right="1440" w:bottom="0" w:gutter="0" w:footer="0" w:header="0"/>
        </w:sectPr>
      </w:pPr>
    </w:p>
    <w:bookmarkStart w:id="163" w:name="page164"/>
    <w:bookmarkEnd w:id="163"/>
    <w:p>
      <w:pPr>
        <w:spacing w:after="0" w:line="11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36"/>
          <w:szCs w:val="36"/>
          <w:color w:val="002060"/>
        </w:rPr>
        <w:t xml:space="preserve">Date </w:t>
      </w:r>
      <w:r>
        <w:rPr>
          <w:rFonts w:ascii="Arial" w:cs="Arial" w:eastAsia="Arial" w:hAnsi="Arial"/>
          <w:sz w:val="24"/>
          <w:szCs w:val="24"/>
          <w:b w:val="1"/>
          <w:bCs w:val="1"/>
          <w:color w:val="000000"/>
        </w:rPr>
        <w:t>12 November 2025</w:t>
      </w:r>
    </w:p>
    <w:p>
      <w:pPr>
        <w:spacing w:after="0" w:line="200" w:lineRule="exact"/>
        <w:rPr>
          <w:sz w:val="20"/>
          <w:szCs w:val="20"/>
          <w:color w:val="auto"/>
        </w:rPr>
      </w:pPr>
    </w:p>
    <w:p>
      <w:pPr>
        <w:spacing w:after="0" w:line="371" w:lineRule="exact"/>
        <w:rPr>
          <w:sz w:val="20"/>
          <w:szCs w:val="20"/>
          <w:color w:val="auto"/>
        </w:rPr>
      </w:pPr>
    </w:p>
    <w:p>
      <w:pPr>
        <w:ind w:left="1700"/>
        <w:spacing w:after="0"/>
        <w:rPr>
          <w:sz w:val="20"/>
          <w:szCs w:val="20"/>
          <w:color w:val="auto"/>
        </w:rPr>
      </w:pPr>
      <w:r>
        <w:rPr>
          <w:rFonts w:ascii="Arial" w:cs="Arial" w:eastAsia="Arial" w:hAnsi="Arial"/>
          <w:sz w:val="36"/>
          <w:szCs w:val="36"/>
          <w:color w:val="002060"/>
        </w:rPr>
        <w:t>Parties</w:t>
      </w:r>
    </w:p>
    <w:p>
      <w:pPr>
        <w:spacing w:after="0" w:line="319" w:lineRule="exact"/>
        <w:rPr>
          <w:sz w:val="20"/>
          <w:szCs w:val="20"/>
          <w:color w:val="auto"/>
        </w:rPr>
      </w:pPr>
    </w:p>
    <w:tbl>
      <w:tblPr>
        <w:tblLayout w:type="fixed"/>
        <w:tblInd w:w="1680" w:type="dxa"/>
        <w:tblCellMar>
          <w:top w:w="0" w:type="dxa"/>
          <w:left w:w="0" w:type="dxa"/>
          <w:bottom w:w="0" w:type="dxa"/>
          <w:right w:w="0" w:type="dxa"/>
        </w:tblCellMar>
      </w:tblPr>
      <w:tr>
        <w:trPr>
          <w:trHeight w:val="241"/>
        </w:trPr>
        <w:tc>
          <w:tcPr>
            <w:tcW w:w="400" w:type="dxa"/>
            <w:vAlign w:val="bottom"/>
          </w:tcPr>
          <w:p>
            <w:pPr>
              <w:jc w:val="right"/>
              <w:ind w:right="200"/>
              <w:spacing w:after="0"/>
              <w:rPr>
                <w:sz w:val="20"/>
                <w:szCs w:val="20"/>
                <w:color w:val="auto"/>
              </w:rPr>
            </w:pPr>
            <w:r>
              <w:rPr>
                <w:rFonts w:ascii="Arial" w:cs="Arial" w:eastAsia="Arial" w:hAnsi="Arial"/>
                <w:sz w:val="20"/>
                <w:szCs w:val="20"/>
                <w:b w:val="1"/>
                <w:bCs w:val="1"/>
                <w:color w:val="auto"/>
                <w:w w:val="71"/>
              </w:rPr>
              <w:t>1</w:t>
            </w:r>
          </w:p>
        </w:tc>
        <w:tc>
          <w:tcPr>
            <w:tcW w:w="1480" w:type="dxa"/>
            <w:vAlign w:val="bottom"/>
          </w:tcPr>
          <w:p>
            <w:pPr>
              <w:ind w:left="280"/>
              <w:spacing w:after="0"/>
              <w:rPr>
                <w:sz w:val="20"/>
                <w:szCs w:val="20"/>
                <w:color w:val="auto"/>
              </w:rPr>
            </w:pPr>
            <w:r>
              <w:rPr>
                <w:rFonts w:ascii="Arial" w:cs="Arial" w:eastAsia="Arial" w:hAnsi="Arial"/>
                <w:sz w:val="21"/>
                <w:szCs w:val="21"/>
                <w:b w:val="1"/>
                <w:bCs w:val="1"/>
                <w:color w:val="auto"/>
              </w:rPr>
              <w:t>National</w:t>
            </w:r>
          </w:p>
        </w:tc>
        <w:tc>
          <w:tcPr>
            <w:tcW w:w="1320" w:type="dxa"/>
            <w:vAlign w:val="bottom"/>
          </w:tcPr>
          <w:p>
            <w:pPr>
              <w:ind w:left="400"/>
              <w:spacing w:after="0"/>
              <w:rPr>
                <w:sz w:val="20"/>
                <w:szCs w:val="20"/>
                <w:color w:val="auto"/>
              </w:rPr>
            </w:pPr>
            <w:r>
              <w:rPr>
                <w:rFonts w:ascii="Arial" w:cs="Arial" w:eastAsia="Arial" w:hAnsi="Arial"/>
                <w:sz w:val="21"/>
                <w:szCs w:val="21"/>
                <w:b w:val="1"/>
                <w:bCs w:val="1"/>
                <w:color w:val="auto"/>
              </w:rPr>
              <w:t>Australia</w:t>
            </w:r>
          </w:p>
        </w:tc>
        <w:tc>
          <w:tcPr>
            <w:tcW w:w="1660" w:type="dxa"/>
            <w:vAlign w:val="bottom"/>
          </w:tcPr>
          <w:p>
            <w:pPr>
              <w:ind w:left="760"/>
              <w:spacing w:after="0"/>
              <w:rPr>
                <w:sz w:val="20"/>
                <w:szCs w:val="20"/>
                <w:color w:val="auto"/>
              </w:rPr>
            </w:pPr>
            <w:r>
              <w:rPr>
                <w:rFonts w:ascii="Arial" w:cs="Arial" w:eastAsia="Arial" w:hAnsi="Arial"/>
                <w:sz w:val="21"/>
                <w:szCs w:val="21"/>
                <w:b w:val="1"/>
                <w:bCs w:val="1"/>
                <w:color w:val="auto"/>
              </w:rPr>
              <w:t>Bank</w:t>
            </w:r>
          </w:p>
        </w:tc>
        <w:tc>
          <w:tcPr>
            <w:tcW w:w="1120" w:type="dxa"/>
            <w:vAlign w:val="bottom"/>
          </w:tcPr>
          <w:p>
            <w:pPr>
              <w:jc w:val="right"/>
              <w:spacing w:after="0"/>
              <w:rPr>
                <w:sz w:val="20"/>
                <w:szCs w:val="20"/>
                <w:color w:val="auto"/>
              </w:rPr>
            </w:pPr>
            <w:r>
              <w:rPr>
                <w:rFonts w:ascii="Arial" w:cs="Arial" w:eastAsia="Arial" w:hAnsi="Arial"/>
                <w:sz w:val="21"/>
                <w:szCs w:val="21"/>
                <w:b w:val="1"/>
                <w:bCs w:val="1"/>
                <w:color w:val="auto"/>
              </w:rPr>
              <w:t>Limited</w:t>
            </w:r>
          </w:p>
        </w:tc>
      </w:tr>
      <w:tr>
        <w:trPr>
          <w:trHeight w:val="227"/>
        </w:trPr>
        <w:tc>
          <w:tcPr>
            <w:tcW w:w="400" w:type="dxa"/>
            <w:vAlign w:val="bottom"/>
          </w:tcPr>
          <w:p>
            <w:pPr>
              <w:spacing w:after="0"/>
              <w:rPr>
                <w:sz w:val="19"/>
                <w:szCs w:val="19"/>
                <w:color w:val="auto"/>
              </w:rPr>
            </w:pPr>
          </w:p>
        </w:tc>
        <w:tc>
          <w:tcPr>
            <w:tcW w:w="2800" w:type="dxa"/>
            <w:vAlign w:val="bottom"/>
            <w:gridSpan w:val="2"/>
          </w:tcPr>
          <w:p>
            <w:pPr>
              <w:ind w:left="320"/>
              <w:spacing w:after="0" w:line="227" w:lineRule="exact"/>
              <w:rPr>
                <w:sz w:val="20"/>
                <w:szCs w:val="20"/>
                <w:color w:val="auto"/>
              </w:rPr>
            </w:pPr>
            <w:r>
              <w:rPr>
                <w:rFonts w:ascii="Arial" w:cs="Arial" w:eastAsia="Arial" w:hAnsi="Arial"/>
                <w:sz w:val="21"/>
                <w:szCs w:val="21"/>
                <w:color w:val="auto"/>
              </w:rPr>
              <w:t>ABN 12 004 044 937 of</w:t>
            </w:r>
          </w:p>
        </w:tc>
        <w:tc>
          <w:tcPr>
            <w:tcW w:w="2780" w:type="dxa"/>
            <w:vAlign w:val="bottom"/>
            <w:gridSpan w:val="2"/>
          </w:tcPr>
          <w:p>
            <w:pPr>
              <w:jc w:val="right"/>
              <w:spacing w:after="0" w:line="227" w:lineRule="exact"/>
              <w:rPr>
                <w:sz w:val="20"/>
                <w:szCs w:val="20"/>
                <w:color w:val="auto"/>
              </w:rPr>
            </w:pPr>
            <w:r>
              <w:rPr>
                <w:rFonts w:ascii="Arial" w:cs="Arial" w:eastAsia="Arial" w:hAnsi="Arial"/>
                <w:sz w:val="21"/>
                <w:szCs w:val="21"/>
                <w:color w:val="auto"/>
              </w:rPr>
              <w:t>Level 17, 395 Bourke Street,</w:t>
            </w:r>
          </w:p>
        </w:tc>
      </w:tr>
      <w:tr>
        <w:trPr>
          <w:trHeight w:val="231"/>
        </w:trPr>
        <w:tc>
          <w:tcPr>
            <w:tcW w:w="400" w:type="dxa"/>
            <w:vAlign w:val="bottom"/>
          </w:tcPr>
          <w:p>
            <w:pPr>
              <w:spacing w:after="0"/>
              <w:rPr>
                <w:sz w:val="20"/>
                <w:szCs w:val="20"/>
                <w:color w:val="auto"/>
              </w:rPr>
            </w:pPr>
          </w:p>
        </w:tc>
        <w:tc>
          <w:tcPr>
            <w:tcW w:w="4460" w:type="dxa"/>
            <w:vAlign w:val="bottom"/>
            <w:gridSpan w:val="3"/>
          </w:tcPr>
          <w:p>
            <w:pPr>
              <w:ind w:left="320"/>
              <w:spacing w:after="0" w:line="231" w:lineRule="exact"/>
              <w:rPr>
                <w:sz w:val="20"/>
                <w:szCs w:val="20"/>
                <w:color w:val="auto"/>
              </w:rPr>
            </w:pPr>
            <w:r>
              <w:rPr>
                <w:rFonts w:ascii="Arial" w:cs="Arial" w:eastAsia="Arial" w:hAnsi="Arial"/>
                <w:sz w:val="21"/>
                <w:szCs w:val="21"/>
                <w:color w:val="auto"/>
              </w:rPr>
              <w:t>Melbourne, Victoria 3000 (</w:t>
            </w:r>
            <w:r>
              <w:rPr>
                <w:rFonts w:ascii="Arial" w:cs="Arial" w:eastAsia="Arial" w:hAnsi="Arial"/>
                <w:sz w:val="21"/>
                <w:szCs w:val="21"/>
                <w:b w:val="1"/>
                <w:bCs w:val="1"/>
                <w:color w:val="auto"/>
              </w:rPr>
              <w:t>Bank</w:t>
            </w:r>
            <w:r>
              <w:rPr>
                <w:rFonts w:ascii="Arial" w:cs="Arial" w:eastAsia="Arial" w:hAnsi="Arial"/>
                <w:sz w:val="21"/>
                <w:szCs w:val="21"/>
                <w:color w:val="auto"/>
              </w:rPr>
              <w:t>)</w:t>
            </w:r>
          </w:p>
        </w:tc>
        <w:tc>
          <w:tcPr>
            <w:tcW w:w="1120" w:type="dxa"/>
            <w:vAlign w:val="bottom"/>
          </w:tcPr>
          <w:p>
            <w:pPr>
              <w:spacing w:after="0"/>
              <w:rPr>
                <w:sz w:val="20"/>
                <w:szCs w:val="20"/>
                <w:color w:val="auto"/>
              </w:rPr>
            </w:pPr>
          </w:p>
        </w:tc>
      </w:tr>
    </w:tbl>
    <w:p>
      <w:pPr>
        <w:spacing w:after="0" w:line="235" w:lineRule="exact"/>
        <w:rPr>
          <w:sz w:val="20"/>
          <w:szCs w:val="20"/>
          <w:color w:val="auto"/>
        </w:rPr>
      </w:pPr>
    </w:p>
    <w:p>
      <w:pPr>
        <w:ind w:left="2400" w:right="660" w:hanging="726"/>
        <w:spacing w:after="0" w:line="227" w:lineRule="auto"/>
        <w:tabs>
          <w:tab w:leader="none" w:pos="2373"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Reading Entertainment Australia Pty Ltd </w:t>
      </w:r>
      <w:r>
        <w:rPr>
          <w:rFonts w:ascii="Arial" w:cs="Arial" w:eastAsia="Arial" w:hAnsi="Arial"/>
          <w:sz w:val="21"/>
          <w:szCs w:val="21"/>
          <w:color w:val="auto"/>
        </w:rPr>
        <w:t>ACN 070 893 908 of 98 York Street, South</w:t>
      </w:r>
      <w:r>
        <w:rPr>
          <w:rFonts w:ascii="Arial" w:cs="Arial" w:eastAsia="Arial" w:hAnsi="Arial"/>
          <w:sz w:val="21"/>
          <w:szCs w:val="21"/>
          <w:b w:val="1"/>
          <w:bCs w:val="1"/>
          <w:color w:val="auto"/>
        </w:rPr>
        <w:t xml:space="preserve"> </w:t>
      </w:r>
      <w:r>
        <w:rPr>
          <w:rFonts w:ascii="Arial" w:cs="Arial" w:eastAsia="Arial" w:hAnsi="Arial"/>
          <w:sz w:val="21"/>
          <w:szCs w:val="21"/>
          <w:color w:val="auto"/>
        </w:rPr>
        <w:t>Melbourne, Victoria 3205 (</w:t>
      </w:r>
      <w:r>
        <w:rPr>
          <w:rFonts w:ascii="Arial" w:cs="Arial" w:eastAsia="Arial" w:hAnsi="Arial"/>
          <w:sz w:val="21"/>
          <w:szCs w:val="21"/>
          <w:b w:val="1"/>
          <w:bCs w:val="1"/>
          <w:color w:val="auto"/>
        </w:rPr>
        <w:t>Borrower</w:t>
      </w:r>
      <w:r>
        <w:rPr>
          <w:rFonts w:ascii="Arial" w:cs="Arial" w:eastAsia="Arial" w:hAnsi="Arial"/>
          <w:sz w:val="21"/>
          <w:szCs w:val="21"/>
          <w:color w:val="auto"/>
        </w:rPr>
        <w:t>)</w:t>
      </w:r>
    </w:p>
    <w:p>
      <w:pPr>
        <w:spacing w:after="0" w:line="230" w:lineRule="exact"/>
        <w:rPr>
          <w:sz w:val="20"/>
          <w:szCs w:val="20"/>
          <w:color w:val="auto"/>
        </w:rPr>
      </w:pPr>
    </w:p>
    <w:p>
      <w:pPr>
        <w:ind w:left="2380" w:hanging="706"/>
        <w:spacing w:after="0"/>
        <w:tabs>
          <w:tab w:leader="none" w:pos="238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Each entity listed in the schedule (Corporate Guarantor)</w:t>
      </w:r>
    </w:p>
    <w:p>
      <w:pPr>
        <w:spacing w:after="0" w:line="200" w:lineRule="exact"/>
        <w:rPr>
          <w:sz w:val="20"/>
          <w:szCs w:val="20"/>
          <w:color w:val="auto"/>
        </w:rPr>
      </w:pPr>
    </w:p>
    <w:p>
      <w:pPr>
        <w:spacing w:after="0" w:line="215" w:lineRule="exact"/>
        <w:rPr>
          <w:sz w:val="20"/>
          <w:szCs w:val="20"/>
          <w:color w:val="auto"/>
        </w:rPr>
      </w:pPr>
    </w:p>
    <w:p>
      <w:pPr>
        <w:ind w:left="1700"/>
        <w:spacing w:after="0"/>
        <w:rPr>
          <w:sz w:val="20"/>
          <w:szCs w:val="20"/>
          <w:color w:val="auto"/>
        </w:rPr>
      </w:pPr>
      <w:r>
        <w:rPr>
          <w:rFonts w:ascii="Arial" w:cs="Arial" w:eastAsia="Arial" w:hAnsi="Arial"/>
          <w:sz w:val="36"/>
          <w:szCs w:val="36"/>
          <w:color w:val="002060"/>
        </w:rPr>
        <w:t>Agreed terms</w:t>
      </w:r>
    </w:p>
    <w:p>
      <w:pPr>
        <w:spacing w:after="0" w:line="200" w:lineRule="exact"/>
        <w:rPr>
          <w:sz w:val="20"/>
          <w:szCs w:val="20"/>
          <w:color w:val="auto"/>
        </w:rPr>
      </w:pPr>
    </w:p>
    <w:p>
      <w:pPr>
        <w:spacing w:after="0" w:line="223" w:lineRule="exact"/>
        <w:rPr>
          <w:sz w:val="20"/>
          <w:szCs w:val="20"/>
          <w:color w:val="auto"/>
        </w:rPr>
      </w:pPr>
    </w:p>
    <w:p>
      <w:pPr>
        <w:ind w:left="1980" w:hanging="846"/>
        <w:spacing w:after="0"/>
        <w:tabs>
          <w:tab w:leader="none" w:pos="1980" w:val="left"/>
        </w:tabs>
        <w:numPr>
          <w:ilvl w:val="0"/>
          <w:numId w:val="73"/>
        </w:numPr>
        <w:rPr>
          <w:rFonts w:ascii="Arial" w:cs="Arial" w:eastAsia="Arial" w:hAnsi="Arial"/>
          <w:sz w:val="24"/>
          <w:szCs w:val="24"/>
          <w:b w:val="1"/>
          <w:bCs w:val="1"/>
          <w:color w:val="auto"/>
        </w:rPr>
      </w:pPr>
      <w:r>
        <w:rPr>
          <w:rFonts w:ascii="Arial" w:cs="Arial" w:eastAsia="Arial" w:hAnsi="Arial"/>
          <w:sz w:val="24"/>
          <w:szCs w:val="24"/>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107315</wp:posOffset>
            </wp:positionV>
            <wp:extent cx="3834130"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3834130" cy="1270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140"/>
        <w:spacing w:after="0"/>
        <w:tabs>
          <w:tab w:leader="none" w:pos="21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0"/>
          <w:szCs w:val="20"/>
          <w:b w:val="1"/>
          <w:bCs w:val="1"/>
          <w:color w:val="auto"/>
        </w:rPr>
        <w:t>Definitions</w:t>
      </w:r>
    </w:p>
    <w:p>
      <w:pPr>
        <w:spacing w:after="0" w:line="46" w:lineRule="exact"/>
        <w:rPr>
          <w:sz w:val="20"/>
          <w:szCs w:val="20"/>
          <w:color w:val="auto"/>
        </w:rPr>
      </w:pPr>
    </w:p>
    <w:p>
      <w:pPr>
        <w:ind w:left="1860" w:right="2560"/>
        <w:spacing w:after="0" w:line="231" w:lineRule="auto"/>
        <w:rPr>
          <w:sz w:val="20"/>
          <w:szCs w:val="20"/>
          <w:color w:val="auto"/>
        </w:rPr>
      </w:pPr>
      <w:r>
        <w:rPr>
          <w:rFonts w:ascii="Arial" w:cs="Arial" w:eastAsia="Arial" w:hAnsi="Arial"/>
          <w:sz w:val="22"/>
          <w:szCs w:val="22"/>
          <w:color w:val="auto"/>
        </w:rPr>
        <w:t>In this deed words and expressions which are defined or given a specific</w:t>
      </w:r>
    </w:p>
    <w:p>
      <w:pPr>
        <w:spacing w:after="0" w:line="6" w:lineRule="exact"/>
        <w:rPr>
          <w:sz w:val="20"/>
          <w:szCs w:val="20"/>
          <w:color w:val="auto"/>
        </w:rPr>
      </w:pPr>
    </w:p>
    <w:p>
      <w:pPr>
        <w:ind w:left="1860" w:right="1540"/>
        <w:spacing w:after="0" w:line="232" w:lineRule="auto"/>
        <w:rPr>
          <w:sz w:val="20"/>
          <w:szCs w:val="20"/>
          <w:color w:val="auto"/>
        </w:rPr>
      </w:pPr>
      <w:r>
        <w:rPr>
          <w:rFonts w:ascii="Arial" w:cs="Arial" w:eastAsia="Arial" w:hAnsi="Arial"/>
          <w:sz w:val="22"/>
          <w:szCs w:val="22"/>
          <w:color w:val="auto"/>
        </w:rPr>
        <w:t>meaning in the Amended Facility Agreement but which are not defined or given a specific meaning in this deed have the same meaning as in the Amended Facility Agreement. Otherwise, terms have the following meanings:</w:t>
      </w:r>
    </w:p>
    <w:p>
      <w:pPr>
        <w:spacing w:after="0" w:line="308" w:lineRule="exact"/>
        <w:rPr>
          <w:sz w:val="20"/>
          <w:szCs w:val="20"/>
          <w:color w:val="auto"/>
        </w:rPr>
      </w:pPr>
    </w:p>
    <w:p>
      <w:pPr>
        <w:ind w:left="1980"/>
        <w:spacing w:after="0"/>
        <w:tabs>
          <w:tab w:leader="none" w:pos="6120" w:val="left"/>
        </w:tabs>
        <w:rPr>
          <w:sz w:val="20"/>
          <w:szCs w:val="20"/>
          <w:color w:val="auto"/>
        </w:rPr>
      </w:pPr>
      <w:r>
        <w:rPr>
          <w:rFonts w:ascii="Arial" w:cs="Arial" w:eastAsia="Arial" w:hAnsi="Arial"/>
          <w:sz w:val="22"/>
          <w:szCs w:val="22"/>
          <w:b w:val="1"/>
          <w:bCs w:val="1"/>
          <w:color w:val="auto"/>
        </w:rPr>
        <w:t>Amended Facility</w:t>
      </w:r>
      <w:r>
        <w:rPr>
          <w:sz w:val="20"/>
          <w:szCs w:val="20"/>
          <w:color w:val="auto"/>
        </w:rPr>
        <w:tab/>
      </w:r>
      <w:r>
        <w:rPr>
          <w:rFonts w:ascii="Arial" w:cs="Arial" w:eastAsia="Arial" w:hAnsi="Arial"/>
          <w:sz w:val="19"/>
          <w:szCs w:val="19"/>
          <w:color w:val="auto"/>
        </w:rPr>
        <w:t>The Facility Agreement as amended in accordanc</w:t>
      </w:r>
    </w:p>
    <w:p>
      <w:pPr>
        <w:ind w:left="1980"/>
        <w:spacing w:after="0" w:line="233" w:lineRule="auto"/>
        <w:tabs>
          <w:tab w:leader="none" w:pos="6120" w:val="left"/>
        </w:tabs>
        <w:rPr>
          <w:sz w:val="20"/>
          <w:szCs w:val="20"/>
          <w:color w:val="auto"/>
        </w:rPr>
      </w:pPr>
      <w:r>
        <w:rPr>
          <w:rFonts w:ascii="Arial" w:cs="Arial" w:eastAsia="Arial" w:hAnsi="Arial"/>
          <w:sz w:val="22"/>
          <w:szCs w:val="22"/>
          <w:b w:val="1"/>
          <w:bCs w:val="1"/>
          <w:color w:val="auto"/>
        </w:rPr>
        <w:t>Agreement</w:t>
      </w:r>
      <w:r>
        <w:rPr>
          <w:sz w:val="20"/>
          <w:szCs w:val="20"/>
          <w:color w:val="auto"/>
        </w:rPr>
        <w:tab/>
      </w:r>
      <w:r>
        <w:rPr>
          <w:rFonts w:ascii="Arial" w:cs="Arial" w:eastAsia="Arial" w:hAnsi="Arial"/>
          <w:sz w:val="22"/>
          <w:szCs w:val="22"/>
          <w:color w:val="auto"/>
        </w:rPr>
        <w:t>this deed.</w:t>
      </w:r>
    </w:p>
    <w:p>
      <w:pPr>
        <w:spacing w:after="0" w:line="368" w:lineRule="exact"/>
        <w:rPr>
          <w:sz w:val="20"/>
          <w:szCs w:val="20"/>
          <w:color w:val="auto"/>
        </w:rPr>
      </w:pPr>
    </w:p>
    <w:p>
      <w:pPr>
        <w:ind w:left="6140"/>
        <w:spacing w:after="0"/>
        <w:rPr>
          <w:sz w:val="20"/>
          <w:szCs w:val="20"/>
          <w:color w:val="auto"/>
        </w:rPr>
      </w:pPr>
      <w:r>
        <w:rPr>
          <w:rFonts w:ascii="Arial" w:cs="Arial" w:eastAsia="Arial" w:hAnsi="Arial"/>
          <w:sz w:val="19"/>
          <w:szCs w:val="19"/>
          <w:color w:val="auto"/>
        </w:rPr>
        <w:t>The date on which each of the conditions precede</w:t>
      </w:r>
    </w:p>
    <w:p>
      <w:pPr>
        <w:spacing w:after="0" w:line="16" w:lineRule="exact"/>
        <w:rPr>
          <w:sz w:val="20"/>
          <w:szCs w:val="20"/>
          <w:color w:val="auto"/>
        </w:rPr>
      </w:pPr>
    </w:p>
    <w:p>
      <w:pPr>
        <w:ind w:left="1980"/>
        <w:spacing w:after="0"/>
        <w:tabs>
          <w:tab w:leader="none" w:pos="6120" w:val="left"/>
        </w:tabs>
        <w:rPr>
          <w:sz w:val="20"/>
          <w:szCs w:val="20"/>
          <w:color w:val="auto"/>
        </w:rPr>
      </w:pPr>
      <w:r>
        <w:rPr>
          <w:rFonts w:ascii="Arial" w:cs="Arial" w:eastAsia="Arial" w:hAnsi="Arial"/>
          <w:sz w:val="22"/>
          <w:szCs w:val="22"/>
          <w:b w:val="1"/>
          <w:bCs w:val="1"/>
          <w:color w:val="auto"/>
        </w:rPr>
        <w:t>Effective Date</w:t>
      </w:r>
      <w:r>
        <w:rPr>
          <w:sz w:val="20"/>
          <w:szCs w:val="20"/>
          <w:color w:val="auto"/>
        </w:rPr>
        <w:tab/>
      </w:r>
      <w:r>
        <w:rPr>
          <w:rFonts w:ascii="Arial" w:cs="Arial" w:eastAsia="Arial" w:hAnsi="Arial"/>
          <w:sz w:val="20"/>
          <w:szCs w:val="20"/>
          <w:color w:val="auto"/>
        </w:rPr>
        <w:t xml:space="preserve">out in </w:t>
      </w:r>
      <w:r>
        <w:rPr>
          <w:rFonts w:ascii="Arial" w:cs="Arial" w:eastAsia="Arial" w:hAnsi="Arial"/>
          <w:sz w:val="20"/>
          <w:szCs w:val="20"/>
          <w:b w:val="1"/>
          <w:bCs w:val="1"/>
          <w:color w:val="auto"/>
        </w:rPr>
        <w:t>clause 3</w:t>
      </w:r>
      <w:r>
        <w:rPr>
          <w:rFonts w:ascii="Arial" w:cs="Arial" w:eastAsia="Arial" w:hAnsi="Arial"/>
          <w:sz w:val="20"/>
          <w:szCs w:val="20"/>
          <w:color w:val="auto"/>
        </w:rPr>
        <w:t xml:space="preserve"> have been satisfied (subject to</w:t>
      </w:r>
    </w:p>
    <w:p>
      <w:pPr>
        <w:ind w:left="6140"/>
        <w:spacing w:after="0" w:line="233" w:lineRule="auto"/>
        <w:rPr>
          <w:sz w:val="20"/>
          <w:szCs w:val="20"/>
          <w:color w:val="auto"/>
        </w:rPr>
      </w:pPr>
      <w:r>
        <w:rPr>
          <w:rFonts w:ascii="Arial" w:cs="Arial" w:eastAsia="Arial" w:hAnsi="Arial"/>
          <w:sz w:val="22"/>
          <w:szCs w:val="22"/>
          <w:b w:val="1"/>
          <w:bCs w:val="1"/>
          <w:color w:val="auto"/>
        </w:rPr>
        <w:t>clause 3.2(d)</w:t>
      </w:r>
      <w:r>
        <w:rPr>
          <w:rFonts w:ascii="Arial" w:cs="Arial" w:eastAsia="Arial" w:hAnsi="Arial"/>
          <w:sz w:val="22"/>
          <w:szCs w:val="22"/>
          <w:color w:val="auto"/>
        </w:rPr>
        <w:t>).</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The Facility Agreement between the Bank, the B</w:t>
      </w:r>
    </w:p>
    <w:p>
      <w:pPr>
        <w:spacing w:after="0" w:line="5" w:lineRule="exact"/>
        <w:rPr>
          <w:sz w:val="20"/>
          <w:szCs w:val="20"/>
          <w:color w:val="auto"/>
        </w:rPr>
      </w:pPr>
    </w:p>
    <w:p>
      <w:pPr>
        <w:ind w:left="1980"/>
        <w:spacing w:after="0"/>
        <w:tabs>
          <w:tab w:leader="none" w:pos="6120" w:val="left"/>
        </w:tabs>
        <w:rPr>
          <w:sz w:val="20"/>
          <w:szCs w:val="20"/>
          <w:color w:val="auto"/>
        </w:rPr>
      </w:pPr>
      <w:r>
        <w:rPr>
          <w:rFonts w:ascii="Arial" w:cs="Arial" w:eastAsia="Arial" w:hAnsi="Arial"/>
          <w:sz w:val="22"/>
          <w:szCs w:val="22"/>
          <w:b w:val="1"/>
          <w:bCs w:val="1"/>
          <w:color w:val="auto"/>
        </w:rPr>
        <w:t>Facility Agreement</w:t>
      </w:r>
      <w:r>
        <w:rPr>
          <w:sz w:val="20"/>
          <w:szCs w:val="20"/>
          <w:color w:val="auto"/>
        </w:rPr>
        <w:tab/>
      </w:r>
      <w:r>
        <w:rPr>
          <w:rFonts w:ascii="Arial" w:cs="Arial" w:eastAsia="Arial" w:hAnsi="Arial"/>
          <w:sz w:val="19"/>
          <w:szCs w:val="19"/>
          <w:color w:val="auto"/>
        </w:rPr>
        <w:t>the Corporate Guarantors, dated 24 June 2011,</w:t>
      </w:r>
    </w:p>
    <w:p>
      <w:pPr>
        <w:ind w:left="6140"/>
        <w:spacing w:after="0" w:line="233" w:lineRule="auto"/>
        <w:rPr>
          <w:sz w:val="20"/>
          <w:szCs w:val="20"/>
          <w:color w:val="auto"/>
        </w:rPr>
      </w:pPr>
      <w:r>
        <w:rPr>
          <w:rFonts w:ascii="Arial" w:cs="Arial" w:eastAsia="Arial" w:hAnsi="Arial"/>
          <w:sz w:val="22"/>
          <w:szCs w:val="22"/>
          <w:color w:val="auto"/>
        </w:rPr>
        <w:t>as amended from time to time.</w:t>
      </w:r>
    </w:p>
    <w:p>
      <w:pPr>
        <w:spacing w:after="0" w:line="281" w:lineRule="exact"/>
        <w:rPr>
          <w:sz w:val="20"/>
          <w:szCs w:val="20"/>
          <w:color w:val="auto"/>
        </w:rPr>
      </w:pPr>
    </w:p>
    <w:p>
      <w:pPr>
        <w:ind w:left="1140"/>
        <w:spacing w:after="0"/>
        <w:tabs>
          <w:tab w:leader="none" w:pos="21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Construction</w:t>
      </w:r>
    </w:p>
    <w:p>
      <w:pPr>
        <w:spacing w:after="0" w:line="46" w:lineRule="exact"/>
        <w:rPr>
          <w:sz w:val="20"/>
          <w:szCs w:val="20"/>
          <w:color w:val="auto"/>
        </w:rPr>
      </w:pPr>
    </w:p>
    <w:p>
      <w:pPr>
        <w:ind w:left="1860" w:right="2560"/>
        <w:spacing w:after="0" w:line="231" w:lineRule="auto"/>
        <w:rPr>
          <w:sz w:val="20"/>
          <w:szCs w:val="20"/>
          <w:color w:val="auto"/>
        </w:rPr>
      </w:pPr>
      <w:r>
        <w:rPr>
          <w:rFonts w:ascii="Arial" w:cs="Arial" w:eastAsia="Arial" w:hAnsi="Arial"/>
          <w:sz w:val="22"/>
          <w:szCs w:val="22"/>
          <w:color w:val="auto"/>
        </w:rPr>
        <w:t>Clause 1.2 of the Facility Agreement applies to this deed as if repeated in this deed.</w:t>
      </w:r>
    </w:p>
    <w:p>
      <w:pPr>
        <w:spacing w:after="0" w:line="367" w:lineRule="exact"/>
        <w:rPr>
          <w:sz w:val="20"/>
          <w:szCs w:val="20"/>
          <w:color w:val="auto"/>
        </w:rPr>
      </w:pPr>
    </w:p>
    <w:p>
      <w:pPr>
        <w:ind w:left="1140"/>
        <w:spacing w:after="0"/>
        <w:tabs>
          <w:tab w:leader="none" w:pos="22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Deed</w:t>
      </w:r>
    </w:p>
    <w:p>
      <w:pPr>
        <w:spacing w:after="0" w:line="46" w:lineRule="exact"/>
        <w:rPr>
          <w:sz w:val="20"/>
          <w:szCs w:val="20"/>
          <w:color w:val="auto"/>
        </w:rPr>
      </w:pPr>
    </w:p>
    <w:p>
      <w:pPr>
        <w:ind w:left="1860" w:right="2560"/>
        <w:spacing w:after="0" w:line="231" w:lineRule="auto"/>
        <w:rPr>
          <w:sz w:val="20"/>
          <w:szCs w:val="20"/>
          <w:color w:val="auto"/>
        </w:rPr>
      </w:pPr>
      <w:r>
        <w:rPr>
          <w:rFonts w:ascii="Arial" w:cs="Arial" w:eastAsia="Arial" w:hAnsi="Arial"/>
          <w:sz w:val="22"/>
          <w:szCs w:val="22"/>
          <w:color w:val="auto"/>
        </w:rPr>
        <w:t>This document is a deed. Factors which might suggest otherwise are to be disregarded.</w:t>
      </w:r>
    </w:p>
    <w:p>
      <w:pPr>
        <w:spacing w:after="0" w:line="370" w:lineRule="exact"/>
        <w:rPr>
          <w:sz w:val="20"/>
          <w:szCs w:val="20"/>
          <w:color w:val="auto"/>
        </w:rPr>
      </w:pPr>
    </w:p>
    <w:p>
      <w:pPr>
        <w:ind w:left="1980" w:hanging="846"/>
        <w:spacing w:after="0"/>
        <w:tabs>
          <w:tab w:leader="none" w:pos="1980" w:val="left"/>
        </w:tabs>
        <w:numPr>
          <w:ilvl w:val="0"/>
          <w:numId w:val="74"/>
        </w:numPr>
        <w:rPr>
          <w:rFonts w:ascii="Arial" w:cs="Arial" w:eastAsia="Arial" w:hAnsi="Arial"/>
          <w:sz w:val="24"/>
          <w:szCs w:val="24"/>
          <w:b w:val="1"/>
          <w:bCs w:val="1"/>
          <w:color w:val="auto"/>
        </w:rPr>
      </w:pPr>
      <w:r>
        <w:rPr>
          <w:rFonts w:ascii="Arial" w:cs="Arial" w:eastAsia="Arial" w:hAnsi="Arial"/>
          <w:sz w:val="24"/>
          <w:szCs w:val="2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31115</wp:posOffset>
            </wp:positionV>
            <wp:extent cx="4291330"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39</w:t>
      </w:r>
    </w:p>
    <w:p>
      <w:pPr>
        <w:sectPr>
          <w:pgSz w:w="11900" w:h="16838" w:orient="portrait"/>
          <w:cols w:equalWidth="0" w:num="1">
            <w:col w:w="10460"/>
          </w:cols>
          <w:pgMar w:left="1440" w:top="1440" w:right="6" w:bottom="0" w:gutter="0" w:footer="0" w:header="0"/>
          <w:type w:val="continuous"/>
        </w:sectPr>
      </w:pPr>
    </w:p>
    <w:bookmarkStart w:id="164" w:name="page165"/>
    <w:bookmarkEnd w:id="164"/>
    <w:p>
      <w:pPr>
        <w:jc w:val="both"/>
        <w:ind w:left="1860" w:right="1126"/>
        <w:spacing w:after="0" w:line="232" w:lineRule="auto"/>
        <w:rPr>
          <w:sz w:val="20"/>
          <w:szCs w:val="20"/>
          <w:color w:val="auto"/>
        </w:rPr>
      </w:pPr>
      <w:r>
        <w:rPr>
          <w:rFonts w:ascii="Arial" w:cs="Arial" w:eastAsia="Arial" w:hAnsi="Arial"/>
          <w:sz w:val="22"/>
          <w:szCs w:val="22"/>
          <w:color w:val="auto"/>
        </w:rPr>
        <w:t>The Borrower and each Corporate Guarantor have entered into this deed in consideration of the Bank agreeing to amend the Facility Agreement in accordance with this deed</w:t>
      </w:r>
      <w:r>
        <w:rPr>
          <w:rFonts w:ascii="Arial" w:cs="Arial" w:eastAsia="Arial" w:hAnsi="Arial"/>
          <w:sz w:val="19"/>
          <w:szCs w:val="19"/>
          <w:color w:val="auto"/>
        </w:rPr>
        <w:t>.</w:t>
      </w:r>
    </w:p>
    <w:p>
      <w:pPr>
        <w:spacing w:after="0" w:line="376" w:lineRule="exact"/>
        <w:rPr>
          <w:sz w:val="20"/>
          <w:szCs w:val="20"/>
          <w:color w:val="auto"/>
        </w:rPr>
      </w:pPr>
    </w:p>
    <w:p>
      <w:pPr>
        <w:ind w:left="1980" w:hanging="846"/>
        <w:spacing w:after="0"/>
        <w:tabs>
          <w:tab w:leader="none" w:pos="1980" w:val="left"/>
        </w:tabs>
        <w:numPr>
          <w:ilvl w:val="0"/>
          <w:numId w:val="75"/>
        </w:numPr>
        <w:rPr>
          <w:rFonts w:ascii="Arial" w:cs="Arial" w:eastAsia="Arial" w:hAnsi="Arial"/>
          <w:sz w:val="24"/>
          <w:szCs w:val="24"/>
          <w:b w:val="1"/>
          <w:bCs w:val="1"/>
          <w:color w:val="auto"/>
        </w:rPr>
      </w:pPr>
      <w:r>
        <w:rPr>
          <w:rFonts w:ascii="Arial" w:cs="Arial" w:eastAsia="Arial" w:hAnsi="Arial"/>
          <w:sz w:val="24"/>
          <w:szCs w:val="24"/>
          <w:b w:val="1"/>
          <w:bCs w:val="1"/>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31115</wp:posOffset>
            </wp:positionV>
            <wp:extent cx="4291330"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390"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Conditions precedent to Effective Date</w:t>
      </w:r>
    </w:p>
    <w:p>
      <w:pPr>
        <w:spacing w:after="0" w:line="46" w:lineRule="exact"/>
        <w:rPr>
          <w:sz w:val="20"/>
          <w:szCs w:val="20"/>
          <w:color w:val="auto"/>
        </w:rPr>
      </w:pPr>
    </w:p>
    <w:p>
      <w:pPr>
        <w:ind w:left="1860" w:right="726"/>
        <w:spacing w:after="0" w:line="232" w:lineRule="auto"/>
        <w:rPr>
          <w:sz w:val="20"/>
          <w:szCs w:val="20"/>
          <w:color w:val="auto"/>
        </w:rPr>
      </w:pPr>
      <w:r>
        <w:rPr>
          <w:rFonts w:ascii="Arial" w:cs="Arial" w:eastAsia="Arial" w:hAnsi="Arial"/>
          <w:sz w:val="22"/>
          <w:szCs w:val="22"/>
          <w:color w:val="auto"/>
        </w:rPr>
        <w:t>The amendments to the Facility Agreement effected by this deed, and the occurrence of the Effective Date, are subject to the following conditions precedent that:</w:t>
      </w:r>
    </w:p>
    <w:p>
      <w:pPr>
        <w:spacing w:after="0" w:line="6" w:lineRule="exact"/>
        <w:rPr>
          <w:sz w:val="20"/>
          <w:szCs w:val="20"/>
          <w:color w:val="auto"/>
        </w:rPr>
      </w:pPr>
    </w:p>
    <w:p>
      <w:pPr>
        <w:jc w:val="both"/>
        <w:ind w:left="2580" w:right="1126" w:hanging="1446"/>
        <w:spacing w:after="0" w:line="232" w:lineRule="auto"/>
        <w:tabs>
          <w:tab w:leader="none" w:pos="253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at least two clear Business Days (or such shorter period as the Bank may agree) before the Effective Date, the Bank has received, in form and substance satisfactory to the Bank:</w:t>
      </w:r>
    </w:p>
    <w:p>
      <w:pPr>
        <w:spacing w:after="0" w:line="49" w:lineRule="exact"/>
        <w:rPr>
          <w:rFonts w:ascii="Arial" w:cs="Arial" w:eastAsia="Arial" w:hAnsi="Arial"/>
          <w:sz w:val="22"/>
          <w:szCs w:val="22"/>
          <w:color w:val="auto"/>
        </w:rPr>
      </w:pPr>
    </w:p>
    <w:p>
      <w:pPr>
        <w:ind w:left="2720" w:right="1126" w:hanging="722"/>
        <w:spacing w:after="0" w:line="344" w:lineRule="auto"/>
        <w:tabs>
          <w:tab w:leader="none" w:pos="273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 fully executed original copy of this deed, duly executed by the Borrower and each Corporate Guarantor;</w:t>
      </w:r>
    </w:p>
    <w:p>
      <w:pPr>
        <w:ind w:left="2720" w:hanging="722"/>
        <w:spacing w:after="0"/>
        <w:tabs>
          <w:tab w:leader="none" w:pos="27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non-refundable amendment fee of $363,750; and</w:t>
      </w:r>
    </w:p>
    <w:p>
      <w:pPr>
        <w:spacing w:after="0" w:line="87" w:lineRule="exact"/>
        <w:rPr>
          <w:rFonts w:ascii="Arial" w:cs="Arial" w:eastAsia="Arial" w:hAnsi="Arial"/>
          <w:sz w:val="22"/>
          <w:szCs w:val="22"/>
          <w:color w:val="auto"/>
        </w:rPr>
      </w:pPr>
    </w:p>
    <w:p>
      <w:pPr>
        <w:jc w:val="both"/>
        <w:ind w:left="2720" w:right="1126" w:hanging="722"/>
        <w:spacing w:after="0" w:line="307" w:lineRule="auto"/>
        <w:tabs>
          <w:tab w:leader="none" w:pos="27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Valuation in respect of the Freehold Properties and leasehold properties confirming an aggregate “as is” value of at least $149,000,000; and</w:t>
      </w:r>
    </w:p>
    <w:p>
      <w:pPr>
        <w:spacing w:after="0" w:line="19" w:lineRule="exact"/>
        <w:rPr>
          <w:rFonts w:ascii="Arial" w:cs="Arial" w:eastAsia="Arial" w:hAnsi="Arial"/>
          <w:sz w:val="22"/>
          <w:szCs w:val="22"/>
          <w:color w:val="auto"/>
        </w:rPr>
      </w:pPr>
    </w:p>
    <w:p>
      <w:pPr>
        <w:jc w:val="both"/>
        <w:ind w:left="2720" w:right="1126" w:hanging="722"/>
        <w:spacing w:after="0" w:line="344" w:lineRule="auto"/>
        <w:tabs>
          <w:tab w:leader="none" w:pos="2774"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anything which the Bank has reasonably requested that the Borrower or a Corporate Guarantor provide to it in</w:t>
      </w:r>
    </w:p>
    <w:p>
      <w:pPr>
        <w:jc w:val="center"/>
        <w:ind w:right="206"/>
        <w:spacing w:after="0" w:line="230" w:lineRule="auto"/>
        <w:rPr>
          <w:sz w:val="20"/>
          <w:szCs w:val="20"/>
          <w:color w:val="auto"/>
        </w:rPr>
      </w:pPr>
      <w:r>
        <w:rPr>
          <w:rFonts w:ascii="Arial" w:cs="Arial" w:eastAsia="Arial" w:hAnsi="Arial"/>
          <w:sz w:val="22"/>
          <w:szCs w:val="22"/>
          <w:color w:val="auto"/>
        </w:rPr>
        <w:t>relation to any Transaction Document;</w:t>
      </w:r>
    </w:p>
    <w:p>
      <w:pPr>
        <w:spacing w:after="0" w:line="47" w:lineRule="exact"/>
        <w:rPr>
          <w:sz w:val="20"/>
          <w:szCs w:val="20"/>
          <w:color w:val="auto"/>
        </w:rPr>
      </w:pPr>
    </w:p>
    <w:p>
      <w:pPr>
        <w:ind w:left="2580" w:right="1106" w:hanging="1446"/>
        <w:spacing w:after="0" w:line="245" w:lineRule="auto"/>
        <w:tabs>
          <w:tab w:leader="none" w:pos="2424"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representations and warranties set out in clauses 8.1 and 8.2 of the Amended Facility Agreement are correct and not misleading on the date that the Borrower and each Corporate Guarantor execute this deed;</w:t>
      </w:r>
    </w:p>
    <w:p>
      <w:pPr>
        <w:ind w:left="2580" w:right="1126" w:hanging="1446"/>
        <w:spacing w:after="0" w:line="231" w:lineRule="auto"/>
        <w:tabs>
          <w:tab w:leader="none" w:pos="2411"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Event of Default or Potential Event of Default subsists; and</w:t>
      </w:r>
    </w:p>
    <w:p>
      <w:pPr>
        <w:spacing w:after="0" w:line="6" w:lineRule="exact"/>
        <w:rPr>
          <w:rFonts w:ascii="Arial" w:cs="Arial" w:eastAsia="Arial" w:hAnsi="Arial"/>
          <w:sz w:val="22"/>
          <w:szCs w:val="22"/>
          <w:color w:val="auto"/>
        </w:rPr>
      </w:pPr>
    </w:p>
    <w:p>
      <w:pPr>
        <w:ind w:left="2580" w:right="1126" w:hanging="1446"/>
        <w:spacing w:after="0" w:line="231" w:lineRule="auto"/>
        <w:tabs>
          <w:tab w:leader="none" w:pos="2424"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Effective Date is no later than 31 October 2025, or such later date agreed by the Bank.</w:t>
      </w:r>
    </w:p>
    <w:p>
      <w:pPr>
        <w:spacing w:after="0" w:line="284"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Satisfaction of conditions precedent</w:t>
      </w:r>
    </w:p>
    <w:p>
      <w:pPr>
        <w:spacing w:after="0" w:line="46" w:lineRule="exact"/>
        <w:rPr>
          <w:sz w:val="20"/>
          <w:szCs w:val="20"/>
          <w:color w:val="auto"/>
        </w:rPr>
      </w:pPr>
    </w:p>
    <w:p>
      <w:pPr>
        <w:ind w:left="2580" w:right="966" w:hanging="1446"/>
        <w:spacing w:after="0" w:line="245" w:lineRule="auto"/>
        <w:tabs>
          <w:tab w:leader="none" w:pos="2411"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Borrower and each Corporate Guarantor must use their best endeavours to satisfy the conditions precedent.</w:t>
      </w:r>
    </w:p>
    <w:p>
      <w:pPr>
        <w:ind w:left="2580" w:right="1126" w:hanging="1446"/>
        <w:spacing w:after="0" w:line="232" w:lineRule="auto"/>
        <w:tabs>
          <w:tab w:leader="none" w:pos="242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certificates or copies of documents referred to in clause 3.1 must be certified by a company secretary or director of the Borrower or a Corporate Guarantor (as applicable) as being true, complete and current.</w:t>
      </w:r>
    </w:p>
    <w:p>
      <w:pPr>
        <w:spacing w:after="0" w:line="3" w:lineRule="exact"/>
        <w:rPr>
          <w:rFonts w:ascii="Arial" w:cs="Arial" w:eastAsia="Arial" w:hAnsi="Arial"/>
          <w:sz w:val="22"/>
          <w:szCs w:val="22"/>
          <w:color w:val="auto"/>
        </w:rPr>
      </w:pPr>
    </w:p>
    <w:p>
      <w:pPr>
        <w:ind w:left="2400" w:hanging="1266"/>
        <w:spacing w:after="0" w:line="233" w:lineRule="auto"/>
        <w:tabs>
          <w:tab w:leader="none" w:pos="24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conditions precedent are for the benefit of the Bank.</w:t>
      </w:r>
    </w:p>
    <w:p>
      <w:pPr>
        <w:spacing w:after="0" w:line="5" w:lineRule="exact"/>
        <w:rPr>
          <w:rFonts w:ascii="Arial" w:cs="Arial" w:eastAsia="Arial" w:hAnsi="Arial"/>
          <w:sz w:val="22"/>
          <w:szCs w:val="22"/>
          <w:color w:val="auto"/>
        </w:rPr>
      </w:pPr>
    </w:p>
    <w:p>
      <w:pPr>
        <w:ind w:left="2580" w:right="1126" w:hanging="1446"/>
        <w:spacing w:after="0" w:line="263" w:lineRule="auto"/>
        <w:tabs>
          <w:tab w:leader="none" w:pos="2424"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Bank may waive, or agree to a delay of, the satisfaction of any of the conditions precedent in writing at any time before or after the time by which they must be satisfied.</w:t>
      </w:r>
    </w:p>
    <w:p>
      <w:pPr>
        <w:spacing w:after="0" w:line="347" w:lineRule="exact"/>
        <w:rPr>
          <w:sz w:val="20"/>
          <w:szCs w:val="20"/>
          <w:color w:val="auto"/>
        </w:rPr>
      </w:pPr>
    </w:p>
    <w:p>
      <w:pPr>
        <w:ind w:left="1980" w:hanging="846"/>
        <w:spacing w:after="0"/>
        <w:tabs>
          <w:tab w:leader="none" w:pos="1980" w:val="left"/>
        </w:tabs>
        <w:numPr>
          <w:ilvl w:val="0"/>
          <w:numId w:val="79"/>
        </w:numPr>
        <w:rPr>
          <w:rFonts w:ascii="Arial" w:cs="Arial" w:eastAsia="Arial" w:hAnsi="Arial"/>
          <w:sz w:val="24"/>
          <w:szCs w:val="24"/>
          <w:b w:val="1"/>
          <w:bCs w:val="1"/>
          <w:color w:val="auto"/>
        </w:rPr>
      </w:pPr>
      <w:r>
        <w:rPr>
          <w:rFonts w:ascii="Arial" w:cs="Arial" w:eastAsia="Arial" w:hAnsi="Arial"/>
          <w:sz w:val="24"/>
          <w:szCs w:val="24"/>
          <w:b w:val="1"/>
          <w:bCs w:val="1"/>
          <w:color w:val="auto"/>
        </w:rPr>
        <w:t>Amendment of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31115</wp:posOffset>
            </wp:positionV>
            <wp:extent cx="4291330"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0"/>
          <w:szCs w:val="20"/>
          <w:b w:val="1"/>
          <w:bCs w:val="1"/>
          <w:color w:val="auto"/>
        </w:rPr>
        <w:t>Amendment</w:t>
      </w:r>
    </w:p>
    <w:p>
      <w:pPr>
        <w:spacing w:after="0" w:line="46" w:lineRule="exact"/>
        <w:rPr>
          <w:sz w:val="20"/>
          <w:szCs w:val="20"/>
          <w:color w:val="auto"/>
        </w:rPr>
      </w:pPr>
    </w:p>
    <w:p>
      <w:pPr>
        <w:jc w:val="both"/>
        <w:ind w:left="1860" w:right="166"/>
        <w:spacing w:after="0" w:line="232" w:lineRule="auto"/>
        <w:rPr>
          <w:sz w:val="20"/>
          <w:szCs w:val="20"/>
          <w:color w:val="auto"/>
        </w:rPr>
      </w:pPr>
      <w:r>
        <w:rPr>
          <w:rFonts w:ascii="Arial" w:cs="Arial" w:eastAsia="Arial" w:hAnsi="Arial"/>
          <w:sz w:val="22"/>
          <w:szCs w:val="22"/>
          <w:color w:val="auto"/>
        </w:rPr>
        <w:t xml:space="preserve">On and from the Effective Date, the Facility Agreement is amended in the form of the </w:t>
      </w:r>
      <w:r>
        <w:rPr>
          <w:rFonts w:ascii="Arial" w:cs="Arial" w:eastAsia="Arial" w:hAnsi="Arial"/>
          <w:sz w:val="22"/>
          <w:szCs w:val="22"/>
          <w:b w:val="1"/>
          <w:bCs w:val="1"/>
          <w:color w:val="auto"/>
        </w:rPr>
        <w:t>annexure</w:t>
      </w:r>
      <w:r>
        <w:rPr>
          <w:rFonts w:ascii="Arial" w:cs="Arial" w:eastAsia="Arial" w:hAnsi="Arial"/>
          <w:sz w:val="22"/>
          <w:szCs w:val="22"/>
          <w:color w:val="auto"/>
        </w:rPr>
        <w:t>, by deleting the items struck through, and by adding the items underlined.</w:t>
      </w:r>
    </w:p>
    <w:p>
      <w:pPr>
        <w:spacing w:after="0" w:line="37"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Parties bound</w:t>
      </w:r>
    </w:p>
    <w:p>
      <w:pPr>
        <w:sectPr>
          <w:pgSz w:w="11900" w:h="16838" w:orient="portrait"/>
          <w:cols w:equalWidth="0" w:num="1">
            <w:col w:w="9026"/>
          </w:cols>
          <w:pgMar w:left="1440" w:top="11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39</w:t>
      </w:r>
    </w:p>
    <w:p>
      <w:pPr>
        <w:sectPr>
          <w:pgSz w:w="11900" w:h="16838" w:orient="portrait"/>
          <w:cols w:equalWidth="0" w:num="1">
            <w:col w:w="9026"/>
          </w:cols>
          <w:pgMar w:left="1440" w:top="1135" w:right="1440" w:bottom="0" w:gutter="0" w:footer="0" w:header="0"/>
          <w:type w:val="continuous"/>
        </w:sectPr>
      </w:pPr>
    </w:p>
    <w:bookmarkStart w:id="165" w:name="page166"/>
    <w:bookmarkEnd w:id="165"/>
    <w:p>
      <w:pPr>
        <w:ind w:left="1860" w:right="206"/>
        <w:spacing w:after="0" w:line="231" w:lineRule="auto"/>
        <w:rPr>
          <w:sz w:val="20"/>
          <w:szCs w:val="20"/>
          <w:color w:val="auto"/>
        </w:rPr>
      </w:pPr>
      <w:r>
        <w:rPr>
          <w:rFonts w:ascii="Arial" w:cs="Arial" w:eastAsia="Arial" w:hAnsi="Arial"/>
          <w:sz w:val="22"/>
          <w:szCs w:val="22"/>
          <w:color w:val="auto"/>
        </w:rPr>
        <w:t>The parties will be bound by the Amended Facility Agreement on and from the Effective Date.</w:t>
      </w:r>
    </w:p>
    <w:p>
      <w:pPr>
        <w:spacing w:after="0" w:line="370" w:lineRule="exact"/>
        <w:rPr>
          <w:sz w:val="20"/>
          <w:szCs w:val="20"/>
          <w:color w:val="auto"/>
        </w:rPr>
      </w:pPr>
    </w:p>
    <w:p>
      <w:pPr>
        <w:ind w:left="1980" w:hanging="846"/>
        <w:spacing w:after="0"/>
        <w:tabs>
          <w:tab w:leader="none" w:pos="1980" w:val="left"/>
        </w:tabs>
        <w:numPr>
          <w:ilvl w:val="0"/>
          <w:numId w:val="80"/>
        </w:numPr>
        <w:rPr>
          <w:rFonts w:ascii="Arial" w:cs="Arial" w:eastAsia="Arial" w:hAnsi="Arial"/>
          <w:sz w:val="24"/>
          <w:szCs w:val="24"/>
          <w:b w:val="1"/>
          <w:bCs w:val="1"/>
          <w:color w:val="auto"/>
        </w:rPr>
      </w:pPr>
      <w:r>
        <w:rPr>
          <w:rFonts w:ascii="Arial" w:cs="Arial" w:eastAsia="Arial" w:hAnsi="Arial"/>
          <w:sz w:val="24"/>
          <w:szCs w:val="24"/>
          <w:b w:val="1"/>
          <w:bCs w:val="1"/>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31115</wp:posOffset>
            </wp:positionV>
            <wp:extent cx="4291330"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0"/>
          <w:szCs w:val="20"/>
          <w:b w:val="1"/>
          <w:bCs w:val="1"/>
          <w:color w:val="auto"/>
        </w:rPr>
        <w:t>General</w:t>
      </w:r>
    </w:p>
    <w:p>
      <w:pPr>
        <w:spacing w:after="0" w:line="46" w:lineRule="exact"/>
        <w:rPr>
          <w:sz w:val="20"/>
          <w:szCs w:val="20"/>
          <w:color w:val="auto"/>
        </w:rPr>
      </w:pPr>
    </w:p>
    <w:p>
      <w:pPr>
        <w:ind w:left="1860" w:right="466"/>
        <w:spacing w:after="0" w:line="231" w:lineRule="auto"/>
        <w:rPr>
          <w:sz w:val="20"/>
          <w:szCs w:val="20"/>
          <w:color w:val="auto"/>
        </w:rPr>
      </w:pPr>
      <w:r>
        <w:rPr>
          <w:rFonts w:ascii="Arial" w:cs="Arial" w:eastAsia="Arial" w:hAnsi="Arial"/>
          <w:sz w:val="22"/>
          <w:szCs w:val="22"/>
          <w:color w:val="auto"/>
        </w:rPr>
        <w:t>The Borrower and the Corporate Guarantors each represent and warrant that at the time of its execution of this deed:</w:t>
      </w:r>
    </w:p>
    <w:p>
      <w:pPr>
        <w:spacing w:after="0" w:line="6" w:lineRule="exact"/>
        <w:rPr>
          <w:sz w:val="20"/>
          <w:szCs w:val="20"/>
          <w:color w:val="auto"/>
        </w:rPr>
      </w:pPr>
    </w:p>
    <w:p>
      <w:pPr>
        <w:ind w:left="2580" w:right="1126" w:hanging="1446"/>
        <w:spacing w:after="0" w:line="231" w:lineRule="auto"/>
        <w:tabs>
          <w:tab w:leader="none" w:pos="24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it has capacity unconditionally to execute, deliver and comply with its obligations under this deed;</w:t>
      </w:r>
    </w:p>
    <w:p>
      <w:pPr>
        <w:spacing w:after="0" w:line="6" w:lineRule="exact"/>
        <w:rPr>
          <w:rFonts w:ascii="Arial" w:cs="Arial" w:eastAsia="Arial" w:hAnsi="Arial"/>
          <w:sz w:val="22"/>
          <w:szCs w:val="22"/>
          <w:color w:val="auto"/>
        </w:rPr>
      </w:pPr>
    </w:p>
    <w:p>
      <w:pPr>
        <w:ind w:left="2580" w:right="1126" w:hanging="1446"/>
        <w:spacing w:after="0" w:line="232" w:lineRule="auto"/>
        <w:tabs>
          <w:tab w:leader="none" w:pos="242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it has taken all necessary action to authorise the unconditional execution and delivery of, and compliance with, its obligations under this deed;</w:t>
      </w:r>
    </w:p>
    <w:p>
      <w:pPr>
        <w:spacing w:after="0" w:line="6" w:lineRule="exact"/>
        <w:rPr>
          <w:rFonts w:ascii="Arial" w:cs="Arial" w:eastAsia="Arial" w:hAnsi="Arial"/>
          <w:sz w:val="22"/>
          <w:szCs w:val="22"/>
          <w:color w:val="auto"/>
        </w:rPr>
      </w:pPr>
    </w:p>
    <w:p>
      <w:pPr>
        <w:ind w:left="2580" w:right="1126" w:hanging="1446"/>
        <w:spacing w:after="0" w:line="232" w:lineRule="auto"/>
        <w:tabs>
          <w:tab w:leader="none" w:pos="24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this deed constitutes the valid and legally binding obligations of it and is enforceable against it in accordance with its terms;</w:t>
      </w:r>
    </w:p>
    <w:p>
      <w:pPr>
        <w:spacing w:after="0" w:line="6" w:lineRule="exact"/>
        <w:rPr>
          <w:rFonts w:ascii="Arial" w:cs="Arial" w:eastAsia="Arial" w:hAnsi="Arial"/>
          <w:sz w:val="22"/>
          <w:szCs w:val="22"/>
          <w:color w:val="auto"/>
        </w:rPr>
      </w:pPr>
    </w:p>
    <w:p>
      <w:pPr>
        <w:ind w:left="2580" w:right="1126" w:hanging="1446"/>
        <w:spacing w:after="0" w:line="231" w:lineRule="auto"/>
        <w:tabs>
          <w:tab w:leader="none" w:pos="242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it has duly executed each of the Transaction Documents to which it is expressed to be a party;</w:t>
      </w:r>
    </w:p>
    <w:p>
      <w:pPr>
        <w:spacing w:after="0" w:line="6" w:lineRule="exact"/>
        <w:rPr>
          <w:rFonts w:ascii="Arial" w:cs="Arial" w:eastAsia="Arial" w:hAnsi="Arial"/>
          <w:sz w:val="22"/>
          <w:szCs w:val="22"/>
          <w:color w:val="auto"/>
        </w:rPr>
      </w:pPr>
    </w:p>
    <w:p>
      <w:pPr>
        <w:ind w:left="2580" w:right="1126" w:hanging="1446"/>
        <w:spacing w:after="0" w:line="231" w:lineRule="auto"/>
        <w:tabs>
          <w:tab w:leader="none" w:pos="24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Transaction Documents are valid and enforceable in accordance with their respective terms; and</w:t>
      </w:r>
    </w:p>
    <w:p>
      <w:pPr>
        <w:spacing w:after="0" w:line="6" w:lineRule="exact"/>
        <w:rPr>
          <w:rFonts w:ascii="Arial" w:cs="Arial" w:eastAsia="Arial" w:hAnsi="Arial"/>
          <w:sz w:val="22"/>
          <w:szCs w:val="22"/>
          <w:color w:val="auto"/>
        </w:rPr>
      </w:pPr>
    </w:p>
    <w:p>
      <w:pPr>
        <w:ind w:left="2580" w:right="1126" w:hanging="1446"/>
        <w:spacing w:after="0" w:line="231" w:lineRule="auto"/>
        <w:tabs>
          <w:tab w:leader="none" w:pos="24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its unconditional execution and delivery of, and compliance with its</w:t>
      </w:r>
    </w:p>
    <w:p>
      <w:pPr>
        <w:spacing w:after="0" w:line="6" w:lineRule="exact"/>
        <w:rPr>
          <w:rFonts w:ascii="Arial" w:cs="Arial" w:eastAsia="Arial" w:hAnsi="Arial"/>
          <w:sz w:val="22"/>
          <w:szCs w:val="22"/>
          <w:color w:val="auto"/>
        </w:rPr>
      </w:pPr>
    </w:p>
    <w:p>
      <w:pPr>
        <w:ind w:left="2580" w:right="106"/>
        <w:spacing w:after="0" w:line="231" w:lineRule="auto"/>
        <w:rPr>
          <w:rFonts w:ascii="Arial" w:cs="Arial" w:eastAsia="Arial" w:hAnsi="Arial"/>
          <w:sz w:val="22"/>
          <w:szCs w:val="22"/>
          <w:color w:val="auto"/>
        </w:rPr>
      </w:pPr>
      <w:r>
        <w:rPr>
          <w:rFonts w:ascii="Arial" w:cs="Arial" w:eastAsia="Arial" w:hAnsi="Arial"/>
          <w:sz w:val="22"/>
          <w:szCs w:val="22"/>
          <w:color w:val="auto"/>
        </w:rPr>
        <w:t>obligations under, this deed do not contravene its constituent documents or any obligation of it under any law or to any other</w:t>
      </w:r>
    </w:p>
    <w:p>
      <w:pPr>
        <w:spacing w:after="0" w:line="1" w:lineRule="exact"/>
        <w:rPr>
          <w:rFonts w:ascii="Arial" w:cs="Arial" w:eastAsia="Arial" w:hAnsi="Arial"/>
          <w:sz w:val="22"/>
          <w:szCs w:val="22"/>
          <w:color w:val="auto"/>
        </w:rPr>
      </w:pPr>
    </w:p>
    <w:p>
      <w:pPr>
        <w:ind w:left="2580"/>
        <w:spacing w:after="0" w:line="233" w:lineRule="auto"/>
        <w:rPr>
          <w:rFonts w:ascii="Arial" w:cs="Arial" w:eastAsia="Arial" w:hAnsi="Arial"/>
          <w:sz w:val="22"/>
          <w:szCs w:val="22"/>
          <w:color w:val="auto"/>
        </w:rPr>
      </w:pPr>
      <w:r>
        <w:rPr>
          <w:rFonts w:ascii="Arial" w:cs="Arial" w:eastAsia="Arial" w:hAnsi="Arial"/>
          <w:sz w:val="22"/>
          <w:szCs w:val="22"/>
          <w:color w:val="auto"/>
        </w:rPr>
        <w:t>person.</w:t>
      </w:r>
    </w:p>
    <w:p>
      <w:pPr>
        <w:spacing w:after="0" w:line="283"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Survival of representations and warranties</w:t>
      </w:r>
    </w:p>
    <w:p>
      <w:pPr>
        <w:spacing w:after="0" w:line="46" w:lineRule="exact"/>
        <w:rPr>
          <w:sz w:val="20"/>
          <w:szCs w:val="20"/>
          <w:color w:val="auto"/>
        </w:rPr>
      </w:pPr>
    </w:p>
    <w:p>
      <w:pPr>
        <w:ind w:left="1860" w:right="366"/>
        <w:spacing w:after="0" w:line="231" w:lineRule="auto"/>
        <w:rPr>
          <w:sz w:val="20"/>
          <w:szCs w:val="20"/>
          <w:color w:val="auto"/>
        </w:rPr>
      </w:pPr>
      <w:r>
        <w:rPr>
          <w:rFonts w:ascii="Arial" w:cs="Arial" w:eastAsia="Arial" w:hAnsi="Arial"/>
          <w:sz w:val="22"/>
          <w:szCs w:val="22"/>
          <w:color w:val="auto"/>
        </w:rPr>
        <w:t xml:space="preserve">The representations and warranties in </w:t>
      </w:r>
      <w:r>
        <w:rPr>
          <w:rFonts w:ascii="Arial" w:cs="Arial" w:eastAsia="Arial" w:hAnsi="Arial"/>
          <w:sz w:val="22"/>
          <w:szCs w:val="22"/>
          <w:b w:val="1"/>
          <w:bCs w:val="1"/>
          <w:color w:val="auto"/>
        </w:rPr>
        <w:t>clause 5.1</w:t>
      </w:r>
      <w:r>
        <w:rPr>
          <w:rFonts w:ascii="Arial" w:cs="Arial" w:eastAsia="Arial" w:hAnsi="Arial"/>
          <w:sz w:val="22"/>
          <w:szCs w:val="22"/>
          <w:color w:val="auto"/>
        </w:rPr>
        <w:t xml:space="preserve"> survive the execution of this deed and the amendment of the Facility Agreement.</w:t>
      </w:r>
    </w:p>
    <w:p>
      <w:pPr>
        <w:spacing w:after="0" w:line="367" w:lineRule="exact"/>
        <w:rPr>
          <w:sz w:val="20"/>
          <w:szCs w:val="20"/>
          <w:color w:val="auto"/>
        </w:rPr>
      </w:pPr>
    </w:p>
    <w:p>
      <w:pPr>
        <w:ind w:left="1960" w:hanging="826"/>
        <w:spacing w:after="0"/>
        <w:tabs>
          <w:tab w:leader="none" w:pos="19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28575</wp:posOffset>
            </wp:positionV>
            <wp:extent cx="4291330"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365"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The Borrower and each Corporate Guarantor:</w:t>
      </w:r>
    </w:p>
    <w:p>
      <w:pPr>
        <w:spacing w:after="0" w:line="5" w:lineRule="exact"/>
        <w:rPr>
          <w:sz w:val="20"/>
          <w:szCs w:val="20"/>
          <w:color w:val="auto"/>
        </w:rPr>
      </w:pPr>
    </w:p>
    <w:p>
      <w:pPr>
        <w:ind w:left="2580" w:right="1126" w:hanging="1446"/>
        <w:spacing w:after="0" w:line="231" w:lineRule="auto"/>
        <w:tabs>
          <w:tab w:leader="none" w:pos="2411" w:val="left"/>
        </w:tabs>
        <w:numPr>
          <w:ilvl w:val="0"/>
          <w:numId w:val="83"/>
        </w:numPr>
        <w:rPr>
          <w:rFonts w:ascii="Arial" w:cs="Arial" w:eastAsia="Arial" w:hAnsi="Arial"/>
          <w:sz w:val="22"/>
          <w:szCs w:val="22"/>
          <w:color w:val="auto"/>
        </w:rPr>
      </w:pPr>
      <w:r>
        <w:rPr>
          <w:rFonts w:ascii="Arial" w:cs="Arial" w:eastAsia="Arial" w:hAnsi="Arial"/>
          <w:sz w:val="22"/>
          <w:szCs w:val="22"/>
          <w:color w:val="auto"/>
        </w:rPr>
        <w:t>agree to the amendment of the Facility Agreement effected by this deed;</w:t>
      </w:r>
    </w:p>
    <w:p>
      <w:pPr>
        <w:spacing w:after="0" w:line="6" w:lineRule="exact"/>
        <w:rPr>
          <w:rFonts w:ascii="Arial" w:cs="Arial" w:eastAsia="Arial" w:hAnsi="Arial"/>
          <w:sz w:val="22"/>
          <w:szCs w:val="22"/>
          <w:color w:val="auto"/>
        </w:rPr>
      </w:pPr>
    </w:p>
    <w:p>
      <w:pPr>
        <w:ind w:left="2580" w:right="1126" w:hanging="1446"/>
        <w:spacing w:after="0" w:line="231" w:lineRule="auto"/>
        <w:tabs>
          <w:tab w:leader="none" w:pos="2424" w:val="left"/>
        </w:tabs>
        <w:numPr>
          <w:ilvl w:val="0"/>
          <w:numId w:val="83"/>
        </w:numPr>
        <w:rPr>
          <w:rFonts w:ascii="Arial" w:cs="Arial" w:eastAsia="Arial" w:hAnsi="Arial"/>
          <w:sz w:val="22"/>
          <w:szCs w:val="22"/>
          <w:color w:val="auto"/>
        </w:rPr>
      </w:pPr>
      <w:r>
        <w:rPr>
          <w:rFonts w:ascii="Arial" w:cs="Arial" w:eastAsia="Arial" w:hAnsi="Arial"/>
          <w:sz w:val="22"/>
          <w:szCs w:val="22"/>
          <w:color w:val="auto"/>
        </w:rPr>
        <w:t>agree that this deed is a Transaction Document for the purposes of the Amended Facility Agreement;</w:t>
      </w:r>
    </w:p>
    <w:p>
      <w:pPr>
        <w:spacing w:after="0" w:line="6" w:lineRule="exact"/>
        <w:rPr>
          <w:rFonts w:ascii="Arial" w:cs="Arial" w:eastAsia="Arial" w:hAnsi="Arial"/>
          <w:sz w:val="22"/>
          <w:szCs w:val="22"/>
          <w:color w:val="auto"/>
        </w:rPr>
      </w:pPr>
    </w:p>
    <w:p>
      <w:pPr>
        <w:ind w:left="2580" w:right="1126" w:hanging="1446"/>
        <w:spacing w:after="0" w:line="257" w:lineRule="auto"/>
        <w:tabs>
          <w:tab w:leader="none" w:pos="2411" w:val="left"/>
        </w:tabs>
        <w:numPr>
          <w:ilvl w:val="0"/>
          <w:numId w:val="83"/>
        </w:numPr>
        <w:rPr>
          <w:rFonts w:ascii="Arial" w:cs="Arial" w:eastAsia="Arial" w:hAnsi="Arial"/>
          <w:sz w:val="20"/>
          <w:szCs w:val="20"/>
          <w:color w:val="auto"/>
        </w:rPr>
      </w:pPr>
      <w:r>
        <w:rPr>
          <w:rFonts w:ascii="Arial" w:cs="Arial" w:eastAsia="Arial" w:hAnsi="Arial"/>
          <w:sz w:val="20"/>
          <w:szCs w:val="20"/>
          <w:color w:val="auto"/>
        </w:rPr>
        <w:t>acknowledge that the Bank has agreed to execute this deed at the request of the Borrower and the Corporate Guarantors and that, except as expressly set forth herein, this is without prejudice to any other current or future right the Bank may have against the Borrower or a Corporate Guarantor, or any other Security Provider or under or in connection with any Transaction Document; and</w:t>
      </w:r>
    </w:p>
    <w:p>
      <w:pPr>
        <w:spacing w:after="0" w:line="2" w:lineRule="exact"/>
        <w:rPr>
          <w:rFonts w:ascii="Arial" w:cs="Arial" w:eastAsia="Arial" w:hAnsi="Arial"/>
          <w:sz w:val="20"/>
          <w:szCs w:val="20"/>
          <w:color w:val="auto"/>
        </w:rPr>
      </w:pPr>
    </w:p>
    <w:p>
      <w:pPr>
        <w:ind w:left="2580" w:right="1126" w:hanging="1446"/>
        <w:spacing w:after="0" w:line="232" w:lineRule="auto"/>
        <w:tabs>
          <w:tab w:leader="none" w:pos="2424" w:val="left"/>
        </w:tabs>
        <w:numPr>
          <w:ilvl w:val="0"/>
          <w:numId w:val="83"/>
        </w:numPr>
        <w:rPr>
          <w:rFonts w:ascii="Arial" w:cs="Arial" w:eastAsia="Arial" w:hAnsi="Arial"/>
          <w:sz w:val="22"/>
          <w:szCs w:val="22"/>
          <w:color w:val="auto"/>
        </w:rPr>
      </w:pPr>
      <w:r>
        <w:rPr>
          <w:rFonts w:ascii="Arial" w:cs="Arial" w:eastAsia="Arial" w:hAnsi="Arial"/>
          <w:sz w:val="22"/>
          <w:szCs w:val="22"/>
          <w:color w:val="auto"/>
        </w:rPr>
        <w:t>agree that each Collateral Security to which it is a party extends to and secures its obligations to the Bank under the Amended Facility Agreement.</w:t>
      </w:r>
    </w:p>
    <w:p>
      <w:pPr>
        <w:spacing w:after="0" w:line="40" w:lineRule="exact"/>
        <w:rPr>
          <w:sz w:val="20"/>
          <w:szCs w:val="20"/>
          <w:color w:val="auto"/>
        </w:rPr>
      </w:pPr>
    </w:p>
    <w:p>
      <w:pPr>
        <w:ind w:left="1980" w:hanging="846"/>
        <w:spacing w:after="0"/>
        <w:tabs>
          <w:tab w:leader="none" w:pos="1980" w:val="left"/>
        </w:tabs>
        <w:numPr>
          <w:ilvl w:val="0"/>
          <w:numId w:val="84"/>
        </w:numPr>
        <w:rPr>
          <w:rFonts w:ascii="Arial" w:cs="Arial" w:eastAsia="Arial" w:hAnsi="Arial"/>
          <w:sz w:val="24"/>
          <w:szCs w:val="24"/>
          <w:b w:val="1"/>
          <w:bCs w:val="1"/>
          <w:color w:val="auto"/>
        </w:rPr>
      </w:pPr>
      <w:r>
        <w:rPr>
          <w:rFonts w:ascii="Arial" w:cs="Arial" w:eastAsia="Arial" w:hAnsi="Arial"/>
          <w:sz w:val="24"/>
          <w:szCs w:val="2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31115</wp:posOffset>
            </wp:positionV>
            <wp:extent cx="429133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0"/>
          <w:szCs w:val="20"/>
          <w:b w:val="1"/>
          <w:bCs w:val="1"/>
          <w:color w:val="auto"/>
        </w:rPr>
        <w:t>Amendment</w:t>
      </w:r>
    </w:p>
    <w:p>
      <w:pPr>
        <w:spacing w:after="0" w:line="46" w:lineRule="exact"/>
        <w:rPr>
          <w:sz w:val="20"/>
          <w:szCs w:val="20"/>
          <w:color w:val="auto"/>
        </w:rPr>
      </w:pPr>
    </w:p>
    <w:p>
      <w:pPr>
        <w:ind w:left="1860" w:right="686"/>
        <w:spacing w:after="0" w:line="231" w:lineRule="auto"/>
        <w:rPr>
          <w:sz w:val="20"/>
          <w:szCs w:val="20"/>
          <w:color w:val="auto"/>
        </w:rPr>
      </w:pPr>
      <w:r>
        <w:rPr>
          <w:rFonts w:ascii="Arial" w:cs="Arial" w:eastAsia="Arial" w:hAnsi="Arial"/>
          <w:sz w:val="22"/>
          <w:szCs w:val="22"/>
          <w:color w:val="auto"/>
        </w:rPr>
        <w:t>This deed may only be varied or replaced by a deed executed by all of the parties to this deed.</w:t>
      </w:r>
    </w:p>
    <w:p>
      <w:pPr>
        <w:spacing w:after="0" w:line="367"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Construction</w:t>
      </w:r>
    </w:p>
    <w:p>
      <w:pPr>
        <w:sectPr>
          <w:pgSz w:w="11900" w:h="16838" w:orient="portrait"/>
          <w:cols w:equalWidth="0" w:num="1">
            <w:col w:w="9026"/>
          </w:cols>
          <w:pgMar w:left="1440" w:top="1135"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39</w:t>
      </w:r>
    </w:p>
    <w:p>
      <w:pPr>
        <w:sectPr>
          <w:pgSz w:w="11900" w:h="16838" w:orient="portrait"/>
          <w:cols w:equalWidth="0" w:num="1">
            <w:col w:w="9026"/>
          </w:cols>
          <w:pgMar w:left="1440" w:top="1135" w:right="1440" w:bottom="0" w:gutter="0" w:footer="0" w:header="0"/>
          <w:type w:val="continuous"/>
        </w:sectPr>
      </w:pPr>
    </w:p>
    <w:bookmarkStart w:id="166" w:name="page167"/>
    <w:bookmarkEnd w:id="166"/>
    <w:p>
      <w:pPr>
        <w:jc w:val="both"/>
        <w:ind w:left="1860" w:right="1360"/>
        <w:spacing w:after="0" w:line="245" w:lineRule="auto"/>
        <w:rPr>
          <w:sz w:val="20"/>
          <w:szCs w:val="20"/>
          <w:color w:val="auto"/>
        </w:rPr>
      </w:pPr>
      <w:r>
        <w:rPr>
          <w:rFonts w:ascii="Arial" w:cs="Arial" w:eastAsia="Arial" w:hAnsi="Arial"/>
          <w:sz w:val="21"/>
          <w:szCs w:val="21"/>
          <w:color w:val="auto"/>
        </w:rPr>
        <w:t>Clause 1.2 of the Facility Agreement applies to this deed as if set out in full in this deed with such changes as are necessary.</w:t>
      </w:r>
    </w:p>
    <w:p>
      <w:pPr>
        <w:spacing w:after="0" w:line="361"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0"/>
          <w:szCs w:val="20"/>
          <w:b w:val="1"/>
          <w:bCs w:val="1"/>
          <w:color w:val="auto"/>
        </w:rPr>
        <w:t>Counterparts</w:t>
      </w:r>
    </w:p>
    <w:p>
      <w:pPr>
        <w:spacing w:after="0" w:line="46" w:lineRule="exact"/>
        <w:rPr>
          <w:sz w:val="20"/>
          <w:szCs w:val="20"/>
          <w:color w:val="auto"/>
        </w:rPr>
      </w:pPr>
    </w:p>
    <w:p>
      <w:pPr>
        <w:jc w:val="both"/>
        <w:ind w:left="1860" w:right="1360"/>
        <w:spacing w:after="0" w:line="231" w:lineRule="auto"/>
        <w:rPr>
          <w:sz w:val="20"/>
          <w:szCs w:val="20"/>
          <w:color w:val="auto"/>
        </w:rPr>
      </w:pPr>
      <w:r>
        <w:rPr>
          <w:rFonts w:ascii="Arial" w:cs="Arial" w:eastAsia="Arial" w:hAnsi="Arial"/>
          <w:sz w:val="22"/>
          <w:szCs w:val="22"/>
          <w:color w:val="auto"/>
        </w:rPr>
        <w:t>This deed may consist of a number of counterparts and, if so, the counterparts taken together constitute one deed.</w:t>
      </w:r>
    </w:p>
    <w:p>
      <w:pPr>
        <w:spacing w:after="0" w:line="367"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b w:val="1"/>
          <w:bCs w:val="1"/>
          <w:color w:val="auto"/>
        </w:rPr>
        <w:t>Duty</w:t>
      </w:r>
    </w:p>
    <w:p>
      <w:pPr>
        <w:spacing w:after="0" w:line="46" w:lineRule="exact"/>
        <w:rPr>
          <w:sz w:val="20"/>
          <w:szCs w:val="20"/>
          <w:color w:val="auto"/>
        </w:rPr>
      </w:pPr>
    </w:p>
    <w:p>
      <w:pPr>
        <w:jc w:val="both"/>
        <w:ind w:left="1860" w:right="1360"/>
        <w:spacing w:after="0" w:line="277" w:lineRule="auto"/>
        <w:rPr>
          <w:sz w:val="20"/>
          <w:szCs w:val="20"/>
          <w:color w:val="auto"/>
        </w:rPr>
      </w:pPr>
      <w:r>
        <w:rPr>
          <w:rFonts w:ascii="Arial" w:cs="Arial" w:eastAsia="Arial" w:hAnsi="Arial"/>
          <w:sz w:val="19"/>
          <w:szCs w:val="19"/>
          <w:color w:val="auto"/>
        </w:rPr>
        <w:t xml:space="preserve">The Borrower, as between the parties, is liable for and must pay all duty (including any fine, interest or penalty except where it arises from default by the other party) on or relating to this deed, any document executed under it or any dutiable transaction evidenced </w:t>
      </w:r>
      <w:r>
        <w:rPr>
          <w:rFonts w:ascii="Arial" w:cs="Arial" w:eastAsia="Arial" w:hAnsi="Arial"/>
          <w:sz w:val="16"/>
          <w:szCs w:val="16"/>
          <w:color w:val="auto"/>
        </w:rPr>
        <w:t>or</w:t>
      </w:r>
    </w:p>
    <w:p>
      <w:pPr>
        <w:ind w:left="1860"/>
        <w:spacing w:after="0" w:line="232" w:lineRule="auto"/>
        <w:rPr>
          <w:sz w:val="20"/>
          <w:szCs w:val="20"/>
          <w:color w:val="auto"/>
        </w:rPr>
      </w:pPr>
      <w:r>
        <w:rPr>
          <w:rFonts w:ascii="Arial" w:cs="Arial" w:eastAsia="Arial" w:hAnsi="Arial"/>
          <w:sz w:val="20"/>
          <w:szCs w:val="20"/>
          <w:color w:val="auto"/>
        </w:rPr>
        <w:t>effected by it.</w:t>
      </w:r>
    </w:p>
    <w:p>
      <w:pPr>
        <w:spacing w:after="0" w:line="346"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20"/>
          <w:szCs w:val="20"/>
          <w:b w:val="1"/>
          <w:bCs w:val="1"/>
          <w:color w:val="auto"/>
        </w:rPr>
        <w:t>Entire understanding</w:t>
      </w:r>
    </w:p>
    <w:p>
      <w:pPr>
        <w:spacing w:after="0" w:line="46" w:lineRule="exact"/>
        <w:rPr>
          <w:sz w:val="20"/>
          <w:szCs w:val="20"/>
          <w:color w:val="auto"/>
        </w:rPr>
      </w:pPr>
    </w:p>
    <w:p>
      <w:pPr>
        <w:ind w:left="2580" w:right="1360" w:hanging="1446"/>
        <w:spacing w:after="0" w:line="231" w:lineRule="auto"/>
        <w:tabs>
          <w:tab w:leader="none" w:pos="241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This deed contains the entire understanding between the parties as to the subject matter of this deed.</w:t>
      </w:r>
    </w:p>
    <w:p>
      <w:pPr>
        <w:spacing w:after="0" w:line="6" w:lineRule="exact"/>
        <w:rPr>
          <w:rFonts w:ascii="Arial" w:cs="Arial" w:eastAsia="Arial" w:hAnsi="Arial"/>
          <w:sz w:val="22"/>
          <w:szCs w:val="22"/>
          <w:color w:val="auto"/>
        </w:rPr>
      </w:pPr>
    </w:p>
    <w:p>
      <w:pPr>
        <w:ind w:left="2580" w:right="1360" w:hanging="1446"/>
        <w:spacing w:after="0" w:line="245" w:lineRule="auto"/>
        <w:tabs>
          <w:tab w:leader="none" w:pos="2424" w:val="left"/>
        </w:tabs>
        <w:numPr>
          <w:ilvl w:val="0"/>
          <w:numId w:val="85"/>
        </w:numPr>
        <w:rPr>
          <w:rFonts w:ascii="Arial" w:cs="Arial" w:eastAsia="Arial" w:hAnsi="Arial"/>
          <w:sz w:val="21"/>
          <w:szCs w:val="21"/>
          <w:color w:val="auto"/>
        </w:rPr>
      </w:pPr>
      <w:r>
        <w:rPr>
          <w:rFonts w:ascii="Arial" w:cs="Arial" w:eastAsia="Arial" w:hAnsi="Arial"/>
          <w:sz w:val="21"/>
          <w:szCs w:val="21"/>
          <w:color w:val="auto"/>
        </w:rPr>
        <w:t>All previous negotiations, understandings, representations, warranties, memoranda or commitments concerning the subject matter of this deed are merged in and superseded by this deed and are of no effect. No party is liable to any other party in respect of those matters.</w:t>
      </w:r>
    </w:p>
    <w:p>
      <w:pPr>
        <w:ind w:left="2580" w:right="1360" w:hanging="1446"/>
        <w:spacing w:after="0" w:line="231" w:lineRule="auto"/>
        <w:tabs>
          <w:tab w:leader="none" w:pos="2411"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oral explanation or information provided by any party to another:</w:t>
      </w:r>
    </w:p>
    <w:p>
      <w:pPr>
        <w:spacing w:after="0" w:line="34" w:lineRule="exact"/>
        <w:rPr>
          <w:rFonts w:ascii="Arial" w:cs="Arial" w:eastAsia="Arial" w:hAnsi="Arial"/>
          <w:sz w:val="22"/>
          <w:szCs w:val="22"/>
          <w:color w:val="auto"/>
        </w:rPr>
      </w:pPr>
    </w:p>
    <w:p>
      <w:pPr>
        <w:ind w:left="3340" w:hanging="1126"/>
        <w:spacing w:after="0"/>
        <w:tabs>
          <w:tab w:leader="none" w:pos="334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affects the meaning or interpretation of this deed; or</w:t>
      </w:r>
    </w:p>
    <w:p>
      <w:pPr>
        <w:spacing w:after="0" w:line="41" w:lineRule="exact"/>
        <w:rPr>
          <w:rFonts w:ascii="Arial" w:cs="Arial" w:eastAsia="Arial" w:hAnsi="Arial"/>
          <w:sz w:val="20"/>
          <w:szCs w:val="20"/>
          <w:color w:val="auto"/>
        </w:rPr>
      </w:pPr>
    </w:p>
    <w:p>
      <w:pPr>
        <w:ind w:left="2940" w:right="820" w:hanging="726"/>
        <w:spacing w:after="0" w:line="231" w:lineRule="auto"/>
        <w:tabs>
          <w:tab w:leader="none" w:pos="3357" w:val="left"/>
        </w:tabs>
        <w:numPr>
          <w:ilvl w:val="1"/>
          <w:numId w:val="85"/>
        </w:numPr>
        <w:rPr>
          <w:rFonts w:ascii="Arial" w:cs="Arial" w:eastAsia="Arial" w:hAnsi="Arial"/>
          <w:sz w:val="20"/>
          <w:szCs w:val="20"/>
          <w:color w:val="auto"/>
        </w:rPr>
      </w:pPr>
      <w:r>
        <w:rPr>
          <w:rFonts w:ascii="Arial" w:cs="Arial" w:eastAsia="Arial" w:hAnsi="Arial"/>
          <w:sz w:val="20"/>
          <w:szCs w:val="20"/>
          <w:color w:val="auto"/>
        </w:rPr>
        <w:t>constitutes any collateral agreement, warranty or understanding between any of the parties.</w:t>
      </w:r>
    </w:p>
    <w:p>
      <w:pPr>
        <w:spacing w:after="0" w:line="365"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Further steps</w:t>
      </w:r>
    </w:p>
    <w:p>
      <w:pPr>
        <w:spacing w:after="0" w:line="46" w:lineRule="exact"/>
        <w:rPr>
          <w:sz w:val="20"/>
          <w:szCs w:val="20"/>
          <w:color w:val="auto"/>
        </w:rPr>
      </w:pPr>
    </w:p>
    <w:p>
      <w:pPr>
        <w:jc w:val="both"/>
        <w:ind w:left="1860" w:right="1360"/>
        <w:spacing w:after="0" w:line="232" w:lineRule="auto"/>
        <w:rPr>
          <w:sz w:val="20"/>
          <w:szCs w:val="20"/>
          <w:color w:val="auto"/>
        </w:rPr>
      </w:pPr>
      <w:r>
        <w:rPr>
          <w:rFonts w:ascii="Arial" w:cs="Arial" w:eastAsia="Arial" w:hAnsi="Arial"/>
          <w:sz w:val="22"/>
          <w:szCs w:val="22"/>
          <w:color w:val="auto"/>
        </w:rPr>
        <w:t>Each party must promptly do whatever any other party reasonably requires of it to give effect to this deed and to perform its obligations under it.</w:t>
      </w:r>
    </w:p>
    <w:p>
      <w:pPr>
        <w:spacing w:after="0" w:line="367"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20"/>
          <w:szCs w:val="20"/>
          <w:b w:val="1"/>
          <w:bCs w:val="1"/>
          <w:color w:val="auto"/>
        </w:rPr>
        <w:t>Governing law and jurisdiction</w:t>
      </w:r>
    </w:p>
    <w:p>
      <w:pPr>
        <w:spacing w:after="0" w:line="46" w:lineRule="exact"/>
        <w:rPr>
          <w:sz w:val="20"/>
          <w:szCs w:val="20"/>
          <w:color w:val="auto"/>
        </w:rPr>
      </w:pPr>
    </w:p>
    <w:p>
      <w:pPr>
        <w:ind w:left="2580" w:right="1360" w:hanging="1446"/>
        <w:spacing w:after="0" w:line="270" w:lineRule="auto"/>
        <w:tabs>
          <w:tab w:leader="none" w:pos="24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This deed is governed by and is to be construed in accordance with the laws applicable in the Relevant Jurisdiction.</w:t>
      </w:r>
    </w:p>
    <w:p>
      <w:pPr>
        <w:spacing w:after="0" w:line="1" w:lineRule="exact"/>
        <w:rPr>
          <w:rFonts w:ascii="Arial" w:cs="Arial" w:eastAsia="Arial" w:hAnsi="Arial"/>
          <w:sz w:val="19"/>
          <w:szCs w:val="19"/>
          <w:color w:val="auto"/>
        </w:rPr>
      </w:pPr>
    </w:p>
    <w:p>
      <w:pPr>
        <w:ind w:left="2580" w:right="1360" w:hanging="1446"/>
        <w:spacing w:after="0" w:line="232" w:lineRule="auto"/>
        <w:tabs>
          <w:tab w:leader="none" w:pos="24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party irrevocably and unconditionally submits to the non-exclusive jurisdiction of the courts exercising jurisdiction in the Relevant Jurisdiction and any courts which have jurisdiction to hear</w:t>
      </w:r>
    </w:p>
    <w:p>
      <w:pPr>
        <w:spacing w:after="0" w:line="8" w:lineRule="exact"/>
        <w:rPr>
          <w:rFonts w:ascii="Arial" w:cs="Arial" w:eastAsia="Arial" w:hAnsi="Arial"/>
          <w:sz w:val="22"/>
          <w:szCs w:val="22"/>
          <w:color w:val="auto"/>
        </w:rPr>
      </w:pPr>
    </w:p>
    <w:p>
      <w:pPr>
        <w:ind w:left="2580"/>
        <w:spacing w:after="0" w:line="233" w:lineRule="auto"/>
        <w:rPr>
          <w:rFonts w:ascii="Arial" w:cs="Arial" w:eastAsia="Arial" w:hAnsi="Arial"/>
          <w:sz w:val="22"/>
          <w:szCs w:val="22"/>
          <w:color w:val="auto"/>
        </w:rPr>
      </w:pPr>
      <w:r>
        <w:rPr>
          <w:rFonts w:ascii="Arial" w:cs="Arial" w:eastAsia="Arial" w:hAnsi="Arial"/>
          <w:sz w:val="22"/>
          <w:szCs w:val="22"/>
          <w:color w:val="auto"/>
        </w:rPr>
        <w:t xml:space="preserve">appeals </w:t>
      </w:r>
      <w:r>
        <w:rPr>
          <w:rFonts w:ascii="Arial" w:cs="Arial" w:eastAsia="Arial" w:hAnsi="Arial"/>
          <w:sz w:val="19"/>
          <w:szCs w:val="19"/>
          <w:color w:val="auto"/>
        </w:rPr>
        <w:t>from any of those courts and waives any right to object to any proceedings</w:t>
      </w:r>
      <w:r>
        <w:rPr>
          <w:rFonts w:ascii="Arial" w:cs="Arial" w:eastAsia="Arial" w:hAnsi="Arial"/>
          <w:sz w:val="22"/>
          <w:szCs w:val="22"/>
          <w:color w:val="auto"/>
        </w:rPr>
        <w:t xml:space="preserve"> </w:t>
      </w:r>
      <w:r>
        <w:rPr>
          <w:rFonts w:ascii="Arial" w:cs="Arial" w:eastAsia="Arial" w:hAnsi="Arial"/>
          <w:sz w:val="19"/>
          <w:szCs w:val="19"/>
          <w:color w:val="auto"/>
        </w:rPr>
        <w:t>being brought in those courts.</w:t>
      </w:r>
    </w:p>
    <w:p>
      <w:pPr>
        <w:spacing w:after="0" w:line="46"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22"/>
          <w:szCs w:val="22"/>
          <w:b w:val="1"/>
          <w:bCs w:val="1"/>
          <w:color w:val="auto"/>
        </w:rPr>
        <w:t>7.8</w:t>
      </w:r>
      <w:r>
        <w:rPr>
          <w:sz w:val="20"/>
          <w:szCs w:val="20"/>
          <w:color w:val="auto"/>
        </w:rPr>
        <w:tab/>
      </w:r>
      <w:r>
        <w:rPr>
          <w:rFonts w:ascii="Arial" w:cs="Arial" w:eastAsia="Arial" w:hAnsi="Arial"/>
          <w:sz w:val="18"/>
          <w:szCs w:val="18"/>
          <w:b w:val="1"/>
          <w:bCs w:val="1"/>
          <w:color w:val="auto"/>
        </w:rPr>
        <w:t>Legal costs</w:t>
      </w:r>
    </w:p>
    <w:p>
      <w:pPr>
        <w:spacing w:after="0" w:line="46" w:lineRule="exact"/>
        <w:rPr>
          <w:sz w:val="20"/>
          <w:szCs w:val="20"/>
          <w:color w:val="auto"/>
        </w:rPr>
      </w:pPr>
    </w:p>
    <w:p>
      <w:pPr>
        <w:ind w:left="2580" w:right="1360" w:hanging="1446"/>
        <w:spacing w:after="0" w:line="232" w:lineRule="auto"/>
        <w:tabs>
          <w:tab w:leader="none" w:pos="2411"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Borrower must pay, and if paid by the Bank reimburse the Bank, the cost of stamping and registering this deed and the reasonable legal and other costs and expenses of the Bank in relation to:</w:t>
      </w:r>
    </w:p>
    <w:p>
      <w:pPr>
        <w:spacing w:after="0" w:line="36" w:lineRule="exact"/>
        <w:rPr>
          <w:rFonts w:ascii="Arial" w:cs="Arial" w:eastAsia="Arial" w:hAnsi="Arial"/>
          <w:sz w:val="22"/>
          <w:szCs w:val="22"/>
          <w:color w:val="auto"/>
        </w:rPr>
      </w:pPr>
    </w:p>
    <w:p>
      <w:pPr>
        <w:ind w:left="3340" w:hanging="1126"/>
        <w:spacing w:after="0"/>
        <w:tabs>
          <w:tab w:leader="none" w:pos="334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negotiation, preparation and execution of this deed;</w:t>
      </w:r>
    </w:p>
    <w:p>
      <w:pPr>
        <w:spacing w:after="0" w:line="7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and</w:t>
      </w:r>
    </w:p>
    <w:p>
      <w:pPr>
        <w:spacing w:after="0" w:line="84" w:lineRule="exact"/>
        <w:rPr>
          <w:sz w:val="20"/>
          <w:szCs w:val="20"/>
          <w:color w:val="auto"/>
        </w:rPr>
      </w:pPr>
    </w:p>
    <w:p>
      <w:pPr>
        <w:ind w:left="2940" w:right="1360" w:hanging="719"/>
        <w:spacing w:after="0" w:line="293" w:lineRule="auto"/>
        <w:tabs>
          <w:tab w:leader="none" w:pos="2920" w:val="left"/>
        </w:tabs>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w:t>
      </w:r>
      <w:r>
        <w:rPr>
          <w:sz w:val="20"/>
          <w:szCs w:val="20"/>
          <w:color w:val="auto"/>
        </w:rPr>
        <w:tab/>
      </w:r>
      <w:r>
        <w:rPr>
          <w:rFonts w:ascii="Arial" w:cs="Arial" w:eastAsia="Arial" w:hAnsi="Arial"/>
          <w:sz w:val="22"/>
          <w:szCs w:val="22"/>
          <w:color w:val="auto"/>
        </w:rPr>
        <w:t>the performance of the Bank’s obligations under this deed.</w:t>
      </w:r>
    </w:p>
    <w:p>
      <w:pPr>
        <w:spacing w:after="0" w:line="1" w:lineRule="exact"/>
        <w:rPr>
          <w:sz w:val="20"/>
          <w:szCs w:val="20"/>
          <w:color w:val="auto"/>
        </w:rPr>
      </w:pPr>
    </w:p>
    <w:p>
      <w:pPr>
        <w:ind w:left="2580" w:right="1360" w:hanging="1446"/>
        <w:spacing w:after="0" w:line="245" w:lineRule="auto"/>
        <w:tabs>
          <w:tab w:leader="none" w:pos="2424" w:val="left"/>
        </w:tabs>
        <w:numPr>
          <w:ilvl w:val="0"/>
          <w:numId w:val="88"/>
        </w:numPr>
        <w:rPr>
          <w:rFonts w:ascii="Arial" w:cs="Arial" w:eastAsia="Arial" w:hAnsi="Arial"/>
          <w:sz w:val="21"/>
          <w:szCs w:val="21"/>
          <w:color w:val="auto"/>
        </w:rPr>
      </w:pPr>
      <w:r>
        <w:rPr>
          <w:rFonts w:ascii="Arial" w:cs="Arial" w:eastAsia="Arial" w:hAnsi="Arial"/>
          <w:sz w:val="21"/>
          <w:szCs w:val="21"/>
          <w:color w:val="auto"/>
        </w:rPr>
        <w:t>Except as expressly stated otherwise in this deed, each party must pay its own legal and other costs and expenses of performing its obligations under this deed.</w:t>
      </w:r>
    </w:p>
    <w:p>
      <w:pPr>
        <w:sectPr>
          <w:pgSz w:w="11900" w:h="16838" w:orient="portrait"/>
          <w:cols w:equalWidth="0" w:num="1">
            <w:col w:w="9260"/>
          </w:cols>
          <w:pgMar w:left="1440" w:top="1135" w:right="1206"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24 / 39</w:t>
      </w:r>
    </w:p>
    <w:p>
      <w:pPr>
        <w:sectPr>
          <w:pgSz w:w="11900" w:h="16838" w:orient="portrait"/>
          <w:cols w:equalWidth="0" w:num="1">
            <w:col w:w="9260"/>
          </w:cols>
          <w:pgMar w:left="1440" w:top="1135" w:right="1206" w:bottom="0" w:gutter="0" w:footer="0" w:header="0"/>
          <w:type w:val="continuous"/>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1634490</wp:posOffset>
            </wp:positionH>
            <wp:positionV relativeFrom="page">
              <wp:posOffset>872490</wp:posOffset>
            </wp:positionV>
            <wp:extent cx="429133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39</w:t>
      </w:r>
    </w:p>
    <w:p>
      <w:pPr>
        <w:sectPr>
          <w:pgSz w:w="11900" w:h="16838" w:orient="portrait"/>
          <w:cols w:equalWidth="0" w:num="1">
            <w:col w:w="9026"/>
          </w:cols>
          <w:pgMar w:left="1440" w:top="1440" w:right="1440" w:bottom="0" w:gutter="0" w:footer="0" w:header="0"/>
        </w:sectPr>
      </w:pPr>
    </w:p>
    <w:bookmarkStart w:id="168" w:name="page169"/>
    <w:bookmarkEnd w:id="168"/>
    <w:p>
      <w:pPr>
        <w:spacing w:after="0" w:line="102" w:lineRule="exact"/>
        <w:rPr>
          <w:sz w:val="20"/>
          <w:szCs w:val="20"/>
          <w:color w:val="auto"/>
        </w:rPr>
      </w:pPr>
    </w:p>
    <w:p>
      <w:pPr>
        <w:ind w:left="1140"/>
        <w:spacing w:after="0"/>
        <w:rPr>
          <w:sz w:val="20"/>
          <w:szCs w:val="20"/>
          <w:color w:val="auto"/>
        </w:rPr>
      </w:pPr>
      <w:r>
        <w:rPr>
          <w:rFonts w:ascii="Arial" w:cs="Arial" w:eastAsia="Arial" w:hAnsi="Arial"/>
          <w:sz w:val="35"/>
          <w:szCs w:val="35"/>
          <w:color w:val="auto"/>
        </w:rPr>
        <w:t>Schedule</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333375</wp:posOffset>
            </wp:positionV>
            <wp:extent cx="429133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39</w:t>
      </w:r>
    </w:p>
    <w:p>
      <w:pPr>
        <w:sectPr>
          <w:pgSz w:w="11900" w:h="16838" w:orient="portrait"/>
          <w:cols w:equalWidth="0" w:num="1">
            <w:col w:w="9026"/>
          </w:cols>
          <w:pgMar w:left="1440" w:top="1440" w:right="1440" w:bottom="0" w:gutter="0" w:footer="0" w:header="0"/>
          <w:type w:val="continuous"/>
        </w:sectPr>
      </w:pPr>
    </w:p>
    <w:bookmarkStart w:id="169" w:name="page170"/>
    <w:bookmarkEnd w:id="169"/>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Corrs Chambers Westgarth</w:t>
            </w:r>
          </w:p>
        </w:tc>
        <w:tc>
          <w:tcPr>
            <w:tcW w:w="0" w:type="dxa"/>
            <w:vAlign w:val="bottom"/>
          </w:tcPr>
          <w:p>
            <w:pPr>
              <w:spacing w:after="0"/>
              <w:rPr>
                <w:sz w:val="1"/>
                <w:szCs w:val="1"/>
                <w:color w:val="auto"/>
              </w:rPr>
            </w:pPr>
          </w:p>
        </w:tc>
      </w:tr>
      <w:tr>
        <w:trPr>
          <w:trHeight w:val="578"/>
        </w:trPr>
        <w:tc>
          <w:tcPr>
            <w:tcW w:w="3800" w:type="dxa"/>
            <w:vAlign w:val="bottom"/>
          </w:tcPr>
          <w:p>
            <w:pPr>
              <w:spacing w:after="0"/>
              <w:rPr>
                <w:sz w:val="20"/>
                <w:szCs w:val="20"/>
                <w:color w:val="auto"/>
              </w:rPr>
            </w:pPr>
            <w:r>
              <w:rPr>
                <w:rFonts w:ascii="Arial" w:cs="Arial" w:eastAsia="Arial" w:hAnsi="Arial"/>
                <w:sz w:val="40"/>
                <w:szCs w:val="40"/>
                <w:b w:val="1"/>
                <w:bCs w:val="1"/>
                <w:color w:val="auto"/>
              </w:rPr>
              <w:t>Execution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4"/>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as a deed</w:t>
            </w:r>
          </w:p>
        </w:tc>
        <w:tc>
          <w:tcPr>
            <w:tcW w:w="2960" w:type="dxa"/>
            <w:vAlign w:val="bottom"/>
          </w:tcPr>
          <w:p>
            <w:pPr>
              <w:jc w:val="right"/>
              <w:ind w:right="851"/>
              <w:spacing w:after="0"/>
              <w:rPr>
                <w:sz w:val="20"/>
                <w:szCs w:val="20"/>
                <w:color w:val="auto"/>
              </w:rPr>
            </w:pPr>
            <w:r>
              <w:rPr>
                <w:rFonts w:ascii="Arial" w:cs="Arial" w:eastAsia="Arial" w:hAnsi="Arial"/>
                <w:sz w:val="22"/>
                <w:szCs w:val="22"/>
                <w:b w:val="1"/>
                <w:bCs w:val="1"/>
                <w:color w:val="auto"/>
                <w:w w:val="98"/>
              </w:rPr>
              <w:t xml:space="preserve">Executed </w:t>
            </w:r>
            <w:r>
              <w:rPr>
                <w:rFonts w:ascii="Arial" w:cs="Arial" w:eastAsia="Arial" w:hAnsi="Arial"/>
                <w:sz w:val="22"/>
                <w:szCs w:val="22"/>
                <w:color w:val="auto"/>
                <w:w w:val="98"/>
              </w:rPr>
              <w:t>as a deed</w:t>
            </w:r>
          </w:p>
        </w:tc>
        <w:tc>
          <w:tcPr>
            <w:tcW w:w="0" w:type="dxa"/>
            <w:vAlign w:val="bottom"/>
          </w:tcPr>
          <w:p>
            <w:pPr>
              <w:spacing w:after="0"/>
              <w:rPr>
                <w:sz w:val="1"/>
                <w:szCs w:val="1"/>
                <w:color w:val="auto"/>
              </w:rPr>
            </w:pPr>
          </w:p>
        </w:tc>
      </w:tr>
      <w:tr>
        <w:trPr>
          <w:trHeight w:val="345"/>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by</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w w:val="95"/>
              </w:rPr>
              <w:t>Reading Entertainment Australia Pty</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 xml:space="preserve">Ltd </w:t>
            </w:r>
            <w:r>
              <w:rPr>
                <w:rFonts w:ascii="Arial" w:cs="Arial" w:eastAsia="Arial" w:hAnsi="Arial"/>
                <w:sz w:val="22"/>
                <w:szCs w:val="22"/>
                <w:color w:val="auto"/>
              </w:rPr>
              <w:t>CAN 070 893 908</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Australia Country Cinemas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076 276 349</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w w:val="93"/>
              </w:rPr>
              <w:t>Reading Cinemas Asset Management</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 xml:space="preserve">Pty Ltd </w:t>
            </w:r>
            <w:r>
              <w:rPr>
                <w:rFonts w:ascii="Arial" w:cs="Arial" w:eastAsia="Arial" w:hAnsi="Arial"/>
                <w:sz w:val="22"/>
                <w:szCs w:val="22"/>
                <w:color w:val="auto"/>
              </w:rPr>
              <w:t>CAN 122 571 420</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Burwood Developments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105 384 905</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Epping Cinemas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073 997 172</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Hotel Newmarket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094 367 969</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Newmarket Properties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105 386 409</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w w:val="98"/>
              </w:rPr>
              <w:t>Newmarket Properties No. 2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109 038 806</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Newmarket Properties #3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126 697 505</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Armadale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107 939 211</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Belmont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126 697 498</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Bundaberg 2012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122 406 320</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Charlestown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123 938 483</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Cinemas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073 808 643</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45"/>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Cinemas Management Pty</w:t>
            </w:r>
          </w:p>
        </w:tc>
        <w:tc>
          <w:tcPr>
            <w:tcW w:w="2960" w:type="dxa"/>
            <w:vAlign w:val="bottom"/>
            <w:vMerge w:val="restart"/>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5"/>
        </w:trPr>
        <w:tc>
          <w:tcPr>
            <w:tcW w:w="380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Ltd</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0" w:type="dxa"/>
            <w:vAlign w:val="bottom"/>
            <w:vMerge w:val="continue"/>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800" w:type="dxa"/>
            <w:vAlign w:val="bottom"/>
          </w:tcPr>
          <w:p>
            <w:pPr>
              <w:ind w:left="120"/>
              <w:spacing w:after="0"/>
              <w:rPr>
                <w:sz w:val="20"/>
                <w:szCs w:val="20"/>
                <w:color w:val="auto"/>
              </w:rPr>
            </w:pPr>
            <w:r>
              <w:rPr>
                <w:rFonts w:ascii="Arial" w:cs="Arial" w:eastAsia="Arial" w:hAnsi="Arial"/>
                <w:sz w:val="22"/>
                <w:szCs w:val="22"/>
                <w:color w:val="auto"/>
              </w:rPr>
              <w:t>ACN 122 406 311</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State Cinema Hobart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color w:val="auto"/>
              </w:rPr>
              <w:t>CAN 108 861 061</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60"/>
        </w:trPr>
        <w:tc>
          <w:tcPr>
            <w:tcW w:w="3800" w:type="dxa"/>
            <w:vAlign w:val="bottom"/>
          </w:tcPr>
          <w:p>
            <w:pPr>
              <w:ind w:left="120"/>
              <w:spacing w:after="0"/>
              <w:rPr>
                <w:sz w:val="20"/>
                <w:szCs w:val="20"/>
                <w:color w:val="auto"/>
              </w:rPr>
            </w:pPr>
            <w:r>
              <w:rPr>
                <w:rFonts w:ascii="Arial" w:cs="Arial" w:eastAsia="Arial" w:hAnsi="Arial"/>
                <w:sz w:val="22"/>
                <w:szCs w:val="22"/>
                <w:b w:val="1"/>
                <w:bCs w:val="1"/>
                <w:color w:val="auto"/>
              </w:rPr>
              <w:t>Reading Dandenong Pty Ltd</w:t>
            </w:r>
          </w:p>
        </w:tc>
        <w:tc>
          <w:tcPr>
            <w:tcW w:w="2960" w:type="dxa"/>
            <w:vAlign w:val="bottom"/>
          </w:tcPr>
          <w:p>
            <w:pPr>
              <w:jc w:val="right"/>
              <w:ind w:right="2611"/>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6"/>
          </w:cols>
          <w:pgMar w:left="1440" w:top="1440" w:right="1440" w:bottom="0" w:gutter="0" w:footer="0" w:header="0"/>
        </w:sect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39</w:t>
      </w:r>
    </w:p>
    <w:p>
      <w:pPr>
        <w:sectPr>
          <w:pgSz w:w="11900" w:h="16838" w:orient="portrait"/>
          <w:cols w:equalWidth="0" w:num="1">
            <w:col w:w="9026"/>
          </w:cols>
          <w:pgMar w:left="1440" w:top="1440" w:right="1440" w:bottom="0" w:gutter="0" w:footer="0" w:header="0"/>
          <w:type w:val="continuous"/>
        </w:sectPr>
      </w:pPr>
    </w:p>
    <w:bookmarkStart w:id="170" w:name="page171"/>
    <w:bookmarkEnd w:id="170"/>
    <w:p>
      <w:pPr>
        <w:ind w:left="1260"/>
        <w:spacing w:after="0"/>
        <w:tabs>
          <w:tab w:leader="none" w:pos="5080" w:val="left"/>
        </w:tabs>
        <w:rPr>
          <w:sz w:val="20"/>
          <w:szCs w:val="20"/>
          <w:color w:val="auto"/>
        </w:rPr>
      </w:pPr>
      <w:r>
        <w:rPr>
          <w:rFonts w:ascii="Arial" w:cs="Arial" w:eastAsia="Arial" w:hAnsi="Arial"/>
          <w:sz w:val="22"/>
          <w:szCs w:val="22"/>
          <w:color w:val="auto"/>
        </w:rPr>
        <w:t>ACN 129 018 739</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/s/ Ellen Cotter</w:t>
      </w:r>
      <w:r>
        <w:rPr>
          <w:sz w:val="20"/>
          <w:szCs w:val="20"/>
          <w:color w:val="auto"/>
        </w:rPr>
        <w:tab/>
      </w:r>
      <w:r>
        <w:rPr>
          <w:rFonts w:ascii="Arial" w:cs="Arial" w:eastAsia="Arial" w:hAnsi="Arial"/>
          <w:sz w:val="18"/>
          <w:szCs w:val="18"/>
          <w:color w:val="auto"/>
        </w:rPr>
        <w:t>/s/ Wayne Douglas Smith</w:t>
      </w:r>
    </w:p>
    <w:p>
      <w:pPr>
        <w:spacing w:after="0" w:line="1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Ellen Cotter</w:t>
      </w:r>
      <w:r>
        <w:rPr>
          <w:sz w:val="20"/>
          <w:szCs w:val="20"/>
          <w:color w:val="auto"/>
        </w:rPr>
        <w:tab/>
      </w:r>
      <w:r>
        <w:rPr>
          <w:rFonts w:ascii="Arial" w:cs="Arial" w:eastAsia="Arial" w:hAnsi="Arial"/>
          <w:sz w:val="18"/>
          <w:szCs w:val="18"/>
          <w:color w:val="auto"/>
        </w:rPr>
        <w:t>Wayne Douglas Smith</w:t>
      </w:r>
    </w:p>
    <w:p>
      <w:pPr>
        <w:spacing w:after="0" w:line="2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Director/Company Secretary</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0260"/>
          </w:cols>
          <w:pgMar w:left="1440" w:top="1181" w:right="206"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sz w:val="1"/>
          <w:szCs w:val="1"/>
          <w:color w:val="auto"/>
        </w:rPr>
        <w:drawing>
          <wp:inline distT="0" distB="0" distL="0" distR="0">
            <wp:extent cx="170815" cy="12827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ind w:left="1260"/>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810895</wp:posOffset>
            </wp:positionV>
            <wp:extent cx="429133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170815"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0" w:lineRule="exact"/>
        <w:rPr>
          <w:sz w:val="20"/>
          <w:szCs w:val="20"/>
          <w:color w:val="auto"/>
        </w:rPr>
      </w:pPr>
    </w:p>
    <w:p>
      <w:pPr>
        <w:sectPr>
          <w:pgSz w:w="11900" w:h="16838" w:orient="portrait"/>
          <w:cols w:equalWidth="0" w:num="2">
            <w:col w:w="5680" w:space="260"/>
            <w:col w:w="4320"/>
          </w:cols>
          <w:pgMar w:left="1440" w:top="1181" w:right="2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39</w:t>
      </w:r>
    </w:p>
    <w:p>
      <w:pPr>
        <w:sectPr>
          <w:pgSz w:w="11900" w:h="16838" w:orient="portrait"/>
          <w:cols w:equalWidth="0" w:num="1">
            <w:col w:w="10260"/>
          </w:cols>
          <w:pgMar w:left="1440" w:top="1181" w:right="206" w:bottom="0" w:gutter="0" w:footer="0" w:header="0"/>
          <w:type w:val="continuous"/>
        </w:sectPr>
      </w:pPr>
    </w:p>
    <w:bookmarkStart w:id="171" w:name="page172"/>
    <w:bookmarkEnd w:id="171"/>
    <w:p>
      <w:pPr>
        <w:spacing w:after="0" w:line="86" w:lineRule="exact"/>
        <w:rPr>
          <w:sz w:val="20"/>
          <w:szCs w:val="20"/>
          <w:color w:val="auto"/>
        </w:rPr>
      </w:pPr>
    </w:p>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3600" w:type="dxa"/>
            <w:vAlign w:val="bottom"/>
          </w:tcPr>
          <w:p>
            <w:pPr>
              <w:spacing w:after="0"/>
              <w:rPr>
                <w:sz w:val="20"/>
                <w:szCs w:val="20"/>
                <w:color w:val="auto"/>
              </w:rPr>
            </w:pPr>
            <w:r>
              <w:rPr>
                <w:rFonts w:ascii="Arial" w:cs="Arial" w:eastAsia="Arial" w:hAnsi="Arial"/>
                <w:sz w:val="22"/>
                <w:szCs w:val="22"/>
                <w:b w:val="1"/>
                <w:bCs w:val="1"/>
                <w:color w:val="auto"/>
              </w:rPr>
              <w:t>Executed by</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Elizabeth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114 582 099</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Exhibition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103 529 782</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Licences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089 544 605</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Maitland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126 697 461</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Melton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109 074 517</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Properties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071 195 429</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w w:val="92"/>
              </w:rPr>
              <w:t>Reading Properties Indooroopilly Pty</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 xml:space="preserve">Ltd </w:t>
            </w:r>
            <w:r>
              <w:rPr>
                <w:rFonts w:ascii="Arial" w:cs="Arial" w:eastAsia="Arial" w:hAnsi="Arial"/>
                <w:sz w:val="22"/>
                <w:szCs w:val="22"/>
                <w:color w:val="auto"/>
              </w:rPr>
              <w:t>ACN 121 284 884</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Noosa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128 819 483</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w w:val="98"/>
              </w:rPr>
              <w:t>Reading Property Holdings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126 289 772</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Rouse Hill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123 245 885</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Sunbury Pty Limited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109 074 571</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740" w:type="dxa"/>
            <w:vAlign w:val="bottom"/>
            <w:gridSpan w:val="2"/>
          </w:tcPr>
          <w:p>
            <w:pPr>
              <w:spacing w:after="0"/>
              <w:rPr>
                <w:sz w:val="20"/>
                <w:szCs w:val="20"/>
                <w:color w:val="auto"/>
              </w:rPr>
            </w:pPr>
            <w:r>
              <w:rPr>
                <w:rFonts w:ascii="Arial" w:cs="Arial" w:eastAsia="Arial" w:hAnsi="Arial"/>
                <w:sz w:val="22"/>
                <w:szCs w:val="22"/>
                <w:b w:val="1"/>
                <w:bCs w:val="1"/>
                <w:color w:val="auto"/>
                <w:w w:val="91"/>
              </w:rPr>
              <w:t>Rhodes Peninsula Cinema Pty Limited)</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120 827 812</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Westlakes Cinema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108 531 308</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Busselton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143 633 096</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Cannon Park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609 837 569</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Angelika Anywhere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642 993 593</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Jindalee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629 483 914</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b w:val="1"/>
                <w:bCs w:val="1"/>
                <w:color w:val="auto"/>
              </w:rPr>
              <w:t>Reading Devonport Pty Ltd</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360"/>
        </w:trPr>
        <w:tc>
          <w:tcPr>
            <w:tcW w:w="3600" w:type="dxa"/>
            <w:vAlign w:val="bottom"/>
          </w:tcPr>
          <w:p>
            <w:pPr>
              <w:spacing w:after="0"/>
              <w:rPr>
                <w:sz w:val="20"/>
                <w:szCs w:val="20"/>
                <w:color w:val="auto"/>
              </w:rPr>
            </w:pPr>
            <w:r>
              <w:rPr>
                <w:rFonts w:ascii="Arial" w:cs="Arial" w:eastAsia="Arial" w:hAnsi="Arial"/>
                <w:sz w:val="22"/>
                <w:szCs w:val="22"/>
                <w:color w:val="auto"/>
              </w:rPr>
              <w:t>ACN 629 484 126</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bl>
    <w:p>
      <w:pPr>
        <w:spacing w:after="0" w:line="200" w:lineRule="exact"/>
        <w:rPr>
          <w:sz w:val="20"/>
          <w:szCs w:val="20"/>
          <w:color w:val="auto"/>
        </w:rPr>
      </w:pP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39</w:t>
      </w:r>
    </w:p>
    <w:p>
      <w:pPr>
        <w:sectPr>
          <w:pgSz w:w="11900" w:h="16838" w:orient="portrait"/>
          <w:cols w:equalWidth="0" w:num="1">
            <w:col w:w="9026"/>
          </w:cols>
          <w:pgMar w:left="1440" w:top="1440" w:right="1440" w:bottom="0" w:gutter="0" w:footer="0" w:header="0"/>
          <w:type w:val="continuous"/>
        </w:sectPr>
      </w:pPr>
    </w:p>
    <w:bookmarkStart w:id="172" w:name="page173"/>
    <w:bookmarkEnd w:id="172"/>
    <w:p>
      <w:pPr>
        <w:spacing w:after="0" w:line="43"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/s/ Ellen Cotter</w:t>
      </w:r>
      <w:r>
        <w:rPr>
          <w:sz w:val="20"/>
          <w:szCs w:val="20"/>
          <w:color w:val="auto"/>
        </w:rPr>
        <w:tab/>
      </w:r>
      <w:r>
        <w:rPr>
          <w:rFonts w:ascii="Arial" w:cs="Arial" w:eastAsia="Arial" w:hAnsi="Arial"/>
          <w:sz w:val="18"/>
          <w:szCs w:val="18"/>
          <w:color w:val="auto"/>
        </w:rPr>
        <w:t>/s/ Wayne Douglas Smith</w:t>
      </w:r>
    </w:p>
    <w:p>
      <w:pPr>
        <w:spacing w:after="0" w:line="1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Ellen Cotter</w:t>
      </w:r>
      <w:r>
        <w:rPr>
          <w:sz w:val="20"/>
          <w:szCs w:val="20"/>
          <w:color w:val="auto"/>
        </w:rPr>
        <w:tab/>
      </w:r>
      <w:r>
        <w:rPr>
          <w:rFonts w:ascii="Arial" w:cs="Arial" w:eastAsia="Arial" w:hAnsi="Arial"/>
          <w:sz w:val="18"/>
          <w:szCs w:val="18"/>
          <w:color w:val="auto"/>
        </w:rPr>
        <w:t>Wayne Douglas Smith</w:t>
      </w:r>
    </w:p>
    <w:p>
      <w:pPr>
        <w:spacing w:after="0" w:line="2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Director/Company Secretary</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0260"/>
          </w:cols>
          <w:pgMar w:left="1440" w:top="1440" w:right="206"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sz w:val="1"/>
          <w:szCs w:val="1"/>
          <w:color w:val="auto"/>
        </w:rPr>
        <w:drawing>
          <wp:inline distT="0" distB="0" distL="0" distR="0">
            <wp:extent cx="170815" cy="1282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ind w:left="1260"/>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810895</wp:posOffset>
            </wp:positionV>
            <wp:extent cx="429133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170815" cy="12827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0" w:lineRule="exact"/>
        <w:rPr>
          <w:sz w:val="20"/>
          <w:szCs w:val="20"/>
          <w:color w:val="auto"/>
        </w:rPr>
      </w:pPr>
    </w:p>
    <w:p>
      <w:pPr>
        <w:sectPr>
          <w:pgSz w:w="11900" w:h="16838" w:orient="portrait"/>
          <w:cols w:equalWidth="0" w:num="2">
            <w:col w:w="5680" w:space="260"/>
            <w:col w:w="4320"/>
          </w:cols>
          <w:pgMar w:left="1440" w:top="1440" w:right="2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39</w:t>
      </w:r>
    </w:p>
    <w:p>
      <w:pPr>
        <w:sectPr>
          <w:pgSz w:w="11900" w:h="16838" w:orient="portrait"/>
          <w:cols w:equalWidth="0" w:num="1">
            <w:col w:w="10260"/>
          </w:cols>
          <w:pgMar w:left="1440" w:top="1440" w:right="206" w:bottom="0" w:gutter="0" w:footer="0" w:header="0"/>
          <w:type w:val="continuous"/>
        </w:sectPr>
      </w:pPr>
    </w:p>
    <w:bookmarkStart w:id="173" w:name="page174"/>
    <w:bookmarkEnd w:id="173"/>
    <w:p>
      <w:pPr>
        <w:spacing w:after="0" w:line="48"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Corrs Chambers Westgarth</w:t>
      </w:r>
    </w:p>
    <w:p>
      <w:pPr>
        <w:spacing w:after="0" w:line="97"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color w:val="auto"/>
        </w:rPr>
        <w:t>)</w:t>
      </w:r>
    </w:p>
    <w:p>
      <w:pPr>
        <w:spacing w:after="0" w:line="100"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Altona Pty Ltd</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634 384 311</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South City Square Pty Ltd</w:t>
      </w:r>
      <w:r>
        <w:rPr>
          <w:sz w:val="20"/>
          <w:szCs w:val="20"/>
          <w:color w:val="auto"/>
        </w:rPr>
        <w:tab/>
      </w:r>
      <w:r>
        <w:rPr>
          <w:rFonts w:ascii="Arial" w:cs="Arial" w:eastAsia="Arial" w:hAnsi="Arial"/>
          <w:sz w:val="20"/>
          <w:szCs w:val="20"/>
          <w:b w:val="1"/>
          <w:bCs w:val="1"/>
          <w:color w:val="auto"/>
        </w:rPr>
        <w:t>)</w:t>
      </w:r>
    </w:p>
    <w:p>
      <w:pPr>
        <w:spacing w:after="0" w:line="132"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616 892 936</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Traralgon Pty Ltd</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618 457 202</w:t>
      </w:r>
      <w:r>
        <w:rPr>
          <w:sz w:val="20"/>
          <w:szCs w:val="20"/>
          <w:color w:val="auto"/>
        </w:rPr>
        <w:tab/>
      </w:r>
      <w:r>
        <w:rPr>
          <w:rFonts w:ascii="Arial" w:cs="Arial" w:eastAsia="Arial" w:hAnsi="Arial"/>
          <w:sz w:val="20"/>
          <w:szCs w:val="20"/>
          <w:b w:val="1"/>
          <w:bCs w:val="1"/>
          <w:color w:val="auto"/>
        </w:rPr>
        <w:t>)</w:t>
      </w:r>
    </w:p>
    <w:p>
      <w:pPr>
        <w:spacing w:after="0" w:line="132"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Burwood Pty Ltd</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619 050 396</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Cinemas Auburn Pty Ltd</w:t>
      </w:r>
      <w:r>
        <w:rPr>
          <w:sz w:val="20"/>
          <w:szCs w:val="20"/>
          <w:color w:val="auto"/>
        </w:rPr>
        <w:tab/>
      </w:r>
      <w:r>
        <w:rPr>
          <w:rFonts w:ascii="Arial" w:cs="Arial" w:eastAsia="Arial" w:hAnsi="Arial"/>
          <w:sz w:val="20"/>
          <w:szCs w:val="20"/>
          <w:b w:val="1"/>
          <w:bCs w:val="1"/>
          <w:color w:val="auto"/>
        </w:rPr>
        <w:t>)</w:t>
      </w:r>
    </w:p>
    <w:p>
      <w:pPr>
        <w:spacing w:after="0" w:line="133"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633 008 401</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b w:val="1"/>
          <w:bCs w:val="1"/>
          <w:color w:val="auto"/>
        </w:rPr>
        <w:t>Reading Auburn Pty Ltd</w:t>
      </w:r>
      <w:r>
        <w:rPr>
          <w:sz w:val="20"/>
          <w:szCs w:val="20"/>
          <w:color w:val="auto"/>
        </w:rPr>
        <w:tab/>
      </w:r>
      <w:r>
        <w:rPr>
          <w:rFonts w:ascii="Arial" w:cs="Arial" w:eastAsia="Arial" w:hAnsi="Arial"/>
          <w:sz w:val="20"/>
          <w:szCs w:val="20"/>
          <w:b w:val="1"/>
          <w:bCs w:val="1"/>
          <w:color w:val="auto"/>
        </w:rPr>
        <w:t>)</w:t>
      </w:r>
    </w:p>
    <w:p>
      <w:pPr>
        <w:spacing w:after="0" w:line="129" w:lineRule="exact"/>
        <w:rPr>
          <w:sz w:val="20"/>
          <w:szCs w:val="20"/>
          <w:color w:val="auto"/>
        </w:rPr>
      </w:pPr>
    </w:p>
    <w:p>
      <w:pPr>
        <w:ind w:left="1260"/>
        <w:spacing w:after="0"/>
        <w:tabs>
          <w:tab w:leader="none" w:pos="4720" w:val="left"/>
        </w:tabs>
        <w:rPr>
          <w:sz w:val="20"/>
          <w:szCs w:val="20"/>
          <w:color w:val="auto"/>
        </w:rPr>
      </w:pPr>
      <w:r>
        <w:rPr>
          <w:rFonts w:ascii="Arial" w:cs="Arial" w:eastAsia="Arial" w:hAnsi="Arial"/>
          <w:sz w:val="20"/>
          <w:szCs w:val="20"/>
          <w:color w:val="auto"/>
        </w:rPr>
        <w:t>ACN 126 697 470</w:t>
      </w:r>
      <w:r>
        <w:rPr>
          <w:sz w:val="20"/>
          <w:szCs w:val="20"/>
          <w:color w:val="auto"/>
        </w:rPr>
        <w:tab/>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/s/ Ellen Cotter</w:t>
      </w:r>
      <w:r>
        <w:rPr>
          <w:sz w:val="20"/>
          <w:szCs w:val="20"/>
          <w:color w:val="auto"/>
        </w:rPr>
        <w:tab/>
      </w:r>
      <w:r>
        <w:rPr>
          <w:rFonts w:ascii="Arial" w:cs="Arial" w:eastAsia="Arial" w:hAnsi="Arial"/>
          <w:sz w:val="18"/>
          <w:szCs w:val="18"/>
          <w:color w:val="auto"/>
        </w:rPr>
        <w:t>/s/ Wayne Douglas Smith</w:t>
      </w:r>
    </w:p>
    <w:p>
      <w:pPr>
        <w:spacing w:after="0" w:line="1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Ellen Cotter</w:t>
      </w:r>
      <w:r>
        <w:rPr>
          <w:sz w:val="20"/>
          <w:szCs w:val="20"/>
          <w:color w:val="auto"/>
        </w:rPr>
        <w:tab/>
      </w:r>
      <w:r>
        <w:rPr>
          <w:rFonts w:ascii="Arial" w:cs="Arial" w:eastAsia="Arial" w:hAnsi="Arial"/>
          <w:sz w:val="18"/>
          <w:szCs w:val="18"/>
          <w:color w:val="auto"/>
        </w:rPr>
        <w:t>Wayne Douglas Smith</w:t>
      </w:r>
    </w:p>
    <w:p>
      <w:pPr>
        <w:spacing w:after="0" w:line="2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Director/Company Secretary</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0260"/>
          </w:cols>
          <w:pgMar w:left="1440" w:top="1440" w:right="206"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sz w:val="1"/>
          <w:szCs w:val="1"/>
          <w:color w:val="auto"/>
        </w:rPr>
        <w:drawing>
          <wp:inline distT="0" distB="0" distL="0" distR="0">
            <wp:extent cx="170815" cy="12827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ind w:left="1260"/>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810895</wp:posOffset>
            </wp:positionV>
            <wp:extent cx="429133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170815" cy="1282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170815" cy="128270"/>
                    </a:xfrm>
                    <a:prstGeom prst="rect">
                      <a:avLst/>
                    </a:prstGeom>
                    <a:noFill/>
                    <a:ln>
                      <a:noFill/>
                    </a:ln>
                  </pic:spPr>
                </pic:pic>
              </a:graphicData>
            </a:graphic>
          </wp:inline>
        </w:drawing>
      </w:r>
      <w:r>
        <w:rPr>
          <w:rFonts w:ascii="Arial" w:cs="Arial" w:eastAsia="Arial" w:hAnsi="Arial"/>
          <w:sz w:val="18"/>
          <w:szCs w:val="18"/>
          <w:b w:val="1"/>
          <w:bCs w:val="1"/>
          <w:i w:val="1"/>
          <w:iCs w:val="1"/>
          <w:color w:val="auto"/>
        </w:rPr>
        <w:t>X Tick if signatory signing electronically.</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section 110A(2) of the Corporations Act 2001 (Cth).</w:t>
      </w:r>
    </w:p>
    <w:p>
      <w:pPr>
        <w:spacing w:after="0" w:line="200" w:lineRule="exact"/>
        <w:rPr>
          <w:sz w:val="20"/>
          <w:szCs w:val="20"/>
          <w:color w:val="auto"/>
        </w:rPr>
      </w:pPr>
    </w:p>
    <w:p>
      <w:pPr>
        <w:sectPr>
          <w:pgSz w:w="11900" w:h="16838" w:orient="portrait"/>
          <w:cols w:equalWidth="0" w:num="2">
            <w:col w:w="5680" w:space="260"/>
            <w:col w:w="4320"/>
          </w:cols>
          <w:pgMar w:left="1440" w:top="1440" w:right="2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39</w:t>
      </w:r>
    </w:p>
    <w:p>
      <w:pPr>
        <w:sectPr>
          <w:pgSz w:w="11900" w:h="16838" w:orient="portrait"/>
          <w:cols w:equalWidth="0" w:num="1">
            <w:col w:w="10260"/>
          </w:cols>
          <w:pgMar w:left="1440" w:top="1440" w:right="206" w:bottom="0" w:gutter="0" w:footer="0" w:header="0"/>
          <w:type w:val="continuous"/>
        </w:sectPr>
      </w:pPr>
    </w:p>
    <w:bookmarkStart w:id="174" w:name="page175"/>
    <w:bookmarkEnd w:id="174"/>
    <w:p>
      <w:pPr>
        <w:spacing w:after="0" w:line="8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47"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by</w:t>
      </w:r>
      <w:r>
        <w:rPr>
          <w:rFonts w:ascii="Arial" w:cs="Arial" w:eastAsia="Arial" w:hAnsi="Arial"/>
          <w:sz w:val="22"/>
          <w:szCs w:val="22"/>
          <w:b w:val="1"/>
          <w:bCs w:val="1"/>
          <w:color w:val="auto"/>
        </w:rPr>
        <w:t xml:space="preserve"> National Australia Bank</w:t>
      </w:r>
      <w:r>
        <w:rPr>
          <w:sz w:val="20"/>
          <w:szCs w:val="20"/>
          <w:color w:val="auto"/>
        </w:rPr>
        <w:tab/>
      </w:r>
      <w:r>
        <w:rPr>
          <w:rFonts w:ascii="Arial" w:cs="Arial" w:eastAsia="Arial" w:hAnsi="Arial"/>
          <w:sz w:val="18"/>
          <w:szCs w:val="18"/>
          <w:color w:val="auto"/>
        </w:rPr>
        <w:t>)</w:t>
      </w:r>
    </w:p>
    <w:p>
      <w:pPr>
        <w:spacing w:after="0" w:line="107"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22"/>
          <w:szCs w:val="22"/>
          <w:b w:val="1"/>
          <w:bCs w:val="1"/>
          <w:color w:val="auto"/>
        </w:rPr>
        <w:t xml:space="preserve">Limited </w:t>
      </w:r>
      <w:r>
        <w:rPr>
          <w:rFonts w:ascii="Arial" w:cs="Arial" w:eastAsia="Arial" w:hAnsi="Arial"/>
          <w:sz w:val="22"/>
          <w:szCs w:val="22"/>
          <w:color w:val="auto"/>
        </w:rPr>
        <w:t>ABN 12 004 044 937 by its</w:t>
      </w:r>
      <w:r>
        <w:rPr>
          <w:sz w:val="20"/>
          <w:szCs w:val="20"/>
          <w:color w:val="auto"/>
        </w:rPr>
        <w:tab/>
      </w:r>
      <w:r>
        <w:rPr>
          <w:rFonts w:ascii="Arial" w:cs="Arial" w:eastAsia="Arial" w:hAnsi="Arial"/>
          <w:sz w:val="18"/>
          <w:szCs w:val="18"/>
          <w:color w:val="auto"/>
        </w:rPr>
        <w:t>)</w:t>
      </w:r>
    </w:p>
    <w:p>
      <w:pPr>
        <w:spacing w:after="0" w:line="107"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22"/>
          <w:szCs w:val="22"/>
          <w:color w:val="auto"/>
        </w:rPr>
        <w:t>Attorney who holds the position of Level 2</w:t>
      </w:r>
      <w:r>
        <w:rPr>
          <w:sz w:val="20"/>
          <w:szCs w:val="20"/>
          <w:color w:val="auto"/>
        </w:rPr>
        <w:tab/>
      </w:r>
      <w:r>
        <w:rPr>
          <w:rFonts w:ascii="Arial" w:cs="Arial" w:eastAsia="Arial" w:hAnsi="Arial"/>
          <w:sz w:val="18"/>
          <w:szCs w:val="18"/>
          <w:color w:val="auto"/>
        </w:rPr>
        <w:t>)</w:t>
      </w:r>
    </w:p>
    <w:p>
      <w:pPr>
        <w:spacing w:after="0" w:line="107"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22"/>
          <w:szCs w:val="22"/>
          <w:color w:val="auto"/>
        </w:rPr>
        <w:t>Attorney under Power of Attorney dated 1</w:t>
      </w:r>
      <w:r>
        <w:rPr>
          <w:sz w:val="20"/>
          <w:szCs w:val="20"/>
          <w:color w:val="auto"/>
        </w:rPr>
        <w:tab/>
      </w:r>
      <w:r>
        <w:rPr>
          <w:rFonts w:ascii="Arial" w:cs="Arial" w:eastAsia="Arial" w:hAnsi="Arial"/>
          <w:sz w:val="18"/>
          <w:szCs w:val="18"/>
          <w:color w:val="auto"/>
        </w:rPr>
        <w:t>)</w:t>
      </w:r>
    </w:p>
    <w:p>
      <w:pPr>
        <w:spacing w:after="0" w:line="107"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22"/>
          <w:szCs w:val="22"/>
          <w:color w:val="auto"/>
        </w:rPr>
        <w:t>March 2007 in the presence of:</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/s/ Javier Del Estal</w:t>
      </w:r>
      <w:r>
        <w:rPr>
          <w:sz w:val="20"/>
          <w:szCs w:val="20"/>
          <w:color w:val="auto"/>
        </w:rPr>
        <w:tab/>
      </w:r>
      <w:r>
        <w:rPr>
          <w:rFonts w:ascii="Arial" w:cs="Arial" w:eastAsia="Arial" w:hAnsi="Arial"/>
          <w:sz w:val="18"/>
          <w:szCs w:val="18"/>
          <w:i w:val="1"/>
          <w:iCs w:val="1"/>
          <w:color w:val="auto"/>
        </w:rPr>
        <w:t>/s/ Daniel Launchbury</w:t>
      </w:r>
    </w:p>
    <w:p>
      <w:pPr>
        <w:spacing w:after="0" w:line="80"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8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Javier Del Estal</w:t>
      </w:r>
      <w:r>
        <w:rPr>
          <w:sz w:val="20"/>
          <w:szCs w:val="20"/>
          <w:color w:val="auto"/>
        </w:rPr>
        <w:tab/>
      </w:r>
      <w:r>
        <w:rPr>
          <w:rFonts w:ascii="Arial" w:cs="Arial" w:eastAsia="Arial" w:hAnsi="Arial"/>
          <w:sz w:val="18"/>
          <w:szCs w:val="18"/>
          <w:color w:val="auto"/>
        </w:rPr>
        <w:t>Meagan Zwerwer</w:t>
      </w:r>
    </w:p>
    <w:p>
      <w:pPr>
        <w:spacing w:after="0" w:line="27" w:lineRule="exact"/>
        <w:rPr>
          <w:sz w:val="20"/>
          <w:szCs w:val="20"/>
          <w:color w:val="auto"/>
        </w:rPr>
      </w:pPr>
    </w:p>
    <w:p>
      <w:pPr>
        <w:ind w:left="1260"/>
        <w:spacing w:after="0"/>
        <w:tabs>
          <w:tab w:leader="none" w:pos="5920" w:val="left"/>
        </w:tabs>
        <w:rPr>
          <w:sz w:val="20"/>
          <w:szCs w:val="20"/>
          <w:color w:val="auto"/>
        </w:rPr>
      </w:pPr>
      <w:r>
        <w:rPr>
          <w:rFonts w:ascii="Arial" w:cs="Arial" w:eastAsia="Arial" w:hAnsi="Arial"/>
          <w:sz w:val="20"/>
          <w:szCs w:val="20"/>
          <w:color w:val="auto"/>
        </w:rPr>
        <w:t>Witness</w:t>
      </w:r>
      <w:r>
        <w:rPr>
          <w:sz w:val="20"/>
          <w:szCs w:val="20"/>
          <w:color w:val="auto"/>
        </w:rPr>
        <w:tab/>
      </w:r>
      <w:r>
        <w:rPr>
          <w:rFonts w:ascii="Arial" w:cs="Arial" w:eastAsia="Arial" w:hAnsi="Arial"/>
          <w:sz w:val="20"/>
          <w:szCs w:val="20"/>
          <w:color w:val="auto"/>
        </w:rPr>
        <w:t>Attorney</w:t>
      </w:r>
    </w:p>
    <w:p>
      <w:pPr>
        <w:sectPr>
          <w:pgSz w:w="11900" w:h="16838" w:orient="portrait"/>
          <w:cols w:equalWidth="0" w:num="1">
            <w:col w:w="10260"/>
          </w:cols>
          <w:pgMar w:left="1440" w:top="1440" w:right="206" w:bottom="0" w:gutter="0" w:footer="0" w:header="0"/>
        </w:sectPr>
      </w:pPr>
    </w:p>
    <w:p>
      <w:pPr>
        <w:spacing w:after="0" w:line="398" w:lineRule="exact"/>
        <w:rPr>
          <w:sz w:val="20"/>
          <w:szCs w:val="20"/>
          <w:color w:val="auto"/>
        </w:rPr>
      </w:pPr>
    </w:p>
    <w:p>
      <w:pPr>
        <w:ind w:left="1260" w:firstLine="4"/>
        <w:spacing w:after="0" w:line="252" w:lineRule="auto"/>
        <w:tabs>
          <w:tab w:leader="none" w:pos="151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witness was physically present when the signatory signed the document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w:t>
      </w:r>
    </w:p>
    <w:p>
      <w:pPr>
        <w:spacing w:after="0" w:line="306" w:lineRule="exact"/>
        <w:rPr>
          <w:sz w:val="20"/>
          <w:szCs w:val="20"/>
          <w:color w:val="auto"/>
        </w:rPr>
      </w:pPr>
    </w:p>
    <w:p>
      <w:pPr>
        <w:jc w:val="both"/>
        <w:ind w:left="1260"/>
        <w:spacing w:after="0" w:line="183"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The witness was not physically present when the signatory signed the</w:t>
      </w:r>
    </w:p>
    <w:p>
      <w:pPr>
        <w:spacing w:after="0" w:line="132" w:lineRule="exact"/>
        <w:rPr>
          <w:sz w:val="20"/>
          <w:szCs w:val="20"/>
          <w:color w:val="auto"/>
        </w:rPr>
      </w:pPr>
    </w:p>
    <w:p>
      <w:pPr>
        <w:jc w:val="both"/>
        <w:ind w:left="1260"/>
        <w:spacing w:after="0" w:line="259" w:lineRule="auto"/>
        <w:rPr>
          <w:sz w:val="20"/>
          <w:szCs w:val="20"/>
          <w:color w:val="auto"/>
        </w:rPr>
      </w:pPr>
      <w:r>
        <w:rPr>
          <w:rFonts w:ascii="Arial" w:cs="Arial" w:eastAsia="Arial" w:hAnsi="Arial"/>
          <w:sz w:val="18"/>
          <w:szCs w:val="18"/>
          <w:b w:val="1"/>
          <w:bCs w:val="1"/>
          <w:i w:val="1"/>
          <w:iCs w:val="1"/>
          <w:color w:val="auto"/>
        </w:rPr>
        <w:t xml:space="preserve">document. </w:t>
      </w:r>
      <w:r>
        <w:rPr>
          <w:rFonts w:ascii="Arial" w:cs="Arial" w:eastAsia="Arial" w:hAnsi="Arial"/>
          <w:sz w:val="18"/>
          <w:szCs w:val="18"/>
          <w:i w:val="1"/>
          <w:iCs w:val="1"/>
          <w:color w:val="auto"/>
        </w:rPr>
        <w:t>By ticking this box, the signatory warrants that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they observed the signatory signing the document by audio visual link in accordance with the Electronic Transactions (Victoria) Act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513715</wp:posOffset>
            </wp:positionV>
            <wp:extent cx="429133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Tick if signatory signing electronically.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01" w:lineRule="auto"/>
        <w:rPr>
          <w:sz w:val="20"/>
          <w:szCs w:val="20"/>
          <w:color w:val="auto"/>
        </w:rPr>
      </w:pPr>
      <w:r>
        <w:rPr>
          <w:rFonts w:ascii="Arial" w:cs="Arial" w:eastAsia="Arial" w:hAnsi="Arial"/>
          <w:sz w:val="18"/>
          <w:szCs w:val="18"/>
          <w:i w:val="1"/>
          <w:iCs w:val="1"/>
          <w:color w:val="auto"/>
        </w:rPr>
        <w:t>By ticking this box, the signatory warrants that they are signing this document in accordance with the Electronic Transactions (Victoria) Act 2000</w:t>
      </w:r>
    </w:p>
    <w:p>
      <w:pPr>
        <w:spacing w:after="0" w:line="1146" w:lineRule="exact"/>
        <w:rPr>
          <w:sz w:val="20"/>
          <w:szCs w:val="20"/>
          <w:color w:val="auto"/>
        </w:rPr>
      </w:pPr>
    </w:p>
    <w:p>
      <w:pPr>
        <w:sectPr>
          <w:pgSz w:w="11900" w:h="16838" w:orient="portrait"/>
          <w:cols w:equalWidth="0" w:num="2">
            <w:col w:w="5680" w:space="260"/>
            <w:col w:w="4320"/>
          </w:cols>
          <w:pgMar w:left="1440" w:top="1440" w:right="2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39</w:t>
      </w:r>
    </w:p>
    <w:p>
      <w:pPr>
        <w:sectPr>
          <w:pgSz w:w="11900" w:h="16838" w:orient="portrait"/>
          <w:cols w:equalWidth="0" w:num="1">
            <w:col w:w="10260"/>
          </w:cols>
          <w:pgMar w:left="1440" w:top="1440" w:right="206" w:bottom="0" w:gutter="0" w:footer="0" w:header="0"/>
          <w:type w:val="continuous"/>
        </w:sectPr>
      </w:pPr>
    </w:p>
    <w:bookmarkStart w:id="175" w:name="page176"/>
    <w:bookmarkEnd w:id="175"/>
    <w:p>
      <w:pPr>
        <w:spacing w:after="0" w:line="83" w:lineRule="exact"/>
        <w:rPr>
          <w:sz w:val="20"/>
          <w:szCs w:val="20"/>
          <w:color w:val="auto"/>
        </w:rPr>
      </w:pPr>
    </w:p>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Arial" w:cs="Arial" w:eastAsia="Arial" w:hAnsi="Arial"/>
          <w:sz w:val="28"/>
          <w:szCs w:val="28"/>
          <w:b w:val="1"/>
          <w:bCs w:val="1"/>
          <w:color w:val="auto"/>
        </w:rPr>
        <w:t>Annexure</w:t>
      </w: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32"/>
          <w:szCs w:val="32"/>
          <w:color w:val="auto"/>
        </w:rPr>
        <w:t>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345440</wp:posOffset>
            </wp:positionV>
            <wp:extent cx="4291330"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39</w:t>
      </w:r>
    </w:p>
    <w:p>
      <w:pPr>
        <w:sectPr>
          <w:pgSz w:w="11900" w:h="16838" w:orient="portrait"/>
          <w:cols w:equalWidth="0" w:num="1">
            <w:col w:w="9026"/>
          </w:cols>
          <w:pgMar w:left="1440" w:top="1440" w:right="1440" w:bottom="0" w:gutter="0" w:footer="0" w:header="0"/>
          <w:type w:val="continuous"/>
        </w:sectPr>
      </w:pPr>
    </w:p>
    <w:bookmarkStart w:id="176" w:name="page177"/>
    <w:bookmarkEnd w:id="176"/>
    <w:p>
      <w:pPr>
        <w:spacing w:after="0" w:line="71" w:lineRule="exact"/>
        <w:rPr>
          <w:sz w:val="20"/>
          <w:szCs w:val="20"/>
          <w:color w:val="auto"/>
        </w:rPr>
      </w:pPr>
    </w:p>
    <w:p>
      <w:pPr>
        <w:jc w:val="right"/>
        <w:ind w:right="4000"/>
        <w:spacing w:after="0"/>
        <w:rPr>
          <w:sz w:val="20"/>
          <w:szCs w:val="20"/>
          <w:color w:val="auto"/>
        </w:rPr>
      </w:pPr>
      <w:r>
        <w:rPr>
          <w:rFonts w:ascii="Arial" w:cs="Arial" w:eastAsia="Arial" w:hAnsi="Arial"/>
          <w:sz w:val="18"/>
          <w:szCs w:val="18"/>
          <w:color w:val="auto"/>
        </w:rPr>
        <w:t>567 Collins Street, Melbourne VIC 3000,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8255</wp:posOffset>
            </wp:positionV>
            <wp:extent cx="868045" cy="6953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868045" cy="695325"/>
                    </a:xfrm>
                    <a:prstGeom prst="rect">
                      <a:avLst/>
                    </a:prstGeom>
                    <a:noFill/>
                  </pic:spPr>
                </pic:pic>
              </a:graphicData>
            </a:graphic>
          </wp:anchor>
        </w:drawing>
      </w:r>
    </w:p>
    <w:p>
      <w:pPr>
        <w:spacing w:after="0" w:line="43" w:lineRule="exact"/>
        <w:rPr>
          <w:sz w:val="20"/>
          <w:szCs w:val="20"/>
          <w:color w:val="auto"/>
        </w:rPr>
      </w:pPr>
    </w:p>
    <w:p>
      <w:pPr>
        <w:jc w:val="right"/>
        <w:ind w:right="4000"/>
        <w:spacing w:after="0"/>
        <w:rPr>
          <w:sz w:val="20"/>
          <w:szCs w:val="20"/>
          <w:color w:val="auto"/>
        </w:rPr>
      </w:pPr>
      <w:r>
        <w:rPr>
          <w:rFonts w:ascii="Arial" w:cs="Arial" w:eastAsia="Arial" w:hAnsi="Arial"/>
          <w:sz w:val="18"/>
          <w:szCs w:val="18"/>
          <w:color w:val="auto"/>
        </w:rPr>
        <w:t>GPO Box 9925, Melbourne VIC 3001, Australia</w:t>
      </w:r>
    </w:p>
    <w:p>
      <w:pPr>
        <w:spacing w:after="0" w:line="63" w:lineRule="exact"/>
        <w:rPr>
          <w:sz w:val="20"/>
          <w:szCs w:val="20"/>
          <w:color w:val="auto"/>
        </w:rPr>
      </w:pPr>
    </w:p>
    <w:p>
      <w:pPr>
        <w:jc w:val="right"/>
        <w:ind w:right="4000"/>
        <w:spacing w:after="0"/>
        <w:rPr>
          <w:sz w:val="20"/>
          <w:szCs w:val="20"/>
          <w:color w:val="auto"/>
        </w:rPr>
      </w:pPr>
      <w:r>
        <w:rPr>
          <w:rFonts w:ascii="Arial" w:cs="Arial" w:eastAsia="Arial" w:hAnsi="Arial"/>
          <w:sz w:val="18"/>
          <w:szCs w:val="18"/>
          <w:color w:val="auto"/>
        </w:rPr>
        <w:t>Tel +61 3 9672 3000</w:t>
      </w:r>
    </w:p>
    <w:p>
      <w:pPr>
        <w:spacing w:after="0" w:line="63" w:lineRule="exact"/>
        <w:rPr>
          <w:sz w:val="20"/>
          <w:szCs w:val="20"/>
          <w:color w:val="auto"/>
        </w:rPr>
      </w:pPr>
    </w:p>
    <w:p>
      <w:pPr>
        <w:jc w:val="right"/>
        <w:ind w:right="4000"/>
        <w:spacing w:after="0"/>
        <w:rPr>
          <w:sz w:val="20"/>
          <w:szCs w:val="20"/>
          <w:color w:val="auto"/>
        </w:rPr>
      </w:pPr>
      <w:r>
        <w:rPr>
          <w:rFonts w:ascii="Arial" w:cs="Arial" w:eastAsia="Arial" w:hAnsi="Arial"/>
          <w:sz w:val="18"/>
          <w:szCs w:val="18"/>
          <w:color w:val="auto"/>
        </w:rPr>
        <w:t>Fax +61 3 9672 3010</w:t>
      </w:r>
    </w:p>
    <w:p>
      <w:pPr>
        <w:spacing w:after="0" w:line="63" w:lineRule="exact"/>
        <w:rPr>
          <w:sz w:val="20"/>
          <w:szCs w:val="20"/>
          <w:color w:val="auto"/>
        </w:rPr>
      </w:pPr>
    </w:p>
    <w:p>
      <w:pPr>
        <w:jc w:val="right"/>
        <w:ind w:right="4000"/>
        <w:spacing w:after="0"/>
        <w:rPr>
          <w:sz w:val="20"/>
          <w:szCs w:val="20"/>
          <w:color w:val="auto"/>
        </w:rPr>
      </w:pPr>
      <w:r>
        <w:rPr>
          <w:rFonts w:ascii="Arial" w:cs="Arial" w:eastAsia="Arial" w:hAnsi="Arial"/>
          <w:sz w:val="18"/>
          <w:szCs w:val="18"/>
          <w:b w:val="1"/>
          <w:bCs w:val="1"/>
          <w:color w:val="auto"/>
        </w:rPr>
        <w:t>www.corrs.com.au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232410</wp:posOffset>
            </wp:positionV>
            <wp:extent cx="868045" cy="8667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868045" cy="86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Annexure A – 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104775</wp:posOffset>
            </wp:positionV>
            <wp:extent cx="429133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228" w:lineRule="exact"/>
        <w:rPr>
          <w:sz w:val="20"/>
          <w:szCs w:val="20"/>
          <w:color w:val="auto"/>
        </w:rPr>
      </w:pPr>
    </w:p>
    <w:p>
      <w:pPr>
        <w:ind w:left="1140" w:right="3920"/>
        <w:spacing w:after="0" w:line="460" w:lineRule="auto"/>
        <w:rPr>
          <w:sz w:val="20"/>
          <w:szCs w:val="20"/>
          <w:color w:val="auto"/>
        </w:rPr>
      </w:pPr>
      <w:r>
        <w:rPr>
          <w:rFonts w:ascii="Arial" w:cs="Arial" w:eastAsia="Arial" w:hAnsi="Arial"/>
          <w:sz w:val="29"/>
          <w:szCs w:val="29"/>
          <w:color w:val="auto"/>
        </w:rPr>
        <w:t>National Australia Bank Limited Reading Entertainment Australia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-546100</wp:posOffset>
            </wp:positionV>
            <wp:extent cx="429133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4291330" cy="1270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-152400</wp:posOffset>
            </wp:positionV>
            <wp:extent cx="4291330"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4291330" cy="12700"/>
                    </a:xfrm>
                    <a:prstGeom prst="rect">
                      <a:avLst/>
                    </a:prstGeom>
                    <a:noFill/>
                  </pic:spPr>
                </pic:pic>
              </a:graphicData>
            </a:graphic>
          </wp:anchor>
        </w:drawing>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56"/>
          <w:szCs w:val="56"/>
          <w:color w:val="1F497D"/>
        </w:rPr>
        <w:t>Corporate Markets Loan &amp;</w:t>
      </w:r>
    </w:p>
    <w:p>
      <w:pPr>
        <w:spacing w:after="0" w:line="196" w:lineRule="exact"/>
        <w:rPr>
          <w:sz w:val="20"/>
          <w:szCs w:val="20"/>
          <w:color w:val="auto"/>
        </w:rPr>
      </w:pPr>
    </w:p>
    <w:p>
      <w:pPr>
        <w:ind w:left="1140"/>
        <w:spacing w:after="0"/>
        <w:tabs>
          <w:tab w:leader="none" w:pos="3080" w:val="left"/>
          <w:tab w:leader="none" w:pos="6160" w:val="left"/>
        </w:tabs>
        <w:rPr>
          <w:sz w:val="20"/>
          <w:szCs w:val="20"/>
          <w:color w:val="auto"/>
        </w:rPr>
      </w:pPr>
      <w:r>
        <w:rPr>
          <w:rFonts w:ascii="Arial" w:cs="Arial" w:eastAsia="Arial" w:hAnsi="Arial"/>
          <w:sz w:val="56"/>
          <w:szCs w:val="56"/>
          <w:color w:val="1F497D"/>
        </w:rPr>
        <w:t>Bank</w:t>
        <w:tab/>
        <w:t>Guarantee</w:t>
      </w:r>
      <w:r>
        <w:rPr>
          <w:sz w:val="20"/>
          <w:szCs w:val="20"/>
          <w:color w:val="auto"/>
        </w:rPr>
        <w:tab/>
      </w:r>
      <w:r>
        <w:rPr>
          <w:rFonts w:ascii="Arial" w:cs="Arial" w:eastAsia="Arial" w:hAnsi="Arial"/>
          <w:sz w:val="55"/>
          <w:szCs w:val="55"/>
          <w:color w:val="1F497D"/>
        </w:rPr>
        <w:t>Facility</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56"/>
          <w:szCs w:val="56"/>
          <w:color w:val="1F497D"/>
        </w:rPr>
        <w:t>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40"/>
        <w:spacing w:after="0"/>
        <w:rPr>
          <w:sz w:val="20"/>
          <w:szCs w:val="20"/>
          <w:color w:val="auto"/>
        </w:rPr>
      </w:pPr>
      <w:r>
        <w:rPr>
          <w:rFonts w:ascii="Arial" w:cs="Arial" w:eastAsia="Arial" w:hAnsi="Arial"/>
          <w:sz w:val="32"/>
          <w:szCs w:val="32"/>
          <w:color w:val="auto"/>
        </w:rPr>
        <w:t>Contents</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69"/>
        </w:trPr>
        <w:tc>
          <w:tcPr>
            <w:tcW w:w="540" w:type="dxa"/>
            <w:vAlign w:val="bottom"/>
          </w:tcPr>
          <w:p>
            <w:pPr>
              <w:spacing w:after="0"/>
              <w:rPr>
                <w:sz w:val="20"/>
                <w:szCs w:val="20"/>
                <w:color w:val="auto"/>
              </w:rPr>
            </w:pPr>
            <w:r>
              <w:rPr>
                <w:rFonts w:ascii="Calibri" w:cs="Calibri" w:eastAsia="Calibri" w:hAnsi="Calibri"/>
                <w:sz w:val="22"/>
                <w:szCs w:val="22"/>
                <w:b w:val="1"/>
                <w:bCs w:val="1"/>
                <w:color w:val="auto"/>
              </w:rPr>
              <w:t>1</w:t>
            </w:r>
          </w:p>
        </w:tc>
        <w:tc>
          <w:tcPr>
            <w:tcW w:w="6820" w:type="dxa"/>
            <w:vAlign w:val="bottom"/>
          </w:tcPr>
          <w:p>
            <w:pPr>
              <w:ind w:left="260"/>
              <w:spacing w:after="0"/>
              <w:rPr>
                <w:sz w:val="20"/>
                <w:szCs w:val="20"/>
                <w:color w:val="auto"/>
              </w:rPr>
            </w:pPr>
            <w:r>
              <w:rPr>
                <w:rFonts w:ascii="Calibri" w:cs="Calibri" w:eastAsia="Calibri" w:hAnsi="Calibri"/>
                <w:sz w:val="22"/>
                <w:szCs w:val="22"/>
                <w:b w:val="1"/>
                <w:bCs w:val="1"/>
                <w:color w:val="auto"/>
              </w:rPr>
              <w:t>Interpretation</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rPr>
              <w:t>1</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1.1</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Definitions</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rPr>
              <w:t>1</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1.2</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Construction</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20</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1.3</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Headings</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21</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1.4</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Corporations Act, GST and Accounting Standards</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21</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1.5</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Subsisting Events of Default and Potential Events of Default</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22</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1.6</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Not used</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22</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color w:val="auto"/>
              </w:rPr>
              <w:t>1.7</w:t>
            </w:r>
          </w:p>
        </w:tc>
        <w:tc>
          <w:tcPr>
            <w:tcW w:w="6820" w:type="dxa"/>
            <w:vAlign w:val="bottom"/>
          </w:tcPr>
          <w:p>
            <w:pPr>
              <w:ind w:left="260"/>
              <w:spacing w:after="0"/>
              <w:rPr>
                <w:sz w:val="20"/>
                <w:szCs w:val="20"/>
                <w:color w:val="auto"/>
              </w:rPr>
            </w:pPr>
            <w:r>
              <w:rPr>
                <w:rFonts w:ascii="Calibri" w:cs="Calibri" w:eastAsia="Calibri" w:hAnsi="Calibri"/>
                <w:sz w:val="22"/>
                <w:szCs w:val="22"/>
                <w:color w:val="auto"/>
              </w:rPr>
              <w:t>Inconsistency</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22</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b w:val="1"/>
                <w:bCs w:val="1"/>
                <w:color w:val="auto"/>
              </w:rPr>
              <w:t>2</w:t>
            </w:r>
          </w:p>
        </w:tc>
        <w:tc>
          <w:tcPr>
            <w:tcW w:w="6820" w:type="dxa"/>
            <w:vAlign w:val="bottom"/>
          </w:tcPr>
          <w:p>
            <w:pPr>
              <w:ind w:left="260"/>
              <w:spacing w:after="0"/>
              <w:rPr>
                <w:sz w:val="20"/>
                <w:szCs w:val="20"/>
                <w:color w:val="auto"/>
              </w:rPr>
            </w:pPr>
            <w:r>
              <w:rPr>
                <w:rFonts w:ascii="Calibri" w:cs="Calibri" w:eastAsia="Calibri" w:hAnsi="Calibri"/>
                <w:sz w:val="22"/>
                <w:szCs w:val="22"/>
                <w:b w:val="1"/>
                <w:bCs w:val="1"/>
                <w:color w:val="auto"/>
              </w:rPr>
              <w:t>Consideration</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22</w:t>
            </w:r>
          </w:p>
        </w:tc>
      </w:tr>
      <w:tr>
        <w:trPr>
          <w:trHeight w:val="451"/>
        </w:trPr>
        <w:tc>
          <w:tcPr>
            <w:tcW w:w="540" w:type="dxa"/>
            <w:vAlign w:val="bottom"/>
          </w:tcPr>
          <w:p>
            <w:pPr>
              <w:spacing w:after="0"/>
              <w:rPr>
                <w:sz w:val="20"/>
                <w:szCs w:val="20"/>
                <w:color w:val="auto"/>
              </w:rPr>
            </w:pPr>
            <w:r>
              <w:rPr>
                <w:rFonts w:ascii="Calibri" w:cs="Calibri" w:eastAsia="Calibri" w:hAnsi="Calibri"/>
                <w:sz w:val="22"/>
                <w:szCs w:val="22"/>
                <w:b w:val="1"/>
                <w:bCs w:val="1"/>
                <w:color w:val="auto"/>
              </w:rPr>
              <w:t>3</w:t>
            </w:r>
          </w:p>
        </w:tc>
        <w:tc>
          <w:tcPr>
            <w:tcW w:w="6820" w:type="dxa"/>
            <w:vAlign w:val="bottom"/>
          </w:tcPr>
          <w:p>
            <w:pPr>
              <w:ind w:left="260"/>
              <w:spacing w:after="0"/>
              <w:rPr>
                <w:sz w:val="20"/>
                <w:szCs w:val="20"/>
                <w:color w:val="auto"/>
              </w:rPr>
            </w:pPr>
            <w:r>
              <w:rPr>
                <w:rFonts w:ascii="Calibri" w:cs="Calibri" w:eastAsia="Calibri" w:hAnsi="Calibri"/>
                <w:sz w:val="22"/>
                <w:szCs w:val="22"/>
                <w:b w:val="1"/>
                <w:bCs w:val="1"/>
                <w:color w:val="auto"/>
              </w:rPr>
              <w:t>Conditions precedent</w:t>
            </w:r>
          </w:p>
        </w:tc>
        <w:tc>
          <w:tcPr>
            <w:tcW w:w="1520" w:type="dxa"/>
            <w:vAlign w:val="bottom"/>
          </w:tcPr>
          <w:p>
            <w:pPr>
              <w:ind w:left="1300"/>
              <w:spacing w:after="0"/>
              <w:rPr>
                <w:sz w:val="20"/>
                <w:szCs w:val="20"/>
                <w:color w:val="auto"/>
              </w:rPr>
            </w:pPr>
            <w:r>
              <w:rPr>
                <w:rFonts w:ascii="Calibri" w:cs="Calibri" w:eastAsia="Calibri" w:hAnsi="Calibri"/>
                <w:sz w:val="22"/>
                <w:szCs w:val="22"/>
                <w:b w:val="1"/>
                <w:bCs w:val="1"/>
                <w:color w:val="auto"/>
                <w:w w:val="89"/>
              </w:rPr>
              <w:t>22</w:t>
            </w:r>
          </w:p>
        </w:tc>
      </w:tr>
    </w:tbl>
    <w:p>
      <w:pPr>
        <w:spacing w:after="0" w:line="200" w:lineRule="exact"/>
        <w:rPr>
          <w:sz w:val="20"/>
          <w:szCs w:val="20"/>
          <w:color w:val="auto"/>
        </w:rPr>
      </w:pPr>
    </w:p>
    <w:p>
      <w:pPr>
        <w:sectPr>
          <w:pgSz w:w="11900" w:h="16838" w:orient="portrait"/>
          <w:cols w:equalWidth="0" w:num="1">
            <w:col w:w="10140"/>
          </w:cols>
          <w:pgMar w:left="1440" w:top="1440" w:right="326" w:bottom="0" w:gutter="0" w:footer="0" w:header="0"/>
        </w:sectPr>
      </w:pPr>
    </w:p>
    <w:p>
      <w:pPr>
        <w:spacing w:after="0" w:line="3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39</w:t>
      </w:r>
    </w:p>
    <w:p>
      <w:pPr>
        <w:sectPr>
          <w:pgSz w:w="11900" w:h="16838" w:orient="portrait"/>
          <w:cols w:equalWidth="0" w:num="1">
            <w:col w:w="10140"/>
          </w:cols>
          <w:pgMar w:left="1440" w:top="1440" w:right="326" w:bottom="0" w:gutter="0" w:footer="0" w:header="0"/>
          <w:type w:val="continuous"/>
        </w:sectPr>
      </w:pPr>
    </w:p>
    <w:bookmarkStart w:id="177" w:name="page178"/>
    <w:bookmarkEnd w:id="177"/>
    <w:tbl>
      <w:tblPr>
        <w:tblLayout w:type="fixed"/>
        <w:tblInd w:w="1260" w:type="dxa"/>
        <w:tblCellMar>
          <w:top w:w="0" w:type="dxa"/>
          <w:left w:w="0" w:type="dxa"/>
          <w:bottom w:w="0" w:type="dxa"/>
          <w:right w:w="0" w:type="dxa"/>
        </w:tblCellMar>
      </w:tblPr>
      <w:tr>
        <w:trPr>
          <w:trHeight w:val="269"/>
        </w:trPr>
        <w:tc>
          <w:tcPr>
            <w:tcW w:w="600" w:type="dxa"/>
            <w:vAlign w:val="bottom"/>
          </w:tcPr>
          <w:p>
            <w:pPr>
              <w:spacing w:after="0"/>
              <w:rPr>
                <w:sz w:val="20"/>
                <w:szCs w:val="20"/>
                <w:color w:val="auto"/>
              </w:rPr>
            </w:pPr>
            <w:r>
              <w:rPr>
                <w:rFonts w:ascii="Calibri" w:cs="Calibri" w:eastAsia="Calibri" w:hAnsi="Calibri"/>
                <w:sz w:val="22"/>
                <w:szCs w:val="22"/>
                <w:color w:val="auto"/>
              </w:rPr>
              <w:t>3.1</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3.2</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Conditions precedent to Advances and Drawings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4</w:t>
            </w:r>
          </w:p>
        </w:tc>
        <w:tc>
          <w:tcPr>
            <w:tcW w:w="7400" w:type="dxa"/>
            <w:vAlign w:val="bottom"/>
          </w:tcPr>
          <w:p>
            <w:pPr>
              <w:ind w:left="200"/>
              <w:spacing w:after="0"/>
              <w:rPr>
                <w:sz w:val="20"/>
                <w:szCs w:val="20"/>
                <w:color w:val="auto"/>
              </w:rPr>
            </w:pPr>
            <w:r>
              <w:rPr>
                <w:rFonts w:ascii="Calibri" w:cs="Calibri" w:eastAsia="Calibri" w:hAnsi="Calibri"/>
                <w:sz w:val="22"/>
                <w:szCs w:val="22"/>
                <w:b w:val="1"/>
                <w:bCs w:val="1"/>
                <w:color w:val="auto"/>
              </w:rPr>
              <w:t>Facility</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4.1</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Nature</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4.2</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Purpose</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4.3</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Advances and Drawings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4.4</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Funding Notices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4.5</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4.6</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4.7</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4.8</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Bank Guarantee Facilities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4.9</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Cancellation</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25</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4.10</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Market disruption</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25</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4.11</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Alternative basis of interest or funding</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4.12</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Pricing Review Events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4.13</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Consequences of a Pricing Review</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5</w:t>
            </w:r>
          </w:p>
        </w:tc>
        <w:tc>
          <w:tcPr>
            <w:tcW w:w="7400" w:type="dxa"/>
            <w:vAlign w:val="bottom"/>
          </w:tcPr>
          <w:p>
            <w:pPr>
              <w:ind w:left="200"/>
              <w:spacing w:after="0"/>
              <w:rPr>
                <w:sz w:val="20"/>
                <w:szCs w:val="20"/>
                <w:color w:val="auto"/>
              </w:rPr>
            </w:pPr>
            <w:r>
              <w:rPr>
                <w:rFonts w:ascii="Calibri" w:cs="Calibri" w:eastAsia="Calibri" w:hAnsi="Calibri"/>
                <w:sz w:val="22"/>
                <w:szCs w:val="22"/>
                <w:b w:val="1"/>
                <w:bCs w:val="1"/>
                <w:color w:val="auto"/>
              </w:rPr>
              <w:t>Payments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5.1</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5.2</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Voluntary prepayments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5.3</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Indemnity in respect of Bank Guarantees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5.4</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Mandatory prepayments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28</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5.5</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Repayment</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29</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5.6</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29</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5.7</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Not used</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5.8</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Release of Waurn Ponds Property on Waurn Ponds Property Release Date</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6</w:t>
            </w:r>
          </w:p>
        </w:tc>
        <w:tc>
          <w:tcPr>
            <w:tcW w:w="7400" w:type="dxa"/>
            <w:vAlign w:val="bottom"/>
          </w:tcPr>
          <w:p>
            <w:pPr>
              <w:ind w:left="200"/>
              <w:spacing w:after="0"/>
              <w:rPr>
                <w:sz w:val="20"/>
                <w:szCs w:val="20"/>
                <w:color w:val="auto"/>
              </w:rPr>
            </w:pPr>
            <w:r>
              <w:rPr>
                <w:rFonts w:ascii="Calibri" w:cs="Calibri" w:eastAsia="Calibri" w:hAnsi="Calibri"/>
                <w:sz w:val="22"/>
                <w:szCs w:val="22"/>
                <w:b w:val="1"/>
                <w:bCs w:val="1"/>
                <w:color w:val="auto"/>
              </w:rPr>
              <w:t>Interest and fees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6.1</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Pricing Periods</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6.2</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Payment and rate</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31</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6.3</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Computation of interest</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31</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6.4</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Capitalisation of interest</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6.5</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Merger</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6.6</w:t>
            </w:r>
          </w:p>
        </w:tc>
        <w:tc>
          <w:tcPr>
            <w:tcW w:w="7400" w:type="dxa"/>
            <w:vAlign w:val="bottom"/>
          </w:tcPr>
          <w:p>
            <w:pPr>
              <w:ind w:left="200"/>
              <w:spacing w:after="0"/>
              <w:rPr>
                <w:sz w:val="20"/>
                <w:szCs w:val="20"/>
                <w:color w:val="auto"/>
              </w:rPr>
            </w:pPr>
            <w:r>
              <w:rPr>
                <w:rFonts w:ascii="Calibri" w:cs="Calibri" w:eastAsia="Calibri" w:hAnsi="Calibri"/>
                <w:sz w:val="22"/>
                <w:szCs w:val="22"/>
                <w:color w:val="auto"/>
              </w:rPr>
              <w:t>Reset Margin</w:t>
            </w:r>
          </w:p>
        </w:tc>
        <w:tc>
          <w:tcPr>
            <w:tcW w:w="880" w:type="dxa"/>
            <w:vAlign w:val="bottom"/>
          </w:tcPr>
          <w:p>
            <w:pPr>
              <w:jc w:val="right"/>
              <w:spacing w:after="0"/>
              <w:rPr>
                <w:sz w:val="20"/>
                <w:szCs w:val="20"/>
                <w:color w:val="auto"/>
              </w:rPr>
            </w:pPr>
            <w:r>
              <w:rPr>
                <w:rFonts w:ascii="Calibri" w:cs="Calibri" w:eastAsia="Calibri" w:hAnsi="Calibri"/>
                <w:sz w:val="22"/>
                <w:szCs w:val="22"/>
                <w:b w:val="1"/>
                <w:bCs w:val="1"/>
                <w:color w:val="auto"/>
              </w:rPr>
              <w:t>32</w:t>
            </w:r>
          </w:p>
        </w:tc>
      </w:tr>
    </w:tbl>
    <w:p>
      <w:pPr>
        <w:spacing w:after="0" w:line="200" w:lineRule="exact"/>
        <w:rPr>
          <w:sz w:val="20"/>
          <w:szCs w:val="20"/>
          <w:color w:val="auto"/>
        </w:rPr>
      </w:pPr>
    </w:p>
    <w:p>
      <w:pPr>
        <w:sectPr>
          <w:pgSz w:w="11900" w:h="16838" w:orient="portrait"/>
          <w:cols w:equalWidth="0" w:num="1">
            <w:col w:w="10140"/>
          </w:cols>
          <w:pgMar w:left="1440" w:top="1260" w:right="32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35 / 39</w:t>
      </w:r>
    </w:p>
    <w:p>
      <w:pPr>
        <w:sectPr>
          <w:pgSz w:w="11900" w:h="16838" w:orient="portrait"/>
          <w:cols w:equalWidth="0" w:num="1">
            <w:col w:w="10140"/>
          </w:cols>
          <w:pgMar w:left="1440" w:top="1260" w:right="326" w:bottom="0" w:gutter="0" w:footer="0" w:header="0"/>
          <w:type w:val="continuous"/>
        </w:sectPr>
      </w:pPr>
    </w:p>
    <w:bookmarkStart w:id="178" w:name="page179"/>
    <w:bookmarkEnd w:id="178"/>
    <w:tbl>
      <w:tblPr>
        <w:tblLayout w:type="fixed"/>
        <w:tblInd w:w="1260" w:type="dxa"/>
        <w:tblCellMar>
          <w:top w:w="0" w:type="dxa"/>
          <w:left w:w="0" w:type="dxa"/>
          <w:bottom w:w="0" w:type="dxa"/>
          <w:right w:w="0" w:type="dxa"/>
        </w:tblCellMar>
      </w:tblPr>
      <w:tr>
        <w:trPr>
          <w:trHeight w:val="269"/>
        </w:trPr>
        <w:tc>
          <w:tcPr>
            <w:tcW w:w="600" w:type="dxa"/>
            <w:vAlign w:val="bottom"/>
          </w:tcPr>
          <w:p>
            <w:pPr>
              <w:spacing w:after="0"/>
              <w:rPr>
                <w:sz w:val="20"/>
                <w:szCs w:val="20"/>
                <w:color w:val="auto"/>
              </w:rPr>
            </w:pPr>
            <w:r>
              <w:rPr>
                <w:rFonts w:ascii="Calibri" w:cs="Calibri" w:eastAsia="Calibri" w:hAnsi="Calibri"/>
                <w:sz w:val="22"/>
                <w:szCs w:val="22"/>
                <w:color w:val="auto"/>
              </w:rPr>
              <w:t>6.7</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Margin adjustments by reference to the Leverage Ratio</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7</w:t>
            </w:r>
          </w:p>
        </w:tc>
        <w:tc>
          <w:tcPr>
            <w:tcW w:w="6580" w:type="dxa"/>
            <w:vAlign w:val="bottom"/>
          </w:tcPr>
          <w:p>
            <w:pPr>
              <w:ind w:left="200"/>
              <w:spacing w:after="0"/>
              <w:rPr>
                <w:sz w:val="20"/>
                <w:szCs w:val="20"/>
                <w:color w:val="auto"/>
              </w:rPr>
            </w:pPr>
            <w:r>
              <w:rPr>
                <w:rFonts w:ascii="Calibri" w:cs="Calibri" w:eastAsia="Calibri" w:hAnsi="Calibri"/>
                <w:sz w:val="22"/>
                <w:szCs w:val="22"/>
                <w:b w:val="1"/>
                <w:bCs w:val="1"/>
                <w:color w:val="auto"/>
              </w:rPr>
              <w:t>Payments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7.1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Place, manner and time of payment</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7.2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Gross-up</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7.3</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Appropriation</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33</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8</w:t>
            </w:r>
          </w:p>
        </w:tc>
        <w:tc>
          <w:tcPr>
            <w:tcW w:w="6580" w:type="dxa"/>
            <w:vAlign w:val="bottom"/>
          </w:tcPr>
          <w:p>
            <w:pPr>
              <w:ind w:left="200"/>
              <w:spacing w:after="0"/>
              <w:rPr>
                <w:sz w:val="20"/>
                <w:szCs w:val="20"/>
                <w:color w:val="auto"/>
              </w:rPr>
            </w:pPr>
            <w:r>
              <w:rPr>
                <w:rFonts w:ascii="Calibri" w:cs="Calibri" w:eastAsia="Calibri" w:hAnsi="Calibri"/>
                <w:sz w:val="22"/>
                <w:szCs w:val="22"/>
                <w:b w:val="1"/>
                <w:bCs w:val="1"/>
                <w:color w:val="auto"/>
              </w:rPr>
              <w:t>Representations and warranties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8.1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Nature</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8.2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General</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9</w:t>
            </w:r>
          </w:p>
        </w:tc>
        <w:tc>
          <w:tcPr>
            <w:tcW w:w="6580" w:type="dxa"/>
            <w:vAlign w:val="bottom"/>
          </w:tcPr>
          <w:p>
            <w:pPr>
              <w:ind w:left="200"/>
              <w:spacing w:after="0"/>
              <w:rPr>
                <w:sz w:val="20"/>
                <w:szCs w:val="20"/>
                <w:color w:val="auto"/>
              </w:rPr>
            </w:pPr>
            <w:r>
              <w:rPr>
                <w:rFonts w:ascii="Calibri" w:cs="Calibri" w:eastAsia="Calibri" w:hAnsi="Calibri"/>
                <w:sz w:val="22"/>
                <w:szCs w:val="22"/>
                <w:b w:val="1"/>
                <w:bCs w:val="1"/>
                <w:color w:val="auto"/>
              </w:rPr>
              <w:t>General obligations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Fees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37</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Records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38</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9.3</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Financial Statements and other financial information</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39</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9.4</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Adjustments for AASB 16</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9.5</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Other information</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9.6</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Other financial undertakings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9.7</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Insurance</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9.8</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Financial ratios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45</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9.9</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Environment</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9.10</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No default</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48</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9.11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Obligations of Trustees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48</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9.12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Release for Permitted Disposals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49</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10</w:t>
            </w:r>
          </w:p>
        </w:tc>
        <w:tc>
          <w:tcPr>
            <w:tcW w:w="6580" w:type="dxa"/>
            <w:vAlign w:val="bottom"/>
          </w:tcPr>
          <w:p>
            <w:pPr>
              <w:ind w:left="200"/>
              <w:spacing w:after="0"/>
              <w:rPr>
                <w:sz w:val="20"/>
                <w:szCs w:val="20"/>
                <w:color w:val="auto"/>
              </w:rPr>
            </w:pPr>
            <w:r>
              <w:rPr>
                <w:rFonts w:ascii="Calibri" w:cs="Calibri" w:eastAsia="Calibri" w:hAnsi="Calibri"/>
                <w:sz w:val="22"/>
                <w:szCs w:val="22"/>
                <w:b w:val="1"/>
                <w:bCs w:val="1"/>
                <w:color w:val="auto"/>
              </w:rPr>
              <w:t>Events of Default</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Nature</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50</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Effect of Event of Default</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52</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10.3</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Cash Cover Account regarding Bank Guarantees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10.4</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Review Events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54</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10.5</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Reviews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55</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10.6</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Equity Cure</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55</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b w:val="1"/>
                <w:bCs w:val="1"/>
                <w:color w:val="auto"/>
              </w:rPr>
              <w:t>11</w:t>
            </w:r>
          </w:p>
        </w:tc>
        <w:tc>
          <w:tcPr>
            <w:tcW w:w="6580" w:type="dxa"/>
            <w:vAlign w:val="bottom"/>
          </w:tcPr>
          <w:p>
            <w:pPr>
              <w:ind w:left="200"/>
              <w:spacing w:after="0"/>
              <w:rPr>
                <w:sz w:val="20"/>
                <w:szCs w:val="20"/>
                <w:color w:val="auto"/>
              </w:rPr>
            </w:pPr>
            <w:r>
              <w:rPr>
                <w:rFonts w:ascii="Calibri" w:cs="Calibri" w:eastAsia="Calibri" w:hAnsi="Calibri"/>
                <w:sz w:val="22"/>
                <w:szCs w:val="22"/>
                <w:b w:val="1"/>
                <w:bCs w:val="1"/>
                <w:color w:val="auto"/>
              </w:rPr>
              <w:t>Costs and expenses</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11.1</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Interpretation</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11.2</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Nature</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56</w:t>
            </w:r>
          </w:p>
        </w:tc>
      </w:tr>
      <w:tr>
        <w:trPr>
          <w:trHeight w:val="451"/>
        </w:trPr>
        <w:tc>
          <w:tcPr>
            <w:tcW w:w="600" w:type="dxa"/>
            <w:vAlign w:val="bottom"/>
          </w:tcPr>
          <w:p>
            <w:pPr>
              <w:spacing w:after="0"/>
              <w:rPr>
                <w:sz w:val="20"/>
                <w:szCs w:val="20"/>
                <w:color w:val="auto"/>
              </w:rPr>
            </w:pPr>
            <w:r>
              <w:rPr>
                <w:rFonts w:ascii="Calibri" w:cs="Calibri" w:eastAsia="Calibri" w:hAnsi="Calibri"/>
                <w:sz w:val="22"/>
                <w:szCs w:val="22"/>
                <w:color w:val="auto"/>
              </w:rPr>
              <w:t>11.3</w:t>
            </w:r>
          </w:p>
        </w:tc>
        <w:tc>
          <w:tcPr>
            <w:tcW w:w="6580" w:type="dxa"/>
            <w:vAlign w:val="bottom"/>
          </w:tcPr>
          <w:p>
            <w:pPr>
              <w:ind w:left="200"/>
              <w:spacing w:after="0"/>
              <w:rPr>
                <w:sz w:val="20"/>
                <w:szCs w:val="20"/>
                <w:color w:val="auto"/>
              </w:rPr>
            </w:pPr>
            <w:r>
              <w:rPr>
                <w:rFonts w:ascii="Calibri" w:cs="Calibri" w:eastAsia="Calibri" w:hAnsi="Calibri"/>
                <w:sz w:val="22"/>
                <w:szCs w:val="22"/>
                <w:color w:val="auto"/>
              </w:rPr>
              <w:t>Remuneration</w:t>
            </w:r>
          </w:p>
        </w:tc>
        <w:tc>
          <w:tcPr>
            <w:tcW w:w="1700" w:type="dxa"/>
            <w:vAlign w:val="bottom"/>
          </w:tcPr>
          <w:p>
            <w:pPr>
              <w:jc w:val="right"/>
              <w:spacing w:after="0"/>
              <w:rPr>
                <w:sz w:val="20"/>
                <w:szCs w:val="20"/>
                <w:color w:val="auto"/>
              </w:rPr>
            </w:pPr>
            <w:r>
              <w:rPr>
                <w:rFonts w:ascii="Calibri" w:cs="Calibri" w:eastAsia="Calibri" w:hAnsi="Calibri"/>
                <w:sz w:val="22"/>
                <w:szCs w:val="22"/>
                <w:b w:val="1"/>
                <w:bCs w:val="1"/>
                <w:color w:val="auto"/>
              </w:rPr>
              <w:t>56</w:t>
            </w:r>
          </w:p>
        </w:tc>
      </w:tr>
    </w:tbl>
    <w:p>
      <w:pPr>
        <w:spacing w:after="0" w:line="200" w:lineRule="exact"/>
        <w:rPr>
          <w:sz w:val="20"/>
          <w:szCs w:val="20"/>
          <w:color w:val="auto"/>
        </w:rPr>
      </w:pPr>
    </w:p>
    <w:p>
      <w:pPr>
        <w:sectPr>
          <w:pgSz w:w="11900" w:h="16838" w:orient="portrait"/>
          <w:cols w:equalWidth="0" w:num="1">
            <w:col w:w="10140"/>
          </w:cols>
          <w:pgMar w:left="1440" w:top="1260" w:right="32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39</w:t>
      </w:r>
    </w:p>
    <w:p>
      <w:pPr>
        <w:sectPr>
          <w:pgSz w:w="11900" w:h="16838" w:orient="portrait"/>
          <w:cols w:equalWidth="0" w:num="1">
            <w:col w:w="10140"/>
          </w:cols>
          <w:pgMar w:left="1440" w:top="1260" w:right="326" w:bottom="0" w:gutter="0" w:footer="0" w:header="0"/>
          <w:type w:val="continuous"/>
        </w:sectPr>
      </w:pPr>
    </w:p>
    <w:bookmarkStart w:id="179" w:name="page180"/>
    <w:bookmarkEnd w:id="179"/>
    <w:tbl>
      <w:tblPr>
        <w:tblLayout w:type="fixed"/>
        <w:tblInd w:w="1260" w:type="dxa"/>
        <w:tblCellMar>
          <w:top w:w="0" w:type="dxa"/>
          <w:left w:w="0" w:type="dxa"/>
          <w:bottom w:w="0" w:type="dxa"/>
          <w:right w:w="0" w:type="dxa"/>
        </w:tblCellMar>
      </w:tblPr>
      <w:tr>
        <w:trPr>
          <w:trHeight w:val="269"/>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12</w:t>
            </w:r>
          </w:p>
        </w:tc>
        <w:tc>
          <w:tcPr>
            <w:tcW w:w="5560" w:type="dxa"/>
            <w:vAlign w:val="bottom"/>
          </w:tcPr>
          <w:p>
            <w:pPr>
              <w:ind w:left="140"/>
              <w:spacing w:after="0"/>
              <w:rPr>
                <w:sz w:val="20"/>
                <w:szCs w:val="20"/>
                <w:color w:val="auto"/>
              </w:rPr>
            </w:pPr>
            <w:r>
              <w:rPr>
                <w:rFonts w:ascii="Calibri" w:cs="Calibri" w:eastAsia="Calibri" w:hAnsi="Calibri"/>
                <w:sz w:val="22"/>
                <w:szCs w:val="22"/>
                <w:b w:val="1"/>
                <w:bCs w:val="1"/>
                <w:color w:val="auto"/>
              </w:rPr>
              <w:t>Indemnities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12.1</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Nature</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12.2</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Representatives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12.3</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Currency deficiency</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12.4</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Independence and survival</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12.5</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Accounting for transactions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58</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12.6</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Liability for Regulatory Events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58</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13</w:t>
            </w:r>
          </w:p>
        </w:tc>
        <w:tc>
          <w:tcPr>
            <w:tcW w:w="5560" w:type="dxa"/>
            <w:vAlign w:val="bottom"/>
          </w:tcPr>
          <w:p>
            <w:pPr>
              <w:ind w:left="140"/>
              <w:spacing w:after="0"/>
              <w:rPr>
                <w:sz w:val="20"/>
                <w:szCs w:val="20"/>
                <w:color w:val="auto"/>
              </w:rPr>
            </w:pPr>
            <w:r>
              <w:rPr>
                <w:rFonts w:ascii="Calibri" w:cs="Calibri" w:eastAsia="Calibri" w:hAnsi="Calibri"/>
                <w:sz w:val="22"/>
                <w:szCs w:val="22"/>
                <w:b w:val="1"/>
                <w:bCs w:val="1"/>
                <w:color w:val="auto"/>
              </w:rPr>
              <w:t>Goods and Services Tax</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13.1</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Taxable supply</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13.2</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Adjustment events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13.3</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Payments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59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14</w:t>
            </w:r>
          </w:p>
        </w:tc>
        <w:tc>
          <w:tcPr>
            <w:tcW w:w="5560" w:type="dxa"/>
            <w:vAlign w:val="bottom"/>
          </w:tcPr>
          <w:p>
            <w:pPr>
              <w:ind w:left="140"/>
              <w:spacing w:after="0"/>
              <w:rPr>
                <w:sz w:val="20"/>
                <w:szCs w:val="20"/>
                <w:color w:val="auto"/>
              </w:rPr>
            </w:pPr>
            <w:r>
              <w:rPr>
                <w:rFonts w:ascii="Calibri" w:cs="Calibri" w:eastAsia="Calibri" w:hAnsi="Calibri"/>
                <w:sz w:val="22"/>
                <w:szCs w:val="22"/>
                <w:b w:val="1"/>
                <w:bCs w:val="1"/>
                <w:color w:val="auto"/>
              </w:rPr>
              <w:t>Increased costs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15</w:t>
            </w:r>
          </w:p>
        </w:tc>
        <w:tc>
          <w:tcPr>
            <w:tcW w:w="5560" w:type="dxa"/>
            <w:vAlign w:val="bottom"/>
          </w:tcPr>
          <w:p>
            <w:pPr>
              <w:ind w:left="140"/>
              <w:spacing w:after="0"/>
              <w:rPr>
                <w:sz w:val="20"/>
                <w:szCs w:val="20"/>
                <w:color w:val="auto"/>
              </w:rPr>
            </w:pPr>
            <w:r>
              <w:rPr>
                <w:rFonts w:ascii="Calibri" w:cs="Calibri" w:eastAsia="Calibri" w:hAnsi="Calibri"/>
                <w:sz w:val="22"/>
                <w:szCs w:val="22"/>
                <w:b w:val="1"/>
                <w:bCs w:val="1"/>
                <w:color w:val="auto"/>
              </w:rPr>
              <w:t>Illegality</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15.1</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Prepayment</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15.2</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Facility terminated</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16</w:t>
            </w:r>
          </w:p>
        </w:tc>
        <w:tc>
          <w:tcPr>
            <w:tcW w:w="5560" w:type="dxa"/>
            <w:vAlign w:val="bottom"/>
          </w:tcPr>
          <w:p>
            <w:pPr>
              <w:ind w:left="140"/>
              <w:spacing w:after="0"/>
              <w:rPr>
                <w:sz w:val="20"/>
                <w:szCs w:val="20"/>
                <w:color w:val="auto"/>
              </w:rPr>
            </w:pPr>
            <w:r>
              <w:rPr>
                <w:rFonts w:ascii="Calibri" w:cs="Calibri" w:eastAsia="Calibri" w:hAnsi="Calibri"/>
                <w:sz w:val="22"/>
                <w:szCs w:val="22"/>
                <w:b w:val="1"/>
                <w:bCs w:val="1"/>
                <w:color w:val="auto"/>
              </w:rPr>
              <w:t>Guarantee and indemnity</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Guarantee</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16.2</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Nature of guarantee</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16.3</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Indemnity</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16.4</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Reinstatement of rights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16.5</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Rights of the Bank are protected</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16.6</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No merger</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16.7</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Extent of Guarantor’s obligations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16.8</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Guarantor’s rights are suspended</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16.9</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Guarantor’s right of proof limited</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16.10</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No set-off against assignees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64</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16.11</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Suspense account</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64</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16.12</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Right to prove</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64</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16.13</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Release of Guarantors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64</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16.14</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New Guarantors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65</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16.15</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Consideration</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65</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16.16</w:t>
            </w:r>
          </w:p>
        </w:tc>
        <w:tc>
          <w:tcPr>
            <w:tcW w:w="5560" w:type="dxa"/>
            <w:vAlign w:val="bottom"/>
          </w:tcPr>
          <w:p>
            <w:pPr>
              <w:ind w:left="140"/>
              <w:spacing w:after="0"/>
              <w:rPr>
                <w:sz w:val="20"/>
                <w:szCs w:val="20"/>
                <w:color w:val="auto"/>
              </w:rPr>
            </w:pPr>
            <w:r>
              <w:rPr>
                <w:rFonts w:ascii="Calibri" w:cs="Calibri" w:eastAsia="Calibri" w:hAnsi="Calibri"/>
                <w:sz w:val="22"/>
                <w:szCs w:val="22"/>
                <w:color w:val="auto"/>
              </w:rPr>
              <w:t>New Guarantors</w:t>
            </w:r>
          </w:p>
        </w:tc>
        <w:tc>
          <w:tcPr>
            <w:tcW w:w="2660" w:type="dxa"/>
            <w:vAlign w:val="bottom"/>
          </w:tcPr>
          <w:p>
            <w:pPr>
              <w:jc w:val="right"/>
              <w:spacing w:after="0"/>
              <w:rPr>
                <w:sz w:val="20"/>
                <w:szCs w:val="20"/>
                <w:color w:val="auto"/>
              </w:rPr>
            </w:pPr>
            <w:r>
              <w:rPr>
                <w:rFonts w:ascii="Calibri" w:cs="Calibri" w:eastAsia="Calibri" w:hAnsi="Calibri"/>
                <w:sz w:val="22"/>
                <w:szCs w:val="22"/>
                <w:b w:val="1"/>
                <w:bCs w:val="1"/>
                <w:color w:val="auto"/>
              </w:rPr>
              <w:t>65</w:t>
            </w:r>
          </w:p>
        </w:tc>
      </w:tr>
    </w:tbl>
    <w:p>
      <w:pPr>
        <w:spacing w:after="0" w:line="200" w:lineRule="exact"/>
        <w:rPr>
          <w:sz w:val="20"/>
          <w:szCs w:val="20"/>
          <w:color w:val="auto"/>
        </w:rPr>
      </w:pPr>
    </w:p>
    <w:p>
      <w:pPr>
        <w:sectPr>
          <w:pgSz w:w="11900" w:h="16838" w:orient="portrait"/>
          <w:cols w:equalWidth="0" w:num="1">
            <w:col w:w="10140"/>
          </w:cols>
          <w:pgMar w:left="1440" w:top="1260" w:right="32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37 / 39</w:t>
      </w:r>
    </w:p>
    <w:p>
      <w:pPr>
        <w:sectPr>
          <w:pgSz w:w="11900" w:h="16838" w:orient="portrait"/>
          <w:cols w:equalWidth="0" w:num="1">
            <w:col w:w="10140"/>
          </w:cols>
          <w:pgMar w:left="1440" w:top="1260" w:right="326" w:bottom="0" w:gutter="0" w:footer="0" w:header="0"/>
          <w:type w:val="continuous"/>
        </w:sectPr>
      </w:pPr>
    </w:p>
    <w:bookmarkStart w:id="180" w:name="page181"/>
    <w:bookmarkEnd w:id="180"/>
    <w:tbl>
      <w:tblPr>
        <w:tblLayout w:type="fixed"/>
        <w:tblInd w:w="1260" w:type="dxa"/>
        <w:tblCellMar>
          <w:top w:w="0" w:type="dxa"/>
          <w:left w:w="0" w:type="dxa"/>
          <w:bottom w:w="0" w:type="dxa"/>
          <w:right w:w="0" w:type="dxa"/>
        </w:tblCellMar>
      </w:tblPr>
      <w:tr>
        <w:trPr>
          <w:trHeight w:val="269"/>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17</w:t>
            </w:r>
          </w:p>
        </w:tc>
        <w:tc>
          <w:tcPr>
            <w:tcW w:w="5540" w:type="dxa"/>
            <w:vAlign w:val="bottom"/>
          </w:tcPr>
          <w:p>
            <w:pPr>
              <w:ind w:left="140"/>
              <w:spacing w:after="0"/>
              <w:rPr>
                <w:sz w:val="20"/>
                <w:szCs w:val="20"/>
                <w:color w:val="auto"/>
              </w:rPr>
            </w:pPr>
            <w:r>
              <w:rPr>
                <w:rFonts w:ascii="Calibri" w:cs="Calibri" w:eastAsia="Calibri" w:hAnsi="Calibri"/>
                <w:sz w:val="22"/>
                <w:szCs w:val="22"/>
                <w:b w:val="1"/>
                <w:bCs w:val="1"/>
                <w:color w:val="auto"/>
              </w:rPr>
              <w:t>Attorney</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65</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17.1</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Appointment</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65</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17.2</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Not used</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17.3</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General</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18</w:t>
            </w:r>
          </w:p>
        </w:tc>
        <w:tc>
          <w:tcPr>
            <w:tcW w:w="5540" w:type="dxa"/>
            <w:vAlign w:val="bottom"/>
          </w:tcPr>
          <w:p>
            <w:pPr>
              <w:ind w:left="140"/>
              <w:spacing w:after="0"/>
              <w:rPr>
                <w:sz w:val="20"/>
                <w:szCs w:val="20"/>
                <w:color w:val="auto"/>
              </w:rPr>
            </w:pPr>
            <w:r>
              <w:rPr>
                <w:rFonts w:ascii="Calibri" w:cs="Calibri" w:eastAsia="Calibri" w:hAnsi="Calibri"/>
                <w:sz w:val="22"/>
                <w:szCs w:val="22"/>
                <w:b w:val="1"/>
                <w:bCs w:val="1"/>
                <w:color w:val="auto"/>
              </w:rPr>
              <w:t>General</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Set-off</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18.2</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Bank’s certificate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18.3</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Supervening legislation</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66</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18.4</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Time of the essence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18.5</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Business Days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18.6</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Confidentiality</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67</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18.7</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Exchange rate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18.8</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Records as evidence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18.9</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Further assurances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18.10</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Amendment</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69</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18.11</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Waiver and exercise of rights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18.12</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Rights cumulative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18.13</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Approval and consent</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18.14</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Assignment</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70</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18.15</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Counterparts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18.16</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Sovereign immunity</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18.17</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Governing law and jurisdiction</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18.18</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Telephone recording</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71</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18.19</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Legal advice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18.20</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Further assurances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18.21</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Exclusion of certain provisions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18.22</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Notice of changes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72</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b w:val="1"/>
                <w:bCs w:val="1"/>
                <w:color w:val="auto"/>
              </w:rPr>
              <w:t>19</w:t>
            </w:r>
          </w:p>
        </w:tc>
        <w:tc>
          <w:tcPr>
            <w:tcW w:w="5540" w:type="dxa"/>
            <w:vAlign w:val="bottom"/>
          </w:tcPr>
          <w:p>
            <w:pPr>
              <w:ind w:left="140"/>
              <w:spacing w:after="0"/>
              <w:rPr>
                <w:sz w:val="20"/>
                <w:szCs w:val="20"/>
                <w:color w:val="auto"/>
              </w:rPr>
            </w:pPr>
            <w:r>
              <w:rPr>
                <w:rFonts w:ascii="Calibri" w:cs="Calibri" w:eastAsia="Calibri" w:hAnsi="Calibri"/>
                <w:sz w:val="22"/>
                <w:szCs w:val="22"/>
                <w:b w:val="1"/>
                <w:bCs w:val="1"/>
                <w:color w:val="auto"/>
              </w:rPr>
              <w:t>Notices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19.1</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General</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19.2</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How to give a communication</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19.3</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Particulars for delivery of notices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73</w:t>
            </w:r>
          </w:p>
        </w:tc>
      </w:tr>
      <w:tr>
        <w:trPr>
          <w:trHeight w:val="451"/>
        </w:trPr>
        <w:tc>
          <w:tcPr>
            <w:tcW w:w="660" w:type="dxa"/>
            <w:vAlign w:val="bottom"/>
          </w:tcPr>
          <w:p>
            <w:pPr>
              <w:spacing w:after="0"/>
              <w:rPr>
                <w:sz w:val="20"/>
                <w:szCs w:val="20"/>
                <w:color w:val="auto"/>
              </w:rPr>
            </w:pPr>
            <w:r>
              <w:rPr>
                <w:rFonts w:ascii="Calibri" w:cs="Calibri" w:eastAsia="Calibri" w:hAnsi="Calibri"/>
                <w:sz w:val="22"/>
                <w:szCs w:val="22"/>
                <w:color w:val="auto"/>
              </w:rPr>
              <w:t>19.4</w:t>
            </w:r>
          </w:p>
        </w:tc>
        <w:tc>
          <w:tcPr>
            <w:tcW w:w="5540" w:type="dxa"/>
            <w:vAlign w:val="bottom"/>
          </w:tcPr>
          <w:p>
            <w:pPr>
              <w:ind w:left="140"/>
              <w:spacing w:after="0"/>
              <w:rPr>
                <w:sz w:val="20"/>
                <w:szCs w:val="20"/>
                <w:color w:val="auto"/>
              </w:rPr>
            </w:pPr>
            <w:r>
              <w:rPr>
                <w:rFonts w:ascii="Calibri" w:cs="Calibri" w:eastAsia="Calibri" w:hAnsi="Calibri"/>
                <w:sz w:val="22"/>
                <w:szCs w:val="22"/>
                <w:color w:val="auto"/>
              </w:rPr>
              <w:t>Communications by post</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73</w:t>
            </w:r>
          </w:p>
        </w:tc>
      </w:tr>
    </w:tbl>
    <w:p>
      <w:pPr>
        <w:spacing w:after="0" w:line="200" w:lineRule="exact"/>
        <w:rPr>
          <w:sz w:val="20"/>
          <w:szCs w:val="20"/>
          <w:color w:val="auto"/>
        </w:rPr>
      </w:pPr>
    </w:p>
    <w:p>
      <w:pPr>
        <w:sectPr>
          <w:pgSz w:w="11900" w:h="16838" w:orient="portrait"/>
          <w:cols w:equalWidth="0" w:num="1">
            <w:col w:w="10140"/>
          </w:cols>
          <w:pgMar w:left="1440" w:top="1260" w:right="32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38 / 39</w:t>
      </w:r>
    </w:p>
    <w:p>
      <w:pPr>
        <w:sectPr>
          <w:pgSz w:w="11900" w:h="16838" w:orient="portrait"/>
          <w:cols w:equalWidth="0" w:num="1">
            <w:col w:w="10140"/>
          </w:cols>
          <w:pgMar w:left="1440" w:top="1260" w:right="326" w:bottom="0" w:gutter="0" w:footer="0" w:header="0"/>
          <w:type w:val="continuous"/>
        </w:sectPr>
      </w:pPr>
    </w:p>
    <w:bookmarkStart w:id="181" w:name="page182"/>
    <w:bookmarkEnd w:id="181"/>
    <w:tbl>
      <w:tblPr>
        <w:tblLayout w:type="fixed"/>
        <w:tblInd w:w="1260" w:type="dxa"/>
        <w:tblCellMar>
          <w:top w:w="0" w:type="dxa"/>
          <w:left w:w="0" w:type="dxa"/>
          <w:bottom w:w="0" w:type="dxa"/>
          <w:right w:w="0" w:type="dxa"/>
        </w:tblCellMar>
      </w:tblPr>
      <w:tr>
        <w:trPr>
          <w:trHeight w:val="269"/>
        </w:trPr>
        <w:tc>
          <w:tcPr>
            <w:tcW w:w="600" w:type="dxa"/>
            <w:vAlign w:val="bottom"/>
          </w:tcPr>
          <w:p>
            <w:pPr>
              <w:jc w:val="right"/>
              <w:ind w:right="90"/>
              <w:spacing w:after="0"/>
              <w:rPr>
                <w:sz w:val="20"/>
                <w:szCs w:val="20"/>
                <w:color w:val="auto"/>
              </w:rPr>
            </w:pPr>
            <w:r>
              <w:rPr>
                <w:rFonts w:ascii="Calibri" w:cs="Calibri" w:eastAsia="Calibri" w:hAnsi="Calibri"/>
                <w:sz w:val="22"/>
                <w:szCs w:val="22"/>
                <w:color w:val="auto"/>
                <w:w w:val="97"/>
              </w:rPr>
              <w:t>19.5</w:t>
            </w:r>
          </w:p>
        </w:tc>
        <w:tc>
          <w:tcPr>
            <w:tcW w:w="5600" w:type="dxa"/>
            <w:vAlign w:val="bottom"/>
          </w:tcPr>
          <w:p>
            <w:pPr>
              <w:ind w:left="200"/>
              <w:spacing w:after="0"/>
              <w:rPr>
                <w:sz w:val="20"/>
                <w:szCs w:val="20"/>
                <w:color w:val="auto"/>
              </w:rPr>
            </w:pPr>
            <w:r>
              <w:rPr>
                <w:rFonts w:ascii="Calibri" w:cs="Calibri" w:eastAsia="Calibri" w:hAnsi="Calibri"/>
                <w:sz w:val="22"/>
                <w:szCs w:val="22"/>
                <w:color w:val="auto"/>
              </w:rPr>
              <w:t>Communications by email</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74</w:t>
            </w:r>
          </w:p>
        </w:tc>
      </w:tr>
      <w:tr>
        <w:trPr>
          <w:trHeight w:val="451"/>
        </w:trPr>
        <w:tc>
          <w:tcPr>
            <w:tcW w:w="600" w:type="dxa"/>
            <w:vAlign w:val="bottom"/>
          </w:tcPr>
          <w:p>
            <w:pPr>
              <w:jc w:val="right"/>
              <w:ind w:right="90"/>
              <w:spacing w:after="0"/>
              <w:rPr>
                <w:sz w:val="20"/>
                <w:szCs w:val="20"/>
                <w:color w:val="auto"/>
              </w:rPr>
            </w:pPr>
            <w:r>
              <w:rPr>
                <w:rFonts w:ascii="Calibri" w:cs="Calibri" w:eastAsia="Calibri" w:hAnsi="Calibri"/>
                <w:sz w:val="22"/>
                <w:szCs w:val="22"/>
                <w:color w:val="auto"/>
                <w:w w:val="97"/>
              </w:rPr>
              <w:t>19.6</w:t>
            </w:r>
          </w:p>
        </w:tc>
        <w:tc>
          <w:tcPr>
            <w:tcW w:w="5600" w:type="dxa"/>
            <w:vAlign w:val="bottom"/>
          </w:tcPr>
          <w:p>
            <w:pPr>
              <w:ind w:left="200"/>
              <w:spacing w:after="0"/>
              <w:rPr>
                <w:sz w:val="20"/>
                <w:szCs w:val="20"/>
                <w:color w:val="auto"/>
              </w:rPr>
            </w:pPr>
            <w:r>
              <w:rPr>
                <w:rFonts w:ascii="Calibri" w:cs="Calibri" w:eastAsia="Calibri" w:hAnsi="Calibri"/>
                <w:sz w:val="22"/>
                <w:szCs w:val="22"/>
                <w:color w:val="auto"/>
              </w:rPr>
              <w:t>After hours communications</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74</w:t>
            </w:r>
          </w:p>
        </w:tc>
      </w:tr>
      <w:tr>
        <w:trPr>
          <w:trHeight w:val="451"/>
        </w:trPr>
        <w:tc>
          <w:tcPr>
            <w:tcW w:w="600" w:type="dxa"/>
            <w:vAlign w:val="bottom"/>
          </w:tcPr>
          <w:p>
            <w:pPr>
              <w:jc w:val="right"/>
              <w:ind w:right="90"/>
              <w:spacing w:after="0"/>
              <w:rPr>
                <w:sz w:val="20"/>
                <w:szCs w:val="20"/>
                <w:color w:val="auto"/>
              </w:rPr>
            </w:pPr>
            <w:r>
              <w:rPr>
                <w:rFonts w:ascii="Calibri" w:cs="Calibri" w:eastAsia="Calibri" w:hAnsi="Calibri"/>
                <w:sz w:val="22"/>
                <w:szCs w:val="22"/>
                <w:color w:val="auto"/>
                <w:w w:val="97"/>
              </w:rPr>
              <w:t>19.7</w:t>
            </w:r>
          </w:p>
        </w:tc>
        <w:tc>
          <w:tcPr>
            <w:tcW w:w="5600" w:type="dxa"/>
            <w:vAlign w:val="bottom"/>
          </w:tcPr>
          <w:p>
            <w:pPr>
              <w:ind w:left="200"/>
              <w:spacing w:after="0"/>
              <w:rPr>
                <w:sz w:val="20"/>
                <w:szCs w:val="20"/>
                <w:color w:val="auto"/>
              </w:rPr>
            </w:pPr>
            <w:r>
              <w:rPr>
                <w:rFonts w:ascii="Calibri" w:cs="Calibri" w:eastAsia="Calibri" w:hAnsi="Calibri"/>
                <w:sz w:val="22"/>
                <w:szCs w:val="22"/>
                <w:color w:val="auto"/>
              </w:rPr>
              <w:t>Process service</w:t>
            </w:r>
          </w:p>
        </w:tc>
        <w:tc>
          <w:tcPr>
            <w:tcW w:w="2680" w:type="dxa"/>
            <w:vAlign w:val="bottom"/>
          </w:tcPr>
          <w:p>
            <w:pPr>
              <w:jc w:val="right"/>
              <w:spacing w:after="0"/>
              <w:rPr>
                <w:sz w:val="20"/>
                <w:szCs w:val="20"/>
                <w:color w:val="auto"/>
              </w:rPr>
            </w:pPr>
            <w:r>
              <w:rPr>
                <w:rFonts w:ascii="Calibri" w:cs="Calibri" w:eastAsia="Calibri" w:hAnsi="Calibri"/>
                <w:sz w:val="22"/>
                <w:szCs w:val="22"/>
                <w:b w:val="1"/>
                <w:bCs w:val="1"/>
                <w:color w:val="auto"/>
              </w:rPr>
              <w:t>74</w:t>
            </w:r>
          </w:p>
        </w:tc>
      </w:tr>
      <w:tr>
        <w:trPr>
          <w:trHeight w:val="451"/>
        </w:trPr>
        <w:tc>
          <w:tcPr>
            <w:tcW w:w="600" w:type="dxa"/>
            <w:vAlign w:val="bottom"/>
          </w:tcPr>
          <w:p>
            <w:pPr>
              <w:spacing w:after="0"/>
              <w:rPr>
                <w:sz w:val="24"/>
                <w:szCs w:val="24"/>
                <w:color w:val="auto"/>
              </w:rPr>
            </w:pPr>
          </w:p>
        </w:tc>
        <w:tc>
          <w:tcPr>
            <w:tcW w:w="5600" w:type="dxa"/>
            <w:vAlign w:val="bottom"/>
          </w:tcPr>
          <w:p>
            <w:pPr>
              <w:ind w:left="200"/>
              <w:spacing w:after="0"/>
              <w:rPr>
                <w:sz w:val="20"/>
                <w:szCs w:val="20"/>
                <w:color w:val="auto"/>
              </w:rPr>
            </w:pPr>
            <w:r>
              <w:rPr>
                <w:rFonts w:ascii="Calibri" w:cs="Calibri" w:eastAsia="Calibri" w:hAnsi="Calibri"/>
                <w:sz w:val="22"/>
                <w:szCs w:val="22"/>
                <w:b w:val="1"/>
                <w:bCs w:val="1"/>
                <w:color w:val="auto"/>
              </w:rPr>
              <w:t>Schedule 1 – Transaction Parties</w:t>
            </w:r>
          </w:p>
        </w:tc>
        <w:tc>
          <w:tcPr>
            <w:tcW w:w="26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40"/>
          </w:cols>
          <w:pgMar w:left="1440" w:top="1260" w:right="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39 / 39</w:t>
      </w:r>
    </w:p>
    <w:p>
      <w:pPr>
        <w:sectPr>
          <w:pgSz w:w="11900" w:h="16838" w:orient="portrait"/>
          <w:cols w:equalWidth="0" w:num="1">
            <w:col w:w="10140"/>
          </w:cols>
          <w:pgMar w:left="1440" w:top="1260" w:right="326" w:bottom="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22"/>
          <w:szCs w:val="22"/>
          <w:b w:val="1"/>
          <w:bCs w:val="1"/>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2 – Facilities</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3 – Collateral Security</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4 – Not used</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5 – Conditions Precedent</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6 – Verification Certificate</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7 – Funding Notice</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8 – Guarantor Accession Deed</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Schedule 9 –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Schedule 10 – Interim Compliance Certificate</w:t>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759460</wp:posOffset>
            </wp:positionV>
            <wp:extent cx="596773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2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98</w:t>
      </w:r>
    </w:p>
    <w:p>
      <w:pPr>
        <w:sectPr>
          <w:pgSz w:w="11900" w:h="16838" w:orient="portrait"/>
          <w:cols w:equalWidth="0" w:num="1">
            <w:col w:w="9206"/>
          </w:cols>
          <w:pgMar w:left="1260" w:top="1260" w:right="1440" w:bottom="0" w:gutter="0" w:footer="0" w:header="0"/>
          <w:type w:val="continuous"/>
        </w:sectPr>
      </w:pPr>
    </w:p>
    <w:bookmarkStart w:id="183" w:name="page184"/>
    <w:bookmarkEnd w:id="183"/>
    <w:p>
      <w:pPr>
        <w:ind w:left="7660"/>
        <w:spacing w:after="0"/>
        <w:rPr>
          <w:sz w:val="20"/>
          <w:szCs w:val="20"/>
          <w:color w:val="auto"/>
        </w:rPr>
      </w:pPr>
      <w:r>
        <w:rPr>
          <w:rFonts w:ascii="Arial" w:cs="Arial" w:eastAsia="Arial" w:hAnsi="Arial"/>
          <w:sz w:val="14"/>
          <w:szCs w:val="14"/>
          <w:color w:val="auto"/>
        </w:rPr>
        <w:t>Corrs Chambers Westgarth</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Date</w:t>
      </w:r>
    </w:p>
    <w:p>
      <w:pPr>
        <w:spacing w:after="0" w:line="103" w:lineRule="exact"/>
        <w:rPr>
          <w:sz w:val="20"/>
          <w:szCs w:val="20"/>
          <w:color w:val="auto"/>
        </w:rPr>
      </w:pPr>
    </w:p>
    <w:p>
      <w:pPr>
        <w:spacing w:after="0"/>
        <w:rPr>
          <w:sz w:val="20"/>
          <w:szCs w:val="20"/>
          <w:color w:val="auto"/>
        </w:rPr>
      </w:pPr>
      <w:r>
        <w:rPr>
          <w:rFonts w:ascii="Arial" w:cs="Arial" w:eastAsia="Arial" w:hAnsi="Arial"/>
          <w:sz w:val="36"/>
          <w:szCs w:val="36"/>
          <w:color w:val="auto"/>
        </w:rPr>
        <w:t>Parties</w:t>
      </w:r>
    </w:p>
    <w:p>
      <w:pPr>
        <w:spacing w:after="0" w:line="200" w:lineRule="exact"/>
        <w:rPr>
          <w:sz w:val="20"/>
          <w:szCs w:val="20"/>
          <w:color w:val="auto"/>
        </w:rPr>
      </w:pPr>
    </w:p>
    <w:p>
      <w:pPr>
        <w:spacing w:after="0" w:line="246" w:lineRule="exact"/>
        <w:rPr>
          <w:sz w:val="20"/>
          <w:szCs w:val="20"/>
          <w:color w:val="auto"/>
        </w:rPr>
      </w:pPr>
    </w:p>
    <w:p>
      <w:pPr>
        <w:jc w:val="both"/>
        <w:ind w:right="40"/>
        <w:spacing w:after="0" w:line="302" w:lineRule="auto"/>
        <w:rPr>
          <w:sz w:val="20"/>
          <w:szCs w:val="20"/>
          <w:color w:val="auto"/>
        </w:rPr>
      </w:pPr>
      <w:r>
        <w:rPr>
          <w:rFonts w:ascii="Arial" w:cs="Arial" w:eastAsia="Arial" w:hAnsi="Arial"/>
          <w:sz w:val="22"/>
          <w:szCs w:val="22"/>
          <w:b w:val="1"/>
          <w:bCs w:val="1"/>
          <w:color w:val="auto"/>
        </w:rPr>
        <w:t xml:space="preserve">National Australia Bank Limited </w:t>
      </w:r>
      <w:r>
        <w:rPr>
          <w:rFonts w:ascii="Arial" w:cs="Arial" w:eastAsia="Arial" w:hAnsi="Arial"/>
          <w:sz w:val="22"/>
          <w:szCs w:val="22"/>
          <w:color w:val="auto"/>
        </w:rPr>
        <w:t>ABN 12 004 044 937 of Level 17, 395 Bourke Street, Melbourne,</w:t>
      </w:r>
      <w:r>
        <w:rPr>
          <w:rFonts w:ascii="Arial" w:cs="Arial" w:eastAsia="Arial" w:hAnsi="Arial"/>
          <w:sz w:val="22"/>
          <w:szCs w:val="22"/>
          <w:b w:val="1"/>
          <w:bCs w:val="1"/>
          <w:color w:val="auto"/>
        </w:rPr>
        <w:t xml:space="preserve"> </w:t>
      </w:r>
      <w:r>
        <w:rPr>
          <w:rFonts w:ascii="Arial" w:cs="Arial" w:eastAsia="Arial" w:hAnsi="Arial"/>
          <w:sz w:val="22"/>
          <w:szCs w:val="22"/>
          <w:color w:val="auto"/>
        </w:rPr>
        <w:t>Victoria 3000 (</w:t>
      </w:r>
      <w:r>
        <w:rPr>
          <w:rFonts w:ascii="Arial" w:cs="Arial" w:eastAsia="Arial" w:hAnsi="Arial"/>
          <w:sz w:val="22"/>
          <w:szCs w:val="22"/>
          <w:b w:val="1"/>
          <w:bCs w:val="1"/>
          <w:color w:val="auto"/>
        </w:rPr>
        <w:t>Bank</w:t>
      </w:r>
      <w:r>
        <w:rPr>
          <w:rFonts w:ascii="Arial" w:cs="Arial" w:eastAsia="Arial" w:hAnsi="Arial"/>
          <w:sz w:val="22"/>
          <w:szCs w:val="22"/>
          <w:color w:val="auto"/>
        </w:rPr>
        <w:t>)</w:t>
      </w:r>
    </w:p>
    <w:p>
      <w:pPr>
        <w:spacing w:after="0" w:line="143" w:lineRule="exact"/>
        <w:rPr>
          <w:sz w:val="20"/>
          <w:szCs w:val="20"/>
          <w:color w:val="auto"/>
        </w:rPr>
      </w:pPr>
    </w:p>
    <w:p>
      <w:pPr>
        <w:jc w:val="both"/>
        <w:ind w:right="40"/>
        <w:spacing w:after="0" w:line="302" w:lineRule="auto"/>
        <w:rPr>
          <w:sz w:val="20"/>
          <w:szCs w:val="20"/>
          <w:color w:val="auto"/>
        </w:rPr>
      </w:pPr>
      <w:r>
        <w:rPr>
          <w:rFonts w:ascii="Arial" w:cs="Arial" w:eastAsia="Arial" w:hAnsi="Arial"/>
          <w:sz w:val="22"/>
          <w:szCs w:val="22"/>
          <w:b w:val="1"/>
          <w:bCs w:val="1"/>
          <w:color w:val="auto"/>
        </w:rPr>
        <w:t xml:space="preserve">Reading Entertainment Australia Pty Ltd </w:t>
      </w:r>
      <w:r>
        <w:rPr>
          <w:rFonts w:ascii="Arial" w:cs="Arial" w:eastAsia="Arial" w:hAnsi="Arial"/>
          <w:sz w:val="22"/>
          <w:szCs w:val="22"/>
          <w:color w:val="auto"/>
        </w:rPr>
        <w:t>ACN 070 893 908 of 98 York Street, South Melbourne,</w:t>
      </w:r>
      <w:r>
        <w:rPr>
          <w:rFonts w:ascii="Arial" w:cs="Arial" w:eastAsia="Arial" w:hAnsi="Arial"/>
          <w:sz w:val="22"/>
          <w:szCs w:val="22"/>
          <w:b w:val="1"/>
          <w:bCs w:val="1"/>
          <w:color w:val="auto"/>
        </w:rPr>
        <w:t xml:space="preserve"> </w:t>
      </w:r>
      <w:r>
        <w:rPr>
          <w:rFonts w:ascii="Arial" w:cs="Arial" w:eastAsia="Arial" w:hAnsi="Arial"/>
          <w:sz w:val="22"/>
          <w:szCs w:val="22"/>
          <w:color w:val="auto"/>
        </w:rPr>
        <w:t>Victoria 3205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Each person listed in schedule 1 </w:t>
      </w:r>
      <w:r>
        <w:rPr>
          <w:rFonts w:ascii="Arial" w:cs="Arial" w:eastAsia="Arial" w:hAnsi="Arial"/>
          <w:sz w:val="22"/>
          <w:szCs w:val="22"/>
          <w:color w:val="auto"/>
        </w:rPr>
        <w:t>(each an</w:t>
      </w:r>
      <w:r>
        <w:rPr>
          <w:rFonts w:ascii="Arial" w:cs="Arial" w:eastAsia="Arial" w:hAnsi="Arial"/>
          <w:sz w:val="22"/>
          <w:szCs w:val="22"/>
          <w:b w:val="1"/>
          <w:bCs w:val="1"/>
          <w:color w:val="auto"/>
        </w:rPr>
        <w:t xml:space="preserve"> Original Guarantor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447675</wp:posOffset>
            </wp:positionV>
            <wp:extent cx="5967730"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40"/>
          <w:szCs w:val="40"/>
          <w:color w:val="auto"/>
        </w:rPr>
        <w:t>Agreed terms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Interpretation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In this document:</w:t>
      </w:r>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AASB 16 </w:t>
      </w:r>
      <w:r>
        <w:rPr>
          <w:rFonts w:ascii="Arial" w:cs="Arial" w:eastAsia="Arial" w:hAnsi="Arial"/>
          <w:sz w:val="22"/>
          <w:szCs w:val="22"/>
          <w:color w:val="auto"/>
        </w:rPr>
        <w:t>means Accounting Standard AASB 16, issued by the Australian Accounting Standards Board</w:t>
      </w:r>
      <w:r>
        <w:rPr>
          <w:rFonts w:ascii="Arial" w:cs="Arial" w:eastAsia="Arial" w:hAnsi="Arial"/>
          <w:sz w:val="22"/>
          <w:szCs w:val="22"/>
          <w:b w:val="1"/>
          <w:bCs w:val="1"/>
          <w:color w:val="auto"/>
        </w:rPr>
        <w:t xml:space="preserve"> </w:t>
      </w:r>
      <w:r>
        <w:rPr>
          <w:rFonts w:ascii="Arial" w:cs="Arial" w:eastAsia="Arial" w:hAnsi="Arial"/>
          <w:sz w:val="22"/>
          <w:szCs w:val="22"/>
          <w:color w:val="auto"/>
        </w:rPr>
        <w:t>under section 334 of the Corporations Act.</w:t>
      </w:r>
    </w:p>
    <w:p>
      <w:pPr>
        <w:spacing w:after="0" w:line="353" w:lineRule="exact"/>
        <w:rPr>
          <w:sz w:val="20"/>
          <w:szCs w:val="20"/>
          <w:color w:val="auto"/>
        </w:rPr>
      </w:pPr>
    </w:p>
    <w:p>
      <w:pPr>
        <w:jc w:val="both"/>
        <w:ind w:right="40"/>
        <w:spacing w:after="0" w:line="309" w:lineRule="auto"/>
        <w:rPr>
          <w:sz w:val="20"/>
          <w:szCs w:val="20"/>
          <w:color w:val="auto"/>
        </w:rPr>
      </w:pPr>
      <w:r>
        <w:rPr>
          <w:rFonts w:ascii="Arial" w:cs="Arial" w:eastAsia="Arial" w:hAnsi="Arial"/>
          <w:sz w:val="22"/>
          <w:szCs w:val="22"/>
          <w:b w:val="1"/>
          <w:bCs w:val="1"/>
          <w:color w:val="auto"/>
        </w:rPr>
        <w:t xml:space="preserve">Accounting Standards </w:t>
      </w:r>
      <w:r>
        <w:rPr>
          <w:rFonts w:ascii="Arial" w:cs="Arial" w:eastAsia="Arial" w:hAnsi="Arial"/>
          <w:sz w:val="22"/>
          <w:szCs w:val="22"/>
          <w:color w:val="auto"/>
        </w:rPr>
        <w:t>means accounting principles and practices consistently applied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generally accepted in Australia and are consistent with any applicable legislation in each case as in effect on the date of this document, including instruments in force under section 334 of the Corporations Act and provisions of such instruments.</w:t>
      </w:r>
    </w:p>
    <w:p>
      <w:pPr>
        <w:spacing w:after="0" w:line="347" w:lineRule="exact"/>
        <w:rPr>
          <w:sz w:val="20"/>
          <w:szCs w:val="20"/>
          <w:color w:val="auto"/>
        </w:rPr>
      </w:pPr>
    </w:p>
    <w:p>
      <w:pPr>
        <w:jc w:val="both"/>
        <w:ind w:right="40"/>
        <w:spacing w:after="0" w:line="302" w:lineRule="auto"/>
        <w:rPr>
          <w:sz w:val="20"/>
          <w:szCs w:val="20"/>
          <w:color w:val="auto"/>
        </w:rPr>
      </w:pPr>
      <w:r>
        <w:rPr>
          <w:rFonts w:ascii="Arial" w:cs="Arial" w:eastAsia="Arial" w:hAnsi="Arial"/>
          <w:sz w:val="22"/>
          <w:szCs w:val="22"/>
          <w:b w:val="1"/>
          <w:bCs w:val="1"/>
          <w:color w:val="auto"/>
        </w:rPr>
        <w:t xml:space="preserve">Adjusted EBITDA </w:t>
      </w:r>
      <w:r>
        <w:rPr>
          <w:rFonts w:ascii="Arial" w:cs="Arial" w:eastAsia="Arial" w:hAnsi="Arial"/>
          <w:sz w:val="22"/>
          <w:szCs w:val="22"/>
          <w:color w:val="auto"/>
        </w:rPr>
        <w:t>means, for any period, EBITDA adjusted to include any Management Fees paid in</w:t>
      </w:r>
      <w:r>
        <w:rPr>
          <w:rFonts w:ascii="Arial" w:cs="Arial" w:eastAsia="Arial" w:hAnsi="Arial"/>
          <w:sz w:val="22"/>
          <w:szCs w:val="22"/>
          <w:b w:val="1"/>
          <w:bCs w:val="1"/>
          <w:color w:val="auto"/>
        </w:rPr>
        <w:t xml:space="preserve"> </w:t>
      </w:r>
      <w:r>
        <w:rPr>
          <w:rFonts w:ascii="Arial" w:cs="Arial" w:eastAsia="Arial" w:hAnsi="Arial"/>
          <w:sz w:val="22"/>
          <w:szCs w:val="22"/>
          <w:color w:val="auto"/>
        </w:rPr>
        <w:t>cash and exclude:</w:t>
      </w:r>
    </w:p>
    <w:p>
      <w:pPr>
        <w:spacing w:after="0" w:line="23" w:lineRule="exact"/>
        <w:rPr>
          <w:sz w:val="20"/>
          <w:szCs w:val="20"/>
          <w:color w:val="auto"/>
        </w:rPr>
      </w:pPr>
    </w:p>
    <w:p>
      <w:pPr>
        <w:jc w:val="both"/>
        <w:ind w:right="40"/>
        <w:spacing w:after="0" w:line="302" w:lineRule="auto"/>
        <w:rPr>
          <w:sz w:val="20"/>
          <w:szCs w:val="20"/>
          <w:color w:val="auto"/>
        </w:rPr>
      </w:pPr>
      <w:r>
        <w:rPr>
          <w:rFonts w:ascii="Arial" w:cs="Arial" w:eastAsia="Arial" w:hAnsi="Arial"/>
          <w:sz w:val="22"/>
          <w:szCs w:val="22"/>
          <w:color w:val="auto"/>
        </w:rPr>
        <w:t>any non-cash impairment for non-current assets included in the consolidated financial statements of the Reading Entertainment Australia Group during the relevant period;</w:t>
      </w: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color w:val="auto"/>
        </w:rPr>
        <w:t>any net gains or losses on asset sales non-operating income or losses (except any interest income);</w:t>
      </w:r>
    </w:p>
    <w:p>
      <w:pPr>
        <w:spacing w:after="0" w:line="89" w:lineRule="exact"/>
        <w:rPr>
          <w:sz w:val="20"/>
          <w:szCs w:val="20"/>
          <w:color w:val="auto"/>
        </w:rPr>
      </w:pPr>
    </w:p>
    <w:p>
      <w:pPr>
        <w:jc w:val="both"/>
        <w:ind w:right="40"/>
        <w:spacing w:after="0" w:line="310" w:lineRule="auto"/>
        <w:rPr>
          <w:sz w:val="20"/>
          <w:szCs w:val="20"/>
          <w:color w:val="auto"/>
        </w:rPr>
      </w:pPr>
      <w:r>
        <w:rPr>
          <w:rFonts w:ascii="Arial" w:cs="Arial" w:eastAsia="Arial" w:hAnsi="Arial"/>
          <w:sz w:val="22"/>
          <w:szCs w:val="22"/>
          <w:color w:val="auto"/>
        </w:rPr>
        <w:t>share of profit or loss in connection with a joint venture with a person who is not a Reading Entertainment Australia Group Member accrued Management Fees, and any net foreign exchange amounts (whether realised or unrealised) included in the consolidated financial statements of the Reading Entertainment Australia Group during the relevant period. and subject to adjustment in respect of any further extraordinary items with the Bank’s written consent.</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Advance </w:t>
      </w:r>
      <w:r>
        <w:rPr>
          <w:rFonts w:ascii="Arial" w:cs="Arial" w:eastAsia="Arial" w:hAnsi="Arial"/>
          <w:sz w:val="20"/>
          <w:szCs w:val="20"/>
          <w:color w:val="auto"/>
        </w:rPr>
        <w:t>means the principal amount of an advance made under the Corporate Markets Loan Facility .</w:t>
      </w:r>
    </w:p>
    <w:p>
      <w:pPr>
        <w:sectPr>
          <w:pgSz w:w="11900" w:h="16838" w:orient="portrait"/>
          <w:cols w:equalWidth="0" w:num="1">
            <w:col w:w="9440"/>
          </w:cols>
          <w:pgMar w:left="1260" w:top="1165"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 / 98</w:t>
      </w:r>
    </w:p>
    <w:p>
      <w:pPr>
        <w:sectPr>
          <w:pgSz w:w="11900" w:h="16838" w:orient="portrait"/>
          <w:cols w:equalWidth="0" w:num="1">
            <w:col w:w="9440"/>
          </w:cols>
          <w:pgMar w:left="1260" w:top="1165" w:right="1206" w:bottom="0" w:gutter="0" w:footer="0" w:header="0"/>
          <w:type w:val="continuous"/>
        </w:sectPr>
      </w:pPr>
    </w:p>
    <w:bookmarkStart w:id="184" w:name="page185"/>
    <w:bookmarkEnd w:id="184"/>
    <w:p>
      <w:pPr>
        <w:spacing w:after="0" w:line="302" w:lineRule="auto"/>
        <w:rPr>
          <w:sz w:val="20"/>
          <w:szCs w:val="20"/>
          <w:color w:val="auto"/>
        </w:rPr>
      </w:pPr>
      <w:r>
        <w:rPr>
          <w:rFonts w:ascii="Arial" w:cs="Arial" w:eastAsia="Arial" w:hAnsi="Arial"/>
          <w:sz w:val="22"/>
          <w:szCs w:val="22"/>
          <w:b w:val="1"/>
          <w:bCs w:val="1"/>
          <w:color w:val="auto"/>
        </w:rPr>
        <w:t xml:space="preserve">Aggregate Amount </w:t>
      </w:r>
      <w:r>
        <w:rPr>
          <w:rFonts w:ascii="Arial" w:cs="Arial" w:eastAsia="Arial" w:hAnsi="Arial"/>
          <w:sz w:val="22"/>
          <w:szCs w:val="22"/>
          <w:color w:val="auto"/>
        </w:rPr>
        <w:t>means, in relation to a Drawing, the aggregate of the Face Values of all Bank</w:t>
      </w:r>
      <w:r>
        <w:rPr>
          <w:rFonts w:ascii="Arial" w:cs="Arial" w:eastAsia="Arial" w:hAnsi="Arial"/>
          <w:sz w:val="22"/>
          <w:szCs w:val="22"/>
          <w:b w:val="1"/>
          <w:bCs w:val="1"/>
          <w:color w:val="auto"/>
        </w:rPr>
        <w:t xml:space="preserve"> </w:t>
      </w:r>
      <w:r>
        <w:rPr>
          <w:rFonts w:ascii="Arial" w:cs="Arial" w:eastAsia="Arial" w:hAnsi="Arial"/>
          <w:sz w:val="22"/>
          <w:szCs w:val="22"/>
          <w:color w:val="auto"/>
        </w:rPr>
        <w:t>Guarantees comprising that Drawing.</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Amendment Deed </w:t>
      </w:r>
      <w:r>
        <w:rPr>
          <w:rFonts w:ascii="Arial" w:cs="Arial" w:eastAsia="Arial" w:hAnsi="Arial"/>
          <w:sz w:val="22"/>
          <w:szCs w:val="22"/>
          <w:color w:val="auto"/>
        </w:rPr>
        <w:t>means the document entitled ‘Amendment Deed’ executed in March 2019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Bank and the Transaction Parties.</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Annual Compliance Certificate </w:t>
      </w:r>
      <w:r>
        <w:rPr>
          <w:rFonts w:ascii="Arial" w:cs="Arial" w:eastAsia="Arial" w:hAnsi="Arial"/>
          <w:sz w:val="22"/>
          <w:szCs w:val="22"/>
          <w:color w:val="auto"/>
        </w:rPr>
        <w:t>means, in relation to a Financial Year, a certificate substantially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form of </w:t>
      </w:r>
      <w:r>
        <w:rPr>
          <w:rFonts w:ascii="Arial" w:cs="Arial" w:eastAsia="Arial" w:hAnsi="Arial"/>
          <w:sz w:val="22"/>
          <w:szCs w:val="22"/>
          <w:b w:val="1"/>
          <w:bCs w:val="1"/>
          <w:color w:val="auto"/>
        </w:rPr>
        <w:t>schedule 9</w:t>
      </w:r>
      <w:r>
        <w:rPr>
          <w:rFonts w:ascii="Arial" w:cs="Arial" w:eastAsia="Arial" w:hAnsi="Arial"/>
          <w:sz w:val="22"/>
          <w:szCs w:val="22"/>
          <w:color w:val="auto"/>
        </w:rPr>
        <w:t>.</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Approved Valuer </w:t>
      </w:r>
      <w:r>
        <w:rPr>
          <w:rFonts w:ascii="Arial" w:cs="Arial" w:eastAsia="Arial" w:hAnsi="Arial"/>
          <w:sz w:val="22"/>
          <w:szCs w:val="22"/>
          <w:color w:val="auto"/>
        </w:rPr>
        <w:t>means a company or firm of duly qualified and licensed real estate valuers acceptable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Bank in all respects and instructed by (or with the approval of) the Bank.</w:t>
      </w:r>
    </w:p>
    <w:p>
      <w:pPr>
        <w:spacing w:after="0" w:line="353" w:lineRule="exact"/>
        <w:rPr>
          <w:sz w:val="20"/>
          <w:szCs w:val="20"/>
          <w:color w:val="auto"/>
        </w:rPr>
      </w:pPr>
    </w:p>
    <w:p>
      <w:pPr>
        <w:ind w:left="40" w:hanging="54"/>
        <w:spacing w:after="0" w:line="302" w:lineRule="auto"/>
        <w:rPr>
          <w:sz w:val="20"/>
          <w:szCs w:val="20"/>
          <w:color w:val="auto"/>
        </w:rPr>
      </w:pPr>
      <w:r>
        <w:rPr>
          <w:rFonts w:ascii="Arial" w:cs="Arial" w:eastAsia="Arial" w:hAnsi="Arial"/>
          <w:sz w:val="22"/>
          <w:szCs w:val="22"/>
          <w:b w:val="1"/>
          <w:bCs w:val="1"/>
          <w:color w:val="auto"/>
        </w:rPr>
        <w:t xml:space="preserve">April 2024 Amendment Date </w:t>
      </w:r>
      <w:r>
        <w:rPr>
          <w:rFonts w:ascii="Arial" w:cs="Arial" w:eastAsia="Arial" w:hAnsi="Arial"/>
          <w:sz w:val="22"/>
          <w:szCs w:val="22"/>
          <w:color w:val="auto"/>
        </w:rPr>
        <w:t>has the meaning given to the term ‘Effective Date’ in the April 2024</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Deed.</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April 2024 Amendment Deed </w:t>
      </w:r>
      <w:r>
        <w:rPr>
          <w:rFonts w:ascii="Arial" w:cs="Arial" w:eastAsia="Arial" w:hAnsi="Arial"/>
          <w:sz w:val="22"/>
          <w:szCs w:val="22"/>
          <w:color w:val="auto"/>
        </w:rPr>
        <w:t>means the Amendment Deed dated on or about 4 April 2024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each Guarantor and the Bank, under which this document is amended.</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Attorney </w:t>
      </w:r>
      <w:r>
        <w:rPr>
          <w:rFonts w:ascii="Arial" w:cs="Arial" w:eastAsia="Arial" w:hAnsi="Arial"/>
          <w:sz w:val="22"/>
          <w:szCs w:val="22"/>
          <w:color w:val="auto"/>
        </w:rPr>
        <w:t>means any attorney appointed under this document and any sub-attorney appointed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w:t>
      </w:r>
    </w:p>
    <w:p>
      <w:pPr>
        <w:spacing w:after="0" w:line="353" w:lineRule="exact"/>
        <w:rPr>
          <w:sz w:val="20"/>
          <w:szCs w:val="20"/>
          <w:color w:val="auto"/>
        </w:rPr>
      </w:pPr>
    </w:p>
    <w:p>
      <w:pPr>
        <w:ind w:left="40" w:hanging="54"/>
        <w:spacing w:after="0" w:line="302" w:lineRule="auto"/>
        <w:rPr>
          <w:sz w:val="20"/>
          <w:szCs w:val="20"/>
          <w:color w:val="auto"/>
        </w:rPr>
      </w:pPr>
      <w:r>
        <w:rPr>
          <w:rFonts w:ascii="Arial" w:cs="Arial" w:eastAsia="Arial" w:hAnsi="Arial"/>
          <w:sz w:val="22"/>
          <w:szCs w:val="22"/>
          <w:b w:val="1"/>
          <w:bCs w:val="1"/>
          <w:color w:val="auto"/>
        </w:rPr>
        <w:t xml:space="preserve">August 2023 Amendment Date </w:t>
      </w:r>
      <w:r>
        <w:rPr>
          <w:rFonts w:ascii="Arial" w:cs="Arial" w:eastAsia="Arial" w:hAnsi="Arial"/>
          <w:sz w:val="22"/>
          <w:szCs w:val="22"/>
          <w:color w:val="auto"/>
        </w:rPr>
        <w:t>has the meaning given to the term ‘Effective Date’ in the August 2023</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Deed.</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August 2023 Amendment Deed </w:t>
      </w:r>
      <w:r>
        <w:rPr>
          <w:rFonts w:ascii="Arial" w:cs="Arial" w:eastAsia="Arial" w:hAnsi="Arial"/>
          <w:sz w:val="22"/>
          <w:szCs w:val="22"/>
          <w:color w:val="auto"/>
        </w:rPr>
        <w:t>means the Amendment Deed dated on or about August 2023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Borrower, each Guarantor and the Bank, under which this document is amended.</w:t>
      </w:r>
    </w:p>
    <w:p>
      <w:pPr>
        <w:spacing w:after="0" w:line="353" w:lineRule="exact"/>
        <w:rPr>
          <w:sz w:val="20"/>
          <w:szCs w:val="20"/>
          <w:color w:val="auto"/>
        </w:rPr>
      </w:pPr>
    </w:p>
    <w:p>
      <w:pPr>
        <w:ind w:right="180"/>
        <w:spacing w:after="0" w:line="311" w:lineRule="auto"/>
        <w:rPr>
          <w:sz w:val="20"/>
          <w:szCs w:val="20"/>
          <w:color w:val="auto"/>
        </w:rPr>
      </w:pPr>
      <w:r>
        <w:rPr>
          <w:rFonts w:ascii="Arial" w:cs="Arial" w:eastAsia="Arial" w:hAnsi="Arial"/>
          <w:sz w:val="22"/>
          <w:szCs w:val="22"/>
          <w:b w:val="1"/>
          <w:bCs w:val="1"/>
          <w:color w:val="auto"/>
        </w:rPr>
        <w:t xml:space="preserve">Authorisation </w:t>
      </w:r>
      <w:r>
        <w:rPr>
          <w:rFonts w:ascii="Arial" w:cs="Arial" w:eastAsia="Arial" w:hAnsi="Arial"/>
          <w:sz w:val="22"/>
          <w:szCs w:val="22"/>
          <w:color w:val="auto"/>
        </w:rPr>
        <w:t>includes any authorisation, consent, licence, permission, approval or exemption from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p>
      <w:pPr>
        <w:spacing w:after="0" w:line="343" w:lineRule="exact"/>
        <w:rPr>
          <w:sz w:val="20"/>
          <w:szCs w:val="20"/>
          <w:color w:val="auto"/>
        </w:rPr>
      </w:pPr>
    </w:p>
    <w:p>
      <w:pPr>
        <w:jc w:val="both"/>
        <w:spacing w:after="0" w:line="367" w:lineRule="auto"/>
        <w:rPr>
          <w:sz w:val="20"/>
          <w:szCs w:val="20"/>
          <w:color w:val="auto"/>
        </w:rPr>
      </w:pPr>
      <w:r>
        <w:rPr>
          <w:rFonts w:ascii="Arial" w:cs="Arial" w:eastAsia="Arial" w:hAnsi="Arial"/>
          <w:sz w:val="19"/>
          <w:szCs w:val="19"/>
          <w:b w:val="1"/>
          <w:bCs w:val="1"/>
          <w:color w:val="auto"/>
        </w:rPr>
        <w:t xml:space="preserve">Authorised Representative </w:t>
      </w:r>
      <w:r>
        <w:rPr>
          <w:rFonts w:ascii="Arial" w:cs="Arial" w:eastAsia="Arial" w:hAnsi="Arial"/>
          <w:sz w:val="19"/>
          <w:szCs w:val="19"/>
          <w:color w:val="auto"/>
        </w:rPr>
        <w:t>means, in relation to any party to this document, a person with the right to act</w:t>
      </w:r>
      <w:r>
        <w:rPr>
          <w:rFonts w:ascii="Arial" w:cs="Arial" w:eastAsia="Arial" w:hAnsi="Arial"/>
          <w:sz w:val="19"/>
          <w:szCs w:val="19"/>
          <w:b w:val="1"/>
          <w:bCs w:val="1"/>
          <w:color w:val="auto"/>
        </w:rPr>
        <w:t xml:space="preserve"> </w:t>
      </w:r>
      <w:r>
        <w:rPr>
          <w:rFonts w:ascii="Arial" w:cs="Arial" w:eastAsia="Arial" w:hAnsi="Arial"/>
          <w:sz w:val="19"/>
          <w:szCs w:val="19"/>
          <w:color w:val="auto"/>
        </w:rPr>
        <w:t>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p>
      <w:pPr>
        <w:spacing w:after="0" w:line="305"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Availability Period </w:t>
      </w:r>
      <w:r>
        <w:rPr>
          <w:rFonts w:ascii="Arial" w:cs="Arial" w:eastAsia="Arial" w:hAnsi="Arial"/>
          <w:sz w:val="22"/>
          <w:szCs w:val="22"/>
          <w:color w:val="auto"/>
        </w:rPr>
        <w:t>means in respect of each Facility, the period beginning on the date on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precedent are satisfied or waived by the Bank in accordance with the Transaction Documents and ending on the Termination Date.</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98</w:t>
      </w:r>
    </w:p>
    <w:p>
      <w:pPr>
        <w:sectPr>
          <w:pgSz w:w="11900" w:h="16838" w:orient="portrait"/>
          <w:cols w:equalWidth="0" w:num="1">
            <w:col w:w="9400"/>
          </w:cols>
          <w:pgMar w:left="1260" w:top="1177" w:right="1246" w:bottom="0" w:gutter="0" w:footer="0" w:header="0"/>
          <w:type w:val="continuous"/>
        </w:sectPr>
      </w:pPr>
    </w:p>
    <w:bookmarkStart w:id="185" w:name="page186"/>
    <w:bookmarkEnd w:id="185"/>
    <w:p>
      <w:pPr>
        <w:spacing w:after="0" w:line="67"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Available Commitment </w:t>
      </w:r>
      <w:r>
        <w:rPr>
          <w:rFonts w:ascii="Arial" w:cs="Arial" w:eastAsia="Arial" w:hAnsi="Arial"/>
          <w:sz w:val="22"/>
          <w:szCs w:val="22"/>
          <w:color w:val="auto"/>
        </w:rPr>
        <w:t>means in respect of a Facility, the Facility Limit less the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Accommodation relating to that Facility.</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Bank Guarantee </w:t>
      </w:r>
      <w:r>
        <w:rPr>
          <w:rFonts w:ascii="Arial" w:cs="Arial" w:eastAsia="Arial" w:hAnsi="Arial"/>
          <w:sz w:val="22"/>
          <w:szCs w:val="22"/>
          <w:color w:val="auto"/>
        </w:rPr>
        <w:t>means each bank guarantee issued (or deemed to have been issued)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this document.</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Bank Guarantee Facility </w:t>
      </w:r>
      <w:r>
        <w:rPr>
          <w:rFonts w:ascii="Arial" w:cs="Arial" w:eastAsia="Arial" w:hAnsi="Arial"/>
          <w:sz w:val="22"/>
          <w:szCs w:val="22"/>
          <w:color w:val="auto"/>
        </w:rPr>
        <w:t>means the Facility described as such in</w:t>
      </w:r>
      <w:r>
        <w:rPr>
          <w:rFonts w:ascii="Arial" w:cs="Arial" w:eastAsia="Arial" w:hAnsi="Arial"/>
          <w:sz w:val="22"/>
          <w:szCs w:val="22"/>
          <w:b w:val="1"/>
          <w:bCs w:val="1"/>
          <w:color w:val="auto"/>
        </w:rPr>
        <w:t xml:space="preserve"> schedule 2 </w:t>
      </w:r>
      <w:r>
        <w:rPr>
          <w:rFonts w:ascii="Arial" w:cs="Arial" w:eastAsia="Arial" w:hAnsi="Arial"/>
          <w:sz w:val="22"/>
          <w:szCs w:val="22"/>
          <w:color w:val="auto"/>
        </w:rPr>
        <w:t>and granted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w:t>
      </w:r>
      <w:r>
        <w:rPr>
          <w:rFonts w:ascii="Arial" w:cs="Arial" w:eastAsia="Arial" w:hAnsi="Arial"/>
          <w:sz w:val="22"/>
          <w:szCs w:val="22"/>
          <w:b w:val="1"/>
          <w:bCs w:val="1"/>
          <w:color w:val="auto"/>
        </w:rPr>
        <w:t>clause 4.1(a)(ii)</w:t>
      </w:r>
      <w:r>
        <w:rPr>
          <w:rFonts w:ascii="Arial" w:cs="Arial" w:eastAsia="Arial" w:hAnsi="Arial"/>
          <w:sz w:val="22"/>
          <w:szCs w:val="22"/>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Base Rate </w:t>
      </w:r>
      <w:r>
        <w:rPr>
          <w:rFonts w:ascii="Arial" w:cs="Arial" w:eastAsia="Arial" w:hAnsi="Arial"/>
          <w:sz w:val="22"/>
          <w:szCs w:val="22"/>
          <w:color w:val="auto"/>
        </w:rPr>
        <w:t>means, in relation to a Pricing Period:</w:t>
      </w:r>
    </w:p>
    <w:p>
      <w:pPr>
        <w:spacing w:after="0" w:line="88" w:lineRule="exact"/>
        <w:rPr>
          <w:sz w:val="20"/>
          <w:szCs w:val="20"/>
          <w:color w:val="auto"/>
        </w:rPr>
      </w:pPr>
    </w:p>
    <w:p>
      <w:pPr>
        <w:jc w:val="both"/>
        <w:ind w:left="1440" w:hanging="726"/>
        <w:spacing w:after="0" w:line="310" w:lineRule="auto"/>
        <w:tabs>
          <w:tab w:leader="none" w:pos="1486"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rate (expressed as a percentage yield per annum to maturity, and not being less than zero) being the arithmetic average (rounded up to the nearest four decimal places) of the buying rates published at or about 10.15 am on the first Business Day of the Pricing Period on the Reuters Screen under the heading “BBSY” for Bills with a tenor as nearly as possible equal to that Pricing Period; or</w:t>
      </w:r>
    </w:p>
    <w:p>
      <w:pPr>
        <w:spacing w:after="0" w:line="5" w:lineRule="exact"/>
        <w:rPr>
          <w:rFonts w:ascii="Arial" w:cs="Arial" w:eastAsia="Arial" w:hAnsi="Arial"/>
          <w:sz w:val="22"/>
          <w:szCs w:val="22"/>
          <w:color w:val="auto"/>
        </w:rPr>
      </w:pPr>
    </w:p>
    <w:p>
      <w:pPr>
        <w:ind w:left="1500" w:hanging="786"/>
        <w:spacing w:after="0"/>
        <w:tabs>
          <w:tab w:leader="none" w:pos="15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if:</w:t>
      </w:r>
    </w:p>
    <w:p>
      <w:pPr>
        <w:spacing w:after="0" w:line="77" w:lineRule="exact"/>
        <w:rPr>
          <w:rFonts w:ascii="Arial" w:cs="Arial" w:eastAsia="Arial" w:hAnsi="Arial"/>
          <w:sz w:val="22"/>
          <w:szCs w:val="22"/>
          <w:color w:val="auto"/>
        </w:rPr>
      </w:pPr>
    </w:p>
    <w:p>
      <w:pPr>
        <w:ind w:left="1020" w:hanging="378"/>
        <w:spacing w:after="0"/>
        <w:tabs>
          <w:tab w:leader="none" w:pos="10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rate is not displayed for a term equivalent to that period; or</w:t>
      </w:r>
    </w:p>
    <w:p>
      <w:pPr>
        <w:spacing w:after="0" w:line="87" w:lineRule="exact"/>
        <w:rPr>
          <w:rFonts w:ascii="Arial" w:cs="Arial" w:eastAsia="Arial" w:hAnsi="Arial"/>
          <w:sz w:val="22"/>
          <w:szCs w:val="22"/>
          <w:color w:val="auto"/>
        </w:rPr>
      </w:pPr>
    </w:p>
    <w:p>
      <w:pPr>
        <w:ind w:left="1360" w:right="20" w:hanging="718"/>
        <w:spacing w:after="0" w:line="302" w:lineRule="auto"/>
        <w:tabs>
          <w:tab w:leader="none" w:pos="10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basis of the calculation of the rate is changed after the date of this document so that in the opinion of the Bank it ceases to reflect the cost of providing the Facility,</w:t>
      </w:r>
    </w:p>
    <w:p>
      <w:pPr>
        <w:spacing w:after="0" w:line="353" w:lineRule="exact"/>
        <w:rPr>
          <w:sz w:val="20"/>
          <w:szCs w:val="20"/>
          <w:color w:val="auto"/>
        </w:rPr>
      </w:pPr>
    </w:p>
    <w:p>
      <w:pPr>
        <w:jc w:val="both"/>
        <w:spacing w:after="0" w:line="346" w:lineRule="auto"/>
        <w:rPr>
          <w:sz w:val="20"/>
          <w:szCs w:val="20"/>
          <w:color w:val="auto"/>
        </w:rPr>
      </w:pPr>
      <w:r>
        <w:rPr>
          <w:rFonts w:ascii="Arial" w:cs="Arial" w:eastAsia="Arial" w:hAnsi="Arial"/>
          <w:sz w:val="20"/>
          <w:szCs w:val="20"/>
          <w:color w:val="auto"/>
        </w:rPr>
        <w:t>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w:t>
      </w:r>
    </w:p>
    <w:p>
      <w:pPr>
        <w:spacing w:after="0" w:line="32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in relation to a Bank Guarantee, the person who from time to time is entitled to make a</w:t>
      </w:r>
      <w:r>
        <w:rPr>
          <w:rFonts w:ascii="Arial" w:cs="Arial" w:eastAsia="Arial" w:hAnsi="Arial"/>
          <w:sz w:val="22"/>
          <w:szCs w:val="22"/>
          <w:b w:val="1"/>
          <w:bCs w:val="1"/>
          <w:color w:val="auto"/>
        </w:rPr>
        <w:t xml:space="preserve"> </w:t>
      </w:r>
      <w:r>
        <w:rPr>
          <w:rFonts w:ascii="Arial" w:cs="Arial" w:eastAsia="Arial" w:hAnsi="Arial"/>
          <w:sz w:val="22"/>
          <w:szCs w:val="22"/>
          <w:color w:val="auto"/>
        </w:rPr>
        <w:t>claim for payment under that Bank Guarantee against the Bank.</w:t>
      </w:r>
    </w:p>
    <w:p>
      <w:pPr>
        <w:spacing w:after="0" w:line="2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Bill </w:t>
      </w:r>
      <w:r>
        <w:rPr>
          <w:rFonts w:ascii="Arial" w:cs="Arial" w:eastAsia="Arial" w:hAnsi="Arial"/>
          <w:sz w:val="22"/>
          <w:szCs w:val="22"/>
          <w:color w:val="auto"/>
        </w:rPr>
        <w:t>means a bill of exchange as defined in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Bills of Exchange Act 1909</w:t>
      </w:r>
      <w:r>
        <w:rPr>
          <w:rFonts w:ascii="Arial" w:cs="Arial" w:eastAsia="Arial" w:hAnsi="Arial"/>
          <w:sz w:val="22"/>
          <w:szCs w:val="22"/>
          <w:b w:val="1"/>
          <w:bCs w:val="1"/>
          <w:color w:val="auto"/>
        </w:rPr>
        <w:t xml:space="preserve"> </w:t>
      </w:r>
      <w:r>
        <w:rPr>
          <w:rFonts w:ascii="Arial" w:cs="Arial" w:eastAsia="Arial" w:hAnsi="Arial"/>
          <w:sz w:val="22"/>
          <w:szCs w:val="22"/>
          <w:color w:val="auto"/>
        </w:rPr>
        <w:t>(but does not include a</w:t>
      </w:r>
      <w:r>
        <w:rPr>
          <w:rFonts w:ascii="Arial" w:cs="Arial" w:eastAsia="Arial" w:hAnsi="Arial"/>
          <w:sz w:val="22"/>
          <w:szCs w:val="22"/>
          <w:b w:val="1"/>
          <w:bCs w:val="1"/>
          <w:color w:val="auto"/>
        </w:rPr>
        <w:t xml:space="preserve"> </w:t>
      </w:r>
      <w:r>
        <w:rPr>
          <w:rFonts w:ascii="Arial" w:cs="Arial" w:eastAsia="Arial" w:hAnsi="Arial"/>
          <w:sz w:val="22"/>
          <w:szCs w:val="22"/>
          <w:color w:val="auto"/>
        </w:rPr>
        <w:t>cheque). It includes a document which, when signed by the persons named as drawer and acceptor in the relevant document, will become such a bill of exchange.</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Break Costs </w:t>
      </w:r>
      <w:r>
        <w:rPr>
          <w:rFonts w:ascii="Arial" w:cs="Arial" w:eastAsia="Arial" w:hAnsi="Arial"/>
          <w:sz w:val="22"/>
          <w:szCs w:val="22"/>
          <w:color w:val="auto"/>
        </w:rPr>
        <w:t>means, in relation to any financial accommodation provided or to be provided by the Bank</w:t>
      </w:r>
      <w:r>
        <w:rPr>
          <w:rFonts w:ascii="Arial" w:cs="Arial" w:eastAsia="Arial" w:hAnsi="Arial"/>
          <w:sz w:val="22"/>
          <w:szCs w:val="22"/>
          <w:b w:val="1"/>
          <w:bCs w:val="1"/>
          <w:color w:val="auto"/>
        </w:rPr>
        <w:t xml:space="preserve"> </w:t>
      </w:r>
      <w:r>
        <w:rPr>
          <w:rFonts w:ascii="Arial" w:cs="Arial" w:eastAsia="Arial" w:hAnsi="Arial"/>
          <w:sz w:val="22"/>
          <w:szCs w:val="22"/>
          <w:color w:val="auto"/>
        </w:rPr>
        <w:t>under a Facility, any liability or costs incurred by the Bank by reason of:</w:t>
      </w:r>
    </w:p>
    <w:p>
      <w:pPr>
        <w:spacing w:after="0" w:line="353" w:lineRule="exact"/>
        <w:rPr>
          <w:sz w:val="20"/>
          <w:szCs w:val="20"/>
          <w:color w:val="auto"/>
        </w:rPr>
      </w:pPr>
    </w:p>
    <w:p>
      <w:pPr>
        <w:ind w:left="1440" w:hanging="726"/>
        <w:spacing w:after="0" w:line="302" w:lineRule="auto"/>
        <w:tabs>
          <w:tab w:leader="none" w:pos="1486" w:val="left"/>
        </w:tabs>
        <w:numPr>
          <w:ilvl w:val="0"/>
          <w:numId w:val="92"/>
        </w:numPr>
        <w:rPr>
          <w:rFonts w:ascii="Arial" w:cs="Arial" w:eastAsia="Arial" w:hAnsi="Arial"/>
          <w:sz w:val="22"/>
          <w:szCs w:val="22"/>
          <w:color w:val="auto"/>
        </w:rPr>
      </w:pPr>
      <w:r>
        <w:rPr>
          <w:rFonts w:ascii="Arial" w:cs="Arial" w:eastAsia="Arial" w:hAnsi="Arial"/>
          <w:sz w:val="22"/>
          <w:szCs w:val="22"/>
          <w:color w:val="auto"/>
        </w:rPr>
        <w:t>liquidating or re-deploying deposits or other funds acquired or contracted for by or on account of the Borrower or the Bank;</w:t>
      </w:r>
    </w:p>
    <w:p>
      <w:pPr>
        <w:spacing w:after="0" w:line="23" w:lineRule="exact"/>
        <w:rPr>
          <w:rFonts w:ascii="Arial" w:cs="Arial" w:eastAsia="Arial" w:hAnsi="Arial"/>
          <w:sz w:val="22"/>
          <w:szCs w:val="22"/>
          <w:color w:val="auto"/>
        </w:rPr>
      </w:pPr>
    </w:p>
    <w:p>
      <w:pPr>
        <w:jc w:val="both"/>
        <w:ind w:left="1440" w:hanging="726"/>
        <w:spacing w:after="0" w:line="328" w:lineRule="auto"/>
        <w:tabs>
          <w:tab w:leader="none" w:pos="1499" w:val="left"/>
        </w:tabs>
        <w:numPr>
          <w:ilvl w:val="0"/>
          <w:numId w:val="92"/>
        </w:numPr>
        <w:rPr>
          <w:rFonts w:ascii="Arial" w:cs="Arial" w:eastAsia="Arial" w:hAnsi="Arial"/>
          <w:sz w:val="21"/>
          <w:szCs w:val="21"/>
          <w:color w:val="auto"/>
        </w:rPr>
      </w:pPr>
      <w:r>
        <w:rPr>
          <w:rFonts w:ascii="Arial" w:cs="Arial" w:eastAsia="Arial" w:hAnsi="Arial"/>
          <w:sz w:val="21"/>
          <w:szCs w:val="21"/>
          <w:color w:val="auto"/>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98</w:t>
      </w:r>
    </w:p>
    <w:p>
      <w:pPr>
        <w:sectPr>
          <w:pgSz w:w="11900" w:h="16838" w:orient="portrait"/>
          <w:cols w:equalWidth="0" w:num="1">
            <w:col w:w="9400"/>
          </w:cols>
          <w:pgMar w:left="1260" w:top="1440" w:right="1246" w:bottom="0" w:gutter="0" w:footer="0" w:header="0"/>
          <w:type w:val="continuous"/>
        </w:sectPr>
      </w:pPr>
    </w:p>
    <w:bookmarkStart w:id="186" w:name="page187"/>
    <w:bookmarkEnd w:id="186"/>
    <w:p>
      <w:pPr>
        <w:ind w:left="1480" w:hanging="766"/>
        <w:spacing w:after="0"/>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loss of any margins in relation to future lending or loss of any fees.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Business Day </w:t>
      </w:r>
      <w:r>
        <w:rPr>
          <w:rFonts w:ascii="Arial" w:cs="Arial" w:eastAsia="Arial" w:hAnsi="Arial"/>
          <w:sz w:val="21"/>
          <w:szCs w:val="21"/>
          <w:color w:val="auto"/>
        </w:rPr>
        <w:t>means a day which is not a Saturday, Sunday or bank or public holiday in Melbourne.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Cash </w:t>
      </w:r>
      <w:r>
        <w:rPr>
          <w:rFonts w:ascii="Arial" w:cs="Arial" w:eastAsia="Arial" w:hAnsi="Arial"/>
          <w:sz w:val="22"/>
          <w:szCs w:val="22"/>
          <w:color w:val="auto"/>
        </w:rPr>
        <w:t>means all cash on hand, short term deposits and cash equivalents.</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Cash Cover Rate </w:t>
      </w:r>
      <w:r>
        <w:rPr>
          <w:rFonts w:ascii="Arial" w:cs="Arial" w:eastAsia="Arial" w:hAnsi="Arial"/>
          <w:sz w:val="22"/>
          <w:szCs w:val="22"/>
          <w:color w:val="auto"/>
        </w:rPr>
        <w:t>means the rate (expressed as a rate per centum per annum) determined by the Bank (in</w:t>
      </w:r>
      <w:r>
        <w:rPr>
          <w:rFonts w:ascii="Arial" w:cs="Arial" w:eastAsia="Arial" w:hAnsi="Arial"/>
          <w:sz w:val="22"/>
          <w:szCs w:val="22"/>
          <w:b w:val="1"/>
          <w:bCs w:val="1"/>
          <w:color w:val="auto"/>
        </w:rPr>
        <w:t xml:space="preserve"> </w:t>
      </w:r>
      <w:r>
        <w:rPr>
          <w:rFonts w:ascii="Arial" w:cs="Arial" w:eastAsia="Arial" w:hAnsi="Arial"/>
          <w:sz w:val="22"/>
          <w:szCs w:val="22"/>
          <w:color w:val="auto"/>
        </w:rPr>
        <w:t>good faith) to be the interest rate which it would pay on deposits at call for an amount similar to the amount at which the relevant deposit is made.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Calculation Date </w:t>
      </w:r>
      <w:r>
        <w:rPr>
          <w:rFonts w:ascii="Arial" w:cs="Arial" w:eastAsia="Arial" w:hAnsi="Arial"/>
          <w:sz w:val="22"/>
          <w:szCs w:val="22"/>
          <w:color w:val="auto"/>
        </w:rPr>
        <w:t>means 31 March, 30 June, 30 September and 31 December in each year.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Calculation Period </w:t>
      </w:r>
      <w:r>
        <w:rPr>
          <w:rFonts w:ascii="Arial" w:cs="Arial" w:eastAsia="Arial" w:hAnsi="Arial"/>
          <w:sz w:val="22"/>
          <w:szCs w:val="22"/>
          <w:color w:val="auto"/>
        </w:rPr>
        <w:t>means each period of twelve months ending on a Calculation Date.</w:t>
      </w:r>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means there is a change (from that prevailing at the date of this document)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who control any of the following in respect of a Transaction Party:</w:t>
      </w:r>
    </w:p>
    <w:p>
      <w:pPr>
        <w:spacing w:after="0" w:line="353" w:lineRule="exact"/>
        <w:rPr>
          <w:sz w:val="20"/>
          <w:szCs w:val="20"/>
          <w:color w:val="auto"/>
        </w:rPr>
      </w:pPr>
    </w:p>
    <w:p>
      <w:pPr>
        <w:ind w:left="1440" w:hanging="726"/>
        <w:spacing w:after="0" w:line="302" w:lineRule="auto"/>
        <w:tabs>
          <w:tab w:leader="none" w:pos="1486" w:val="left"/>
        </w:tabs>
        <w:numPr>
          <w:ilvl w:val="0"/>
          <w:numId w:val="94"/>
        </w:numPr>
        <w:rPr>
          <w:rFonts w:ascii="Arial" w:cs="Arial" w:eastAsia="Arial" w:hAnsi="Arial"/>
          <w:sz w:val="22"/>
          <w:szCs w:val="22"/>
          <w:color w:val="auto"/>
        </w:rPr>
      </w:pPr>
      <w:r>
        <w:rPr>
          <w:rFonts w:ascii="Arial" w:cs="Arial" w:eastAsia="Arial" w:hAnsi="Arial"/>
          <w:sz w:val="22"/>
          <w:szCs w:val="22"/>
          <w:color w:val="auto"/>
        </w:rPr>
        <w:t>more than 50% of the votes eligible to be cast in the election of directors or any similar matter; or</w:t>
      </w:r>
    </w:p>
    <w:p>
      <w:pPr>
        <w:spacing w:after="0" w:line="23" w:lineRule="exact"/>
        <w:rPr>
          <w:rFonts w:ascii="Arial" w:cs="Arial" w:eastAsia="Arial" w:hAnsi="Arial"/>
          <w:sz w:val="22"/>
          <w:szCs w:val="22"/>
          <w:color w:val="auto"/>
        </w:rPr>
      </w:pPr>
    </w:p>
    <w:p>
      <w:pPr>
        <w:jc w:val="both"/>
        <w:ind w:left="1440" w:hanging="726"/>
        <w:spacing w:after="0" w:line="307" w:lineRule="auto"/>
        <w:tabs>
          <w:tab w:leader="none" w:pos="1499"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right to appoint or remove directors (or members of a governing body having functions similar to a board of directors) representing more than 50% of the votes exercisable by the directors (or persons have similar functions); or</w:t>
      </w:r>
    </w:p>
    <w:p>
      <w:pPr>
        <w:spacing w:after="0" w:line="19" w:lineRule="exact"/>
        <w:rPr>
          <w:rFonts w:ascii="Arial" w:cs="Arial" w:eastAsia="Arial" w:hAnsi="Arial"/>
          <w:sz w:val="22"/>
          <w:szCs w:val="22"/>
          <w:color w:val="auto"/>
        </w:rPr>
      </w:pPr>
    </w:p>
    <w:p>
      <w:pPr>
        <w:jc w:val="both"/>
        <w:ind w:left="1440" w:hanging="726"/>
        <w:spacing w:after="0" w:line="309" w:lineRule="auto"/>
        <w:tabs>
          <w:tab w:leader="none" w:pos="148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 interest of more than 50% in any category of the profits, distributions or net liquidation proceeds, provided, however, that none of the above shall be deemed to be a “change of control” so long as Parent continues to control, directly or indirectly, such Transaction Party.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Collateral Security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Guarantee by which any person Guarantees the Borrower’s compliance with its obligations under any of the Transaction Documents;</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Security which secures the payment of money owing (actually or contingently) from time to time by:</w:t>
      </w:r>
    </w:p>
    <w:p>
      <w:pPr>
        <w:spacing w:after="0" w:line="12" w:lineRule="exact"/>
        <w:rPr>
          <w:rFonts w:ascii="Arial" w:cs="Arial" w:eastAsia="Arial" w:hAnsi="Arial"/>
          <w:sz w:val="22"/>
          <w:szCs w:val="22"/>
          <w:color w:val="auto"/>
        </w:rPr>
      </w:pPr>
    </w:p>
    <w:p>
      <w:pPr>
        <w:ind w:left="1420" w:hanging="577"/>
        <w:spacing w:after="0"/>
        <w:tabs>
          <w:tab w:leader="none" w:pos="142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Transaction Party in relation to any of the Transaction Documents; or</w:t>
      </w:r>
    </w:p>
    <w:p>
      <w:pPr>
        <w:spacing w:after="0" w:line="87" w:lineRule="exact"/>
        <w:rPr>
          <w:rFonts w:ascii="Arial" w:cs="Arial" w:eastAsia="Arial" w:hAnsi="Arial"/>
          <w:sz w:val="22"/>
          <w:szCs w:val="22"/>
          <w:color w:val="auto"/>
        </w:rPr>
      </w:pPr>
    </w:p>
    <w:p>
      <w:pPr>
        <w:ind w:left="1960" w:hanging="1117"/>
        <w:spacing w:after="0" w:line="302" w:lineRule="auto"/>
        <w:tabs>
          <w:tab w:leader="none" w:pos="1459"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person in relation to a Guarantee of any Transaction Party’s compliance with its obligations under any of the Transaction Documents; and</w:t>
      </w:r>
    </w:p>
    <w:p>
      <w:pPr>
        <w:spacing w:after="0" w:line="23" w:lineRule="exact"/>
        <w:rPr>
          <w:rFonts w:ascii="Arial" w:cs="Arial" w:eastAsia="Arial" w:hAnsi="Arial"/>
          <w:sz w:val="22"/>
          <w:szCs w:val="22"/>
          <w:color w:val="auto"/>
        </w:rPr>
      </w:pPr>
    </w:p>
    <w:p>
      <w:pPr>
        <w:ind w:left="1480" w:hanging="766"/>
        <w:spacing w:after="0"/>
        <w:tabs>
          <w:tab w:leader="none" w:pos="14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without limiting the generality of paragraphs (a) and (b) each thing listed in </w:t>
      </w:r>
      <w:r>
        <w:rPr>
          <w:rFonts w:ascii="Arial" w:cs="Arial" w:eastAsia="Arial" w:hAnsi="Arial"/>
          <w:sz w:val="20"/>
          <w:szCs w:val="20"/>
          <w:b w:val="1"/>
          <w:bCs w:val="1"/>
          <w:color w:val="auto"/>
        </w:rPr>
        <w:t>schedule 3</w:t>
      </w: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Compliance Certificate </w:t>
      </w:r>
      <w:r>
        <w:rPr>
          <w:rFonts w:ascii="Arial" w:cs="Arial" w:eastAsia="Arial" w:hAnsi="Arial"/>
          <w:sz w:val="22"/>
          <w:szCs w:val="22"/>
          <w:color w:val="auto"/>
        </w:rPr>
        <w:t>means an Annual Compliance Certificate or Interim Compliance Certificate,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98</w:t>
      </w:r>
    </w:p>
    <w:p>
      <w:pPr>
        <w:sectPr>
          <w:pgSz w:w="11900" w:h="16838" w:orient="portrait"/>
          <w:cols w:equalWidth="0" w:num="1">
            <w:col w:w="9400"/>
          </w:cols>
          <w:pgMar w:left="1260" w:top="1166" w:right="1246" w:bottom="0" w:gutter="0" w:footer="0" w:header="0"/>
          <w:type w:val="continuous"/>
        </w:sectPr>
      </w:pPr>
    </w:p>
    <w:bookmarkStart w:id="187" w:name="page188"/>
    <w:bookmarkEnd w:id="187"/>
    <w:p>
      <w:pPr>
        <w:jc w:val="both"/>
        <w:spacing w:after="0" w:line="310" w:lineRule="auto"/>
        <w:rPr>
          <w:sz w:val="20"/>
          <w:szCs w:val="20"/>
          <w:color w:val="auto"/>
        </w:rPr>
      </w:pPr>
      <w:r>
        <w:rPr>
          <w:rFonts w:ascii="Arial" w:cs="Arial" w:eastAsia="Arial" w:hAnsi="Arial"/>
          <w:sz w:val="22"/>
          <w:szCs w:val="22"/>
          <w:b w:val="1"/>
          <w:bCs w:val="1"/>
          <w:color w:val="auto"/>
        </w:rPr>
        <w:t xml:space="preserve">Contaminant </w:t>
      </w:r>
      <w:r>
        <w:rPr>
          <w:rFonts w:ascii="Arial" w:cs="Arial" w:eastAsia="Arial" w:hAnsi="Arial"/>
          <w:sz w:val="22"/>
          <w:szCs w:val="22"/>
          <w:color w:val="auto"/>
        </w:rPr>
        <w:t>means a noxious, harmful or hazardous condition (including an odour, temperature, sound,</w:t>
      </w:r>
      <w:r>
        <w:rPr>
          <w:rFonts w:ascii="Arial" w:cs="Arial" w:eastAsia="Arial" w:hAnsi="Arial"/>
          <w:sz w:val="22"/>
          <w:szCs w:val="22"/>
          <w:b w:val="1"/>
          <w:bCs w:val="1"/>
          <w:color w:val="auto"/>
        </w:rPr>
        <w:t xml:space="preserve"> </w:t>
      </w:r>
      <w:r>
        <w:rPr>
          <w:rFonts w:ascii="Arial" w:cs="Arial" w:eastAsia="Arial" w:hAnsi="Arial"/>
          <w:sz w:val="22"/>
          <w:szCs w:val="22"/>
          <w:color w:val="auto"/>
        </w:rPr>
        <w:t>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p>
    <w:p>
      <w:pPr>
        <w:spacing w:after="0" w:line="1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Corporate Markets Loan Facility </w:t>
      </w:r>
      <w:r>
        <w:rPr>
          <w:rFonts w:ascii="Arial" w:cs="Arial" w:eastAsia="Arial" w:hAnsi="Arial"/>
          <w:sz w:val="22"/>
          <w:szCs w:val="22"/>
          <w:color w:val="auto"/>
        </w:rPr>
        <w:t>means the Facility described as such in</w:t>
      </w:r>
      <w:r>
        <w:rPr>
          <w:rFonts w:ascii="Arial" w:cs="Arial" w:eastAsia="Arial" w:hAnsi="Arial"/>
          <w:sz w:val="22"/>
          <w:szCs w:val="22"/>
          <w:b w:val="1"/>
          <w:bCs w:val="1"/>
          <w:color w:val="auto"/>
        </w:rPr>
        <w:t xml:space="preserve"> schedule 2 </w:t>
      </w:r>
      <w:r>
        <w:rPr>
          <w:rFonts w:ascii="Arial" w:cs="Arial" w:eastAsia="Arial" w:hAnsi="Arial"/>
          <w:sz w:val="22"/>
          <w:szCs w:val="22"/>
          <w:color w:val="auto"/>
        </w:rPr>
        <w:t>and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w:t>
      </w:r>
      <w:r>
        <w:rPr>
          <w:rFonts w:ascii="Arial" w:cs="Arial" w:eastAsia="Arial" w:hAnsi="Arial"/>
          <w:sz w:val="22"/>
          <w:szCs w:val="22"/>
          <w:b w:val="1"/>
          <w:bCs w:val="1"/>
          <w:color w:val="auto"/>
        </w:rPr>
        <w:t>clause 4.1(a)(i)</w:t>
      </w:r>
      <w:r>
        <w:rPr>
          <w:rFonts w:ascii="Arial" w:cs="Arial" w:eastAsia="Arial" w:hAnsi="Arial"/>
          <w:sz w:val="22"/>
          <w:szCs w:val="22"/>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Corporations Act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Corporations Act 2001</w:t>
      </w:r>
      <w:r>
        <w:rPr>
          <w:rFonts w:ascii="Arial" w:cs="Arial" w:eastAsia="Arial" w:hAnsi="Arial"/>
          <w:sz w:val="22"/>
          <w:szCs w:val="22"/>
          <w:b w:val="1"/>
          <w:bCs w:val="1"/>
          <w:color w:val="auto"/>
        </w:rPr>
        <w:t xml:space="preserve"> </w:t>
      </w:r>
      <w:r>
        <w:rPr>
          <w:rFonts w:ascii="Arial" w:cs="Arial" w:eastAsia="Arial" w:hAnsi="Arial"/>
          <w:sz w:val="22"/>
          <w:szCs w:val="22"/>
          <w:color w:val="auto"/>
        </w:rPr>
        <w:t>(Cth).</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Current Bank Guarantee </w:t>
      </w:r>
      <w:r>
        <w:rPr>
          <w:rFonts w:ascii="Arial" w:cs="Arial" w:eastAsia="Arial" w:hAnsi="Arial"/>
          <w:sz w:val="22"/>
          <w:szCs w:val="22"/>
          <w:color w:val="auto"/>
        </w:rPr>
        <w:t>means a Bank Guarantee which has not Matured or Expired.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Daily Interest Rate </w:t>
      </w:r>
      <w:r>
        <w:rPr>
          <w:rFonts w:ascii="Arial" w:cs="Arial" w:eastAsia="Arial" w:hAnsi="Arial"/>
          <w:sz w:val="22"/>
          <w:szCs w:val="22"/>
          <w:color w:val="auto"/>
        </w:rPr>
        <w:t>means, for any day, the Interest Rate on that day divided by 365.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Disposal </w:t>
      </w:r>
      <w:r>
        <w:rPr>
          <w:rFonts w:ascii="Arial" w:cs="Arial" w:eastAsia="Arial" w:hAnsi="Arial"/>
          <w:sz w:val="21"/>
          <w:szCs w:val="21"/>
          <w:color w:val="auto"/>
        </w:rPr>
        <w:t>means a sale, lease, transfer or other disposal by any Transaction Party of any interest in:</w:t>
      </w:r>
    </w:p>
    <w:p>
      <w:pPr>
        <w:spacing w:after="0" w:line="89" w:lineRule="exact"/>
        <w:rPr>
          <w:sz w:val="20"/>
          <w:szCs w:val="20"/>
          <w:color w:val="auto"/>
        </w:rPr>
      </w:pPr>
    </w:p>
    <w:p>
      <w:pPr>
        <w:jc w:val="both"/>
        <w:ind w:left="1440" w:hanging="726"/>
        <w:spacing w:after="0" w:line="307" w:lineRule="auto"/>
        <w:tabs>
          <w:tab w:leader="none" w:pos="1486"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share or stock (whether or not ordinary or preference and whether or not redeemable) or any other instrument convertible or exchangeable into or entitling a person to acquire or subscribe for any share or stock;</w:t>
      </w:r>
    </w:p>
    <w:p>
      <w:pPr>
        <w:spacing w:after="0" w:line="8" w:lineRule="exact"/>
        <w:rPr>
          <w:rFonts w:ascii="Arial" w:cs="Arial" w:eastAsia="Arial" w:hAnsi="Arial"/>
          <w:sz w:val="22"/>
          <w:szCs w:val="22"/>
          <w:color w:val="auto"/>
        </w:rPr>
      </w:pPr>
    </w:p>
    <w:p>
      <w:pPr>
        <w:ind w:left="1500" w:hanging="786"/>
        <w:spacing w:after="0"/>
        <w:tabs>
          <w:tab w:leader="none" w:pos="15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whole or any part of a business, business unit or line of business; or</w:t>
      </w:r>
    </w:p>
    <w:p>
      <w:pPr>
        <w:spacing w:after="0" w:line="87" w:lineRule="exact"/>
        <w:rPr>
          <w:rFonts w:ascii="Arial" w:cs="Arial" w:eastAsia="Arial" w:hAnsi="Arial"/>
          <w:sz w:val="22"/>
          <w:szCs w:val="22"/>
          <w:color w:val="auto"/>
        </w:rPr>
      </w:pPr>
    </w:p>
    <w:p>
      <w:pPr>
        <w:ind w:left="1440" w:hanging="726"/>
        <w:spacing w:after="0" w:line="344" w:lineRule="auto"/>
        <w:tabs>
          <w:tab w:leader="none" w:pos="1486"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other asset under a particular transaction or related transactions not in the ordinary course of business of the Reading Entertainment Australia Group taken as a whole.</w:t>
      </w:r>
    </w:p>
    <w:p>
      <w:pPr>
        <w:spacing w:after="0" w:line="230" w:lineRule="auto"/>
        <w:rPr>
          <w:sz w:val="20"/>
          <w:szCs w:val="20"/>
          <w:color w:val="auto"/>
        </w:rPr>
      </w:pPr>
      <w:r>
        <w:rPr>
          <w:rFonts w:ascii="Arial" w:cs="Arial" w:eastAsia="Arial" w:hAnsi="Arial"/>
          <w:sz w:val="22"/>
          <w:szCs w:val="22"/>
          <w:b w:val="1"/>
          <w:bCs w:val="1"/>
          <w:color w:val="auto"/>
        </w:rPr>
        <w:t xml:space="preserve">Distribution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07" w:lineRule="auto"/>
        <w:tabs>
          <w:tab w:leader="none" w:pos="1486"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relation to any share capital of a Transaction Party, any dividend, charge, interest, fee, payment or other distribution (whether in cash or in kind) or redemption, repurchase, defeasance, retirement or redemption;</w:t>
      </w:r>
    </w:p>
    <w:p>
      <w:pPr>
        <w:spacing w:after="0" w:line="19" w:lineRule="exact"/>
        <w:rPr>
          <w:rFonts w:ascii="Arial" w:cs="Arial" w:eastAsia="Arial" w:hAnsi="Arial"/>
          <w:sz w:val="22"/>
          <w:szCs w:val="22"/>
          <w:color w:val="auto"/>
        </w:rPr>
      </w:pPr>
    </w:p>
    <w:p>
      <w:pPr>
        <w:jc w:val="both"/>
        <w:ind w:left="1440" w:hanging="726"/>
        <w:spacing w:after="0" w:line="307" w:lineRule="auto"/>
        <w:tabs>
          <w:tab w:leader="none" w:pos="1499"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interest, any redemption or early redemption of any amount of principal or any other payment in respect of any shareholder loan or other subordinated loans made to any Transaction Party; or</w:t>
      </w:r>
    </w:p>
    <w:p>
      <w:pPr>
        <w:spacing w:after="0" w:line="19" w:lineRule="exact"/>
        <w:rPr>
          <w:rFonts w:ascii="Arial" w:cs="Arial" w:eastAsia="Arial" w:hAnsi="Arial"/>
          <w:sz w:val="22"/>
          <w:szCs w:val="22"/>
          <w:color w:val="auto"/>
        </w:rPr>
      </w:pPr>
    </w:p>
    <w:p>
      <w:pPr>
        <w:ind w:left="1440" w:hanging="726"/>
        <w:spacing w:after="0" w:line="302" w:lineRule="auto"/>
        <w:tabs>
          <w:tab w:leader="none" w:pos="1486"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loan or other financial accommodation made available by a Transaction Party to a person other than another Transaction Party.</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Drawing </w:t>
      </w:r>
      <w:r>
        <w:rPr>
          <w:rFonts w:ascii="Arial" w:cs="Arial" w:eastAsia="Arial" w:hAnsi="Arial"/>
          <w:sz w:val="22"/>
          <w:szCs w:val="22"/>
          <w:color w:val="auto"/>
        </w:rPr>
        <w:t>means each Bank Guarantee issued or to be issued in accordance with this document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Funding Notice.</w:t>
      </w:r>
    </w:p>
    <w:p>
      <w:pPr>
        <w:spacing w:after="0" w:line="353" w:lineRule="exact"/>
        <w:rPr>
          <w:sz w:val="20"/>
          <w:szCs w:val="20"/>
          <w:color w:val="auto"/>
        </w:rPr>
      </w:pPr>
    </w:p>
    <w:p>
      <w:pPr>
        <w:jc w:val="both"/>
        <w:spacing w:after="0" w:line="309" w:lineRule="auto"/>
        <w:rPr>
          <w:sz w:val="20"/>
          <w:szCs w:val="20"/>
          <w:color w:val="auto"/>
        </w:rPr>
      </w:pPr>
      <w:r>
        <w:rPr>
          <w:rFonts w:ascii="Arial" w:cs="Arial" w:eastAsia="Arial" w:hAnsi="Arial"/>
          <w:sz w:val="22"/>
          <w:szCs w:val="22"/>
          <w:b w:val="1"/>
          <w:bCs w:val="1"/>
          <w:color w:val="auto"/>
        </w:rPr>
        <w:t xml:space="preserve">EBIT </w:t>
      </w:r>
      <w:r>
        <w:rPr>
          <w:rFonts w:ascii="Arial" w:cs="Arial" w:eastAsia="Arial" w:hAnsi="Arial"/>
          <w:sz w:val="22"/>
          <w:szCs w:val="22"/>
          <w:color w:val="auto"/>
        </w:rPr>
        <w:t>means, in relation to any period and without double counting, operating profit (loss) of the Reading</w:t>
      </w:r>
      <w:r>
        <w:rPr>
          <w:rFonts w:ascii="Arial" w:cs="Arial" w:eastAsia="Arial" w:hAnsi="Arial"/>
          <w:sz w:val="22"/>
          <w:szCs w:val="22"/>
          <w:b w:val="1"/>
          <w:bCs w:val="1"/>
          <w:color w:val="auto"/>
        </w:rPr>
        <w:t xml:space="preserve"> </w:t>
      </w:r>
      <w:r>
        <w:rPr>
          <w:rFonts w:ascii="Arial" w:cs="Arial" w:eastAsia="Arial" w:hAnsi="Arial"/>
          <w:sz w:val="22"/>
          <w:szCs w:val="22"/>
          <w:color w:val="auto"/>
        </w:rPr>
        <w:t>Entertainment Australia Group (on a consolidated basis) from ordinary operations before interest, income tax and minority interests, but after deduction of depreciation and amortisation for that period, as determined in accordance with Accounting Standards.</w:t>
      </w:r>
    </w:p>
    <w:p>
      <w:pPr>
        <w:spacing w:after="0" w:line="347" w:lineRule="exact"/>
        <w:rPr>
          <w:sz w:val="20"/>
          <w:szCs w:val="20"/>
          <w:color w:val="auto"/>
        </w:rPr>
      </w:pPr>
    </w:p>
    <w:p>
      <w:pPr>
        <w:jc w:val="both"/>
        <w:spacing w:after="0" w:line="356" w:lineRule="auto"/>
        <w:rPr>
          <w:sz w:val="20"/>
          <w:szCs w:val="20"/>
          <w:color w:val="auto"/>
        </w:rPr>
      </w:pPr>
      <w:r>
        <w:rPr>
          <w:rFonts w:ascii="Arial" w:cs="Arial" w:eastAsia="Arial" w:hAnsi="Arial"/>
          <w:sz w:val="20"/>
          <w:szCs w:val="20"/>
          <w:b w:val="1"/>
          <w:bCs w:val="1"/>
          <w:color w:val="auto"/>
        </w:rPr>
        <w:t xml:space="preserve">EBITDA </w:t>
      </w:r>
      <w:r>
        <w:rPr>
          <w:rFonts w:ascii="Arial" w:cs="Arial" w:eastAsia="Arial" w:hAnsi="Arial"/>
          <w:sz w:val="20"/>
          <w:szCs w:val="20"/>
          <w:color w:val="auto"/>
        </w:rPr>
        <w:t>means, in relation to any period, EBIT for the Reading Entertainment Australia Group for that</w:t>
      </w:r>
      <w:r>
        <w:rPr>
          <w:rFonts w:ascii="Arial" w:cs="Arial" w:eastAsia="Arial" w:hAnsi="Arial"/>
          <w:sz w:val="20"/>
          <w:szCs w:val="20"/>
          <w:b w:val="1"/>
          <w:bCs w:val="1"/>
          <w:color w:val="auto"/>
        </w:rPr>
        <w:t xml:space="preserve"> </w:t>
      </w:r>
      <w:r>
        <w:rPr>
          <w:rFonts w:ascii="Arial" w:cs="Arial" w:eastAsia="Arial" w:hAnsi="Arial"/>
          <w:sz w:val="20"/>
          <w:szCs w:val="20"/>
          <w:color w:val="auto"/>
        </w:rPr>
        <w:t>period, plus depreciation and amortisation as determined in accordance with Accounting Standards</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98</w:t>
      </w:r>
    </w:p>
    <w:p>
      <w:pPr>
        <w:sectPr>
          <w:pgSz w:w="11900" w:h="16838" w:orient="portrait"/>
          <w:cols w:equalWidth="0" w:num="1">
            <w:col w:w="9400"/>
          </w:cols>
          <w:pgMar w:left="1260" w:top="1177" w:right="1246" w:bottom="0" w:gutter="0" w:footer="0" w:header="0"/>
          <w:type w:val="continuous"/>
        </w:sectPr>
      </w:pPr>
    </w:p>
    <w:bookmarkStart w:id="188" w:name="page189"/>
    <w:bookmarkEnd w:id="188"/>
    <w:p>
      <w:pPr>
        <w:jc w:val="both"/>
        <w:spacing w:after="0" w:line="356" w:lineRule="auto"/>
        <w:rPr>
          <w:sz w:val="20"/>
          <w:szCs w:val="20"/>
          <w:color w:val="auto"/>
        </w:rPr>
      </w:pPr>
      <w:r>
        <w:rPr>
          <w:rFonts w:ascii="Arial" w:cs="Arial" w:eastAsia="Arial" w:hAnsi="Arial"/>
          <w:sz w:val="20"/>
          <w:szCs w:val="20"/>
          <w:b w:val="1"/>
          <w:bCs w:val="1"/>
          <w:color w:val="auto"/>
        </w:rPr>
        <w:t xml:space="preserve">Encumbrance </w:t>
      </w:r>
      <w:r>
        <w:rPr>
          <w:rFonts w:ascii="Arial" w:cs="Arial" w:eastAsia="Arial" w:hAnsi="Arial"/>
          <w:sz w:val="20"/>
          <w:szCs w:val="20"/>
          <w:color w:val="auto"/>
        </w:rPr>
        <w:t>means any interest in or right over property and anything which would at any time prevent,</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 or delay the registration of any interest in or dealing with property. It includes a Security Interest.</w:t>
      </w:r>
    </w:p>
    <w:p>
      <w:pPr>
        <w:spacing w:after="0" w:line="30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Environmental Assessment Report </w:t>
      </w:r>
      <w:r>
        <w:rPr>
          <w:rFonts w:ascii="Arial" w:cs="Arial" w:eastAsia="Arial" w:hAnsi="Arial"/>
          <w:sz w:val="22"/>
          <w:szCs w:val="22"/>
          <w:color w:val="auto"/>
        </w:rPr>
        <w:t>means a report in relation to compliance with Environmental Law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Land and any activities carried out on the Land.</w:t>
      </w:r>
    </w:p>
    <w:p>
      <w:pPr>
        <w:spacing w:after="0" w:line="353" w:lineRule="exact"/>
        <w:rPr>
          <w:sz w:val="20"/>
          <w:szCs w:val="20"/>
          <w:color w:val="auto"/>
        </w:rPr>
      </w:pPr>
    </w:p>
    <w:p>
      <w:pPr>
        <w:jc w:val="both"/>
        <w:spacing w:after="0" w:line="310" w:lineRule="auto"/>
        <w:rPr>
          <w:sz w:val="20"/>
          <w:szCs w:val="20"/>
          <w:color w:val="auto"/>
        </w:rPr>
      </w:pPr>
      <w:r>
        <w:rPr>
          <w:rFonts w:ascii="Arial" w:cs="Arial" w:eastAsia="Arial" w:hAnsi="Arial"/>
          <w:sz w:val="22"/>
          <w:szCs w:val="22"/>
          <w:b w:val="1"/>
          <w:bCs w:val="1"/>
          <w:color w:val="auto"/>
        </w:rPr>
        <w:t xml:space="preserve">Environmental Law </w:t>
      </w:r>
      <w:r>
        <w:rPr>
          <w:rFonts w:ascii="Arial" w:cs="Arial" w:eastAsia="Arial" w:hAnsi="Arial"/>
          <w:sz w:val="22"/>
          <w:szCs w:val="22"/>
          <w:color w:val="auto"/>
        </w:rPr>
        <w:t>means any legislation, regulations or related codes, standards or policies which</w:t>
      </w:r>
      <w:r>
        <w:rPr>
          <w:rFonts w:ascii="Arial" w:cs="Arial" w:eastAsia="Arial" w:hAnsi="Arial"/>
          <w:sz w:val="22"/>
          <w:szCs w:val="22"/>
          <w:b w:val="1"/>
          <w:bCs w:val="1"/>
          <w:color w:val="auto"/>
        </w:rPr>
        <w:t xml:space="preserve"> </w:t>
      </w:r>
      <w:r>
        <w:rPr>
          <w:rFonts w:ascii="Arial" w:cs="Arial" w:eastAsia="Arial" w:hAnsi="Arial"/>
          <w:sz w:val="22"/>
          <w:szCs w:val="22"/>
          <w:color w:val="auto"/>
        </w:rPr>
        <w:t>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w:t>
      </w:r>
    </w:p>
    <w:p>
      <w:pPr>
        <w:spacing w:after="0" w:line="346" w:lineRule="exact"/>
        <w:rPr>
          <w:sz w:val="20"/>
          <w:szCs w:val="20"/>
          <w:color w:val="auto"/>
        </w:rPr>
      </w:pPr>
    </w:p>
    <w:p>
      <w:pPr>
        <w:jc w:val="both"/>
        <w:spacing w:after="0" w:line="348" w:lineRule="auto"/>
        <w:rPr>
          <w:sz w:val="20"/>
          <w:szCs w:val="20"/>
          <w:color w:val="auto"/>
        </w:rPr>
      </w:pPr>
      <w:r>
        <w:rPr>
          <w:rFonts w:ascii="Arial" w:cs="Arial" w:eastAsia="Arial" w:hAnsi="Arial"/>
          <w:sz w:val="20"/>
          <w:szCs w:val="20"/>
          <w:b w:val="1"/>
          <w:bCs w:val="1"/>
          <w:color w:val="auto"/>
        </w:rPr>
        <w:t xml:space="preserve">Environmental Liability </w:t>
      </w:r>
      <w:r>
        <w:rPr>
          <w:rFonts w:ascii="Arial" w:cs="Arial" w:eastAsia="Arial" w:hAnsi="Arial"/>
          <w:sz w:val="20"/>
          <w:szCs w:val="20"/>
          <w:color w:val="auto"/>
        </w:rPr>
        <w:t>means any liability, obligation, expense, penalty or fine arising out of a breach</w:t>
      </w:r>
      <w:r>
        <w:rPr>
          <w:rFonts w:ascii="Arial" w:cs="Arial" w:eastAsia="Arial" w:hAnsi="Arial"/>
          <w:sz w:val="20"/>
          <w:szCs w:val="20"/>
          <w:b w:val="1"/>
          <w:bCs w:val="1"/>
          <w:color w:val="auto"/>
        </w:rPr>
        <w:t xml:space="preserve"> </w:t>
      </w:r>
      <w:r>
        <w:rPr>
          <w:rFonts w:ascii="Arial" w:cs="Arial" w:eastAsia="Arial" w:hAnsi="Arial"/>
          <w:sz w:val="20"/>
          <w:szCs w:val="20"/>
          <w:color w:val="auto"/>
        </w:rPr>
        <w:t>of Environmental Law which could be imposed on any Transaction Party or the Bank in respect of the Land as a result of activities carried on during the ownership, occupation or control of the Land by that Transaction Party, the Bank, any predecessor in title or any previous occupier or controller of the Land.</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means any event or circumstance described in</w:t>
      </w:r>
      <w:r>
        <w:rPr>
          <w:rFonts w:ascii="Arial" w:cs="Arial" w:eastAsia="Arial" w:hAnsi="Arial"/>
          <w:sz w:val="22"/>
          <w:szCs w:val="22"/>
          <w:b w:val="1"/>
          <w:bCs w:val="1"/>
          <w:color w:val="auto"/>
        </w:rPr>
        <w:t xml:space="preserve"> clause 10.1</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Excluded Financial Indebtedness </w:t>
      </w:r>
      <w:r>
        <w:rPr>
          <w:rFonts w:ascii="Arial" w:cs="Arial" w:eastAsia="Arial" w:hAnsi="Arial"/>
          <w:sz w:val="22"/>
          <w:szCs w:val="22"/>
          <w:color w:val="auto"/>
        </w:rPr>
        <w:t>means Financial Indebtedness of the kind referred to in paragraph (a),</w:t>
      </w:r>
      <w:r>
        <w:rPr>
          <w:rFonts w:ascii="Arial" w:cs="Arial" w:eastAsia="Arial" w:hAnsi="Arial"/>
          <w:sz w:val="22"/>
          <w:szCs w:val="22"/>
          <w:b w:val="1"/>
          <w:bCs w:val="1"/>
          <w:color w:val="auto"/>
        </w:rPr>
        <w:t xml:space="preserve"> </w:t>
      </w:r>
      <w:r>
        <w:rPr>
          <w:rFonts w:ascii="Arial" w:cs="Arial" w:eastAsia="Arial" w:hAnsi="Arial"/>
          <w:sz w:val="22"/>
          <w:szCs w:val="22"/>
          <w:color w:val="auto"/>
        </w:rPr>
        <w:t>(c) or (d) of the definition of Permitted Financial Indebtedness.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Excluded Property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27" w:lineRule="auto"/>
        <w:tabs>
          <w:tab w:leader="none" w:pos="1486"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present or future interest of Reading Exhibition Pty Ltd in the Garden City Cinema joint venture with Village Roadshow Exhibition and Birch Carroll &amp; Coyle or the assets the subject of the joint venture or the relevant joint venture agreement; and</w:t>
      </w:r>
    </w:p>
    <w:p>
      <w:pPr>
        <w:spacing w:after="0" w:line="2" w:lineRule="exact"/>
        <w:rPr>
          <w:rFonts w:ascii="Arial" w:cs="Arial" w:eastAsia="Arial" w:hAnsi="Arial"/>
          <w:sz w:val="21"/>
          <w:szCs w:val="21"/>
          <w:color w:val="auto"/>
        </w:rPr>
      </w:pPr>
    </w:p>
    <w:p>
      <w:pPr>
        <w:jc w:val="both"/>
        <w:ind w:left="1440" w:hanging="726"/>
        <w:spacing w:after="0" w:line="350" w:lineRule="auto"/>
        <w:tabs>
          <w:tab w:leader="none" w:pos="1499"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present or future interest of Epping Cinemas Pty Ltd in the lease granted by Bevendale Pty Ltd or the property the subject of the lease to the extent that the existence of a charge over that interest or property would cause a breach of the that lease.</w:t>
      </w:r>
    </w:p>
    <w:p>
      <w:pPr>
        <w:spacing w:after="0" w:line="314"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Expired </w:t>
      </w:r>
      <w:r>
        <w:rPr>
          <w:rFonts w:ascii="Arial" w:cs="Arial" w:eastAsia="Arial" w:hAnsi="Arial"/>
          <w:sz w:val="22"/>
          <w:szCs w:val="22"/>
          <w:color w:val="auto"/>
        </w:rPr>
        <w:t>means, in relation to a Bank Guarantee, that its Expiry Date has passed whether or not a claim</w:t>
      </w:r>
      <w:r>
        <w:rPr>
          <w:rFonts w:ascii="Arial" w:cs="Arial" w:eastAsia="Arial" w:hAnsi="Arial"/>
          <w:sz w:val="22"/>
          <w:szCs w:val="22"/>
          <w:b w:val="1"/>
          <w:bCs w:val="1"/>
          <w:color w:val="auto"/>
        </w:rPr>
        <w:t xml:space="preserve"> </w:t>
      </w:r>
      <w:r>
        <w:rPr>
          <w:rFonts w:ascii="Arial" w:cs="Arial" w:eastAsia="Arial" w:hAnsi="Arial"/>
          <w:sz w:val="22"/>
          <w:szCs w:val="22"/>
          <w:color w:val="auto"/>
        </w:rPr>
        <w:t>has been made under it by the Beneficiary.</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Expiry Date </w:t>
      </w:r>
      <w:r>
        <w:rPr>
          <w:rFonts w:ascii="Arial" w:cs="Arial" w:eastAsia="Arial" w:hAnsi="Arial"/>
          <w:sz w:val="22"/>
          <w:szCs w:val="22"/>
          <w:color w:val="auto"/>
        </w:rPr>
        <w:t>means, in relation to a Bank Guarantee, the date specified in that Bank Guarantee as the</w:t>
      </w:r>
      <w:r>
        <w:rPr>
          <w:rFonts w:ascii="Arial" w:cs="Arial" w:eastAsia="Arial" w:hAnsi="Arial"/>
          <w:sz w:val="22"/>
          <w:szCs w:val="22"/>
          <w:b w:val="1"/>
          <w:bCs w:val="1"/>
          <w:color w:val="auto"/>
        </w:rPr>
        <w:t xml:space="preserve"> </w:t>
      </w:r>
      <w:r>
        <w:rPr>
          <w:rFonts w:ascii="Arial" w:cs="Arial" w:eastAsia="Arial" w:hAnsi="Arial"/>
          <w:sz w:val="22"/>
          <w:szCs w:val="22"/>
          <w:color w:val="auto"/>
        </w:rPr>
        <w:t>latest date by which the Beneficiary may make a claim under it.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Face Value </w:t>
      </w:r>
      <w:r>
        <w:rPr>
          <w:rFonts w:ascii="Arial" w:cs="Arial" w:eastAsia="Arial" w:hAnsi="Arial"/>
          <w:sz w:val="22"/>
          <w:szCs w:val="22"/>
          <w:color w:val="auto"/>
        </w:rPr>
        <w:t>means, in relation to a Bank Guarantee:</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subject to paragraph (b), the amount specified in that Bank Guarantee as the aggregate maximum amount which the Beneficiary may claim under it; or</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98</w:t>
      </w:r>
    </w:p>
    <w:p>
      <w:pPr>
        <w:sectPr>
          <w:pgSz w:w="11900" w:h="16838" w:orient="portrait"/>
          <w:cols w:equalWidth="0" w:num="1">
            <w:col w:w="9400"/>
          </w:cols>
          <w:pgMar w:left="1260" w:top="1177" w:right="1246" w:bottom="0" w:gutter="0" w:footer="0" w:header="0"/>
          <w:type w:val="continuous"/>
        </w:sectPr>
      </w:pPr>
    </w:p>
    <w:bookmarkStart w:id="189" w:name="page190"/>
    <w:bookmarkEnd w:id="189"/>
    <w:p>
      <w:pPr>
        <w:jc w:val="both"/>
        <w:ind w:left="1440" w:right="20" w:hanging="726"/>
        <w:spacing w:after="0" w:line="309" w:lineRule="auto"/>
        <w:tabs>
          <w:tab w:leader="none" w:pos="149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p>
    <w:p>
      <w:pPr>
        <w:spacing w:after="0" w:line="347"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b w:val="1"/>
          <w:bCs w:val="1"/>
          <w:color w:val="auto"/>
        </w:rPr>
        <w:t xml:space="preserve">Facility </w:t>
      </w:r>
      <w:r>
        <w:rPr>
          <w:rFonts w:ascii="Arial" w:cs="Arial" w:eastAsia="Arial" w:hAnsi="Arial"/>
          <w:sz w:val="22"/>
          <w:szCs w:val="22"/>
          <w:color w:val="auto"/>
        </w:rPr>
        <w:t>means each of the facilities listed in</w:t>
      </w:r>
      <w:r>
        <w:rPr>
          <w:rFonts w:ascii="Arial" w:cs="Arial" w:eastAsia="Arial" w:hAnsi="Arial"/>
          <w:sz w:val="22"/>
          <w:szCs w:val="22"/>
          <w:b w:val="1"/>
          <w:bCs w:val="1"/>
          <w:color w:val="auto"/>
        </w:rPr>
        <w:t xml:space="preserve"> schedule 2 </w:t>
      </w:r>
      <w:r>
        <w:rPr>
          <w:rFonts w:ascii="Arial" w:cs="Arial" w:eastAsia="Arial" w:hAnsi="Arial"/>
          <w:sz w:val="22"/>
          <w:szCs w:val="22"/>
          <w:color w:val="auto"/>
        </w:rPr>
        <w:t>(and each Facility may be referred to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Facility Name listed in </w:t>
      </w:r>
      <w:r>
        <w:rPr>
          <w:rFonts w:ascii="Arial" w:cs="Arial" w:eastAsia="Arial" w:hAnsi="Arial"/>
          <w:sz w:val="22"/>
          <w:szCs w:val="22"/>
          <w:b w:val="1"/>
          <w:bCs w:val="1"/>
          <w:color w:val="auto"/>
        </w:rPr>
        <w:t>schedule 2</w:t>
      </w:r>
      <w:r>
        <w:rPr>
          <w:rFonts w:ascii="Arial" w:cs="Arial" w:eastAsia="Arial" w:hAnsi="Arial"/>
          <w:sz w:val="22"/>
          <w:szCs w:val="22"/>
          <w:color w:val="auto"/>
        </w:rPr>
        <w:t>).</w:t>
      </w:r>
    </w:p>
    <w:p>
      <w:pPr>
        <w:spacing w:after="0" w:line="353"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b w:val="1"/>
          <w:bCs w:val="1"/>
          <w:color w:val="auto"/>
        </w:rPr>
        <w:t xml:space="preserve">Facility Limit </w:t>
      </w:r>
      <w:r>
        <w:rPr>
          <w:rFonts w:ascii="Arial" w:cs="Arial" w:eastAsia="Arial" w:hAnsi="Arial"/>
          <w:sz w:val="22"/>
          <w:szCs w:val="22"/>
          <w:color w:val="auto"/>
        </w:rPr>
        <w:t>means, in respect of each Facility, the relevant Facility Limit set out in</w:t>
      </w:r>
      <w:r>
        <w:rPr>
          <w:rFonts w:ascii="Arial" w:cs="Arial" w:eastAsia="Arial" w:hAnsi="Arial"/>
          <w:sz w:val="22"/>
          <w:szCs w:val="22"/>
          <w:b w:val="1"/>
          <w:bCs w:val="1"/>
          <w:color w:val="auto"/>
        </w:rPr>
        <w:t xml:space="preserve"> schedule 2</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reduced under this document including in accordance with </w:t>
      </w:r>
      <w:r>
        <w:rPr>
          <w:rFonts w:ascii="Arial" w:cs="Arial" w:eastAsia="Arial" w:hAnsi="Arial"/>
          <w:sz w:val="22"/>
          <w:szCs w:val="22"/>
          <w:b w:val="1"/>
          <w:bCs w:val="1"/>
          <w:color w:val="auto"/>
        </w:rPr>
        <w:t>clause 5.6</w:t>
      </w:r>
      <w:r>
        <w:rPr>
          <w:rFonts w:ascii="Arial" w:cs="Arial" w:eastAsia="Arial" w:hAnsi="Arial"/>
          <w:sz w:val="22"/>
          <w:szCs w:val="22"/>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Financial Close </w:t>
      </w:r>
      <w:r>
        <w:rPr>
          <w:rFonts w:ascii="Arial" w:cs="Arial" w:eastAsia="Arial" w:hAnsi="Arial"/>
          <w:sz w:val="22"/>
          <w:szCs w:val="22"/>
          <w:color w:val="auto"/>
        </w:rPr>
        <w:t>means the initial Funding 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Financial Indebtedness </w:t>
      </w:r>
      <w:r>
        <w:rPr>
          <w:rFonts w:ascii="Arial" w:cs="Arial" w:eastAsia="Arial" w:hAnsi="Arial"/>
          <w:sz w:val="20"/>
          <w:szCs w:val="20"/>
          <w:color w:val="auto"/>
        </w:rPr>
        <w:t>means any indebtedness or other liability (present or future, actual or contingent)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relating to any financial accommodation including indebtedness or other liability:</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 money borrowed or raised;</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relating to the sale or negotiation of any negotiable instrument;</w:t>
      </w:r>
    </w:p>
    <w:p>
      <w:pPr>
        <w:spacing w:after="0" w:line="87" w:lineRule="exact"/>
        <w:rPr>
          <w:rFonts w:ascii="Arial" w:cs="Arial" w:eastAsia="Arial" w:hAnsi="Arial"/>
          <w:sz w:val="22"/>
          <w:szCs w:val="22"/>
          <w:color w:val="auto"/>
        </w:rPr>
      </w:pPr>
    </w:p>
    <w:p>
      <w:pPr>
        <w:ind w:left="1440" w:right="20" w:hanging="726"/>
        <w:spacing w:after="0" w:line="302" w:lineRule="auto"/>
        <w:tabs>
          <w:tab w:leader="none" w:pos="148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as lessee under any finance lease, as hirer under any hire purchase agreement or as purchaser under any title retention agreement;</w:t>
      </w:r>
    </w:p>
    <w:p>
      <w:pPr>
        <w:spacing w:after="0" w:line="23" w:lineRule="exact"/>
        <w:rPr>
          <w:rFonts w:ascii="Arial" w:cs="Arial" w:eastAsia="Arial" w:hAnsi="Arial"/>
          <w:sz w:val="22"/>
          <w:szCs w:val="22"/>
          <w:color w:val="auto"/>
        </w:rPr>
      </w:pPr>
    </w:p>
    <w:p>
      <w:pPr>
        <w:ind w:left="1500" w:hanging="786"/>
        <w:spacing w:after="0"/>
        <w:tabs>
          <w:tab w:leader="none" w:pos="15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relating to any preference share or unit categorised as debt under Accounting Standards;</w:t>
      </w:r>
    </w:p>
    <w:p>
      <w:pPr>
        <w:spacing w:after="0" w:line="100" w:lineRule="exact"/>
        <w:rPr>
          <w:rFonts w:ascii="Arial" w:cs="Arial" w:eastAsia="Arial" w:hAnsi="Arial"/>
          <w:sz w:val="20"/>
          <w:szCs w:val="20"/>
          <w:color w:val="auto"/>
        </w:rPr>
      </w:pPr>
    </w:p>
    <w:p>
      <w:pPr>
        <w:ind w:left="1440" w:right="20" w:hanging="726"/>
        <w:spacing w:after="0" w:line="302" w:lineRule="auto"/>
        <w:tabs>
          <w:tab w:leader="none" w:pos="148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under any commodity, currency or interest rate swap agreement, forward exchange rate agreement or futures contract (as defined in any statute);</w:t>
      </w:r>
    </w:p>
    <w:p>
      <w:pPr>
        <w:spacing w:after="0" w:line="12" w:lineRule="exact"/>
        <w:rPr>
          <w:rFonts w:ascii="Arial" w:cs="Arial" w:eastAsia="Arial" w:hAnsi="Arial"/>
          <w:sz w:val="22"/>
          <w:szCs w:val="22"/>
          <w:color w:val="auto"/>
        </w:rPr>
      </w:pPr>
    </w:p>
    <w:p>
      <w:pPr>
        <w:ind w:left="1460" w:hanging="746"/>
        <w:spacing w:after="0"/>
        <w:tabs>
          <w:tab w:leader="none" w:pos="14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under any Guarantee relating to any financial accommodation; or</w:t>
      </w:r>
    </w:p>
    <w:p>
      <w:pPr>
        <w:spacing w:after="0" w:line="87" w:lineRule="exact"/>
        <w:rPr>
          <w:rFonts w:ascii="Arial" w:cs="Arial" w:eastAsia="Arial" w:hAnsi="Arial"/>
          <w:sz w:val="22"/>
          <w:szCs w:val="22"/>
          <w:color w:val="auto"/>
        </w:rPr>
      </w:pPr>
    </w:p>
    <w:p>
      <w:pPr>
        <w:ind w:left="1440" w:right="20" w:hanging="726"/>
        <w:spacing w:after="0" w:line="302" w:lineRule="auto"/>
        <w:tabs>
          <w:tab w:leader="none" w:pos="149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 any deferred purchase price (other than in the nature of warranty retention amounts) for any asset or service.</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Financial Ratio </w:t>
      </w:r>
      <w:r>
        <w:rPr>
          <w:rFonts w:ascii="Arial" w:cs="Arial" w:eastAsia="Arial" w:hAnsi="Arial"/>
          <w:sz w:val="22"/>
          <w:szCs w:val="22"/>
          <w:color w:val="auto"/>
        </w:rPr>
        <w:t>means any of the financial ratios referred to in</w:t>
      </w:r>
      <w:r>
        <w:rPr>
          <w:rFonts w:ascii="Arial" w:cs="Arial" w:eastAsia="Arial" w:hAnsi="Arial"/>
          <w:sz w:val="22"/>
          <w:szCs w:val="22"/>
          <w:b w:val="1"/>
          <w:bCs w:val="1"/>
          <w:color w:val="auto"/>
        </w:rPr>
        <w:t xml:space="preserve"> clause 9.8</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spacing w:after="0" w:line="348" w:lineRule="auto"/>
        <w:rPr>
          <w:sz w:val="20"/>
          <w:szCs w:val="20"/>
          <w:color w:val="auto"/>
        </w:rPr>
      </w:pPr>
      <w:r>
        <w:rPr>
          <w:rFonts w:ascii="Arial" w:cs="Arial" w:eastAsia="Arial" w:hAnsi="Arial"/>
          <w:sz w:val="20"/>
          <w:szCs w:val="20"/>
          <w:b w:val="1"/>
          <w:bCs w:val="1"/>
          <w:color w:val="auto"/>
        </w:rPr>
        <w:t xml:space="preserve">Financial Statements </w:t>
      </w:r>
      <w:r>
        <w:rPr>
          <w:rFonts w:ascii="Arial" w:cs="Arial" w:eastAsia="Arial" w:hAnsi="Arial"/>
          <w:sz w:val="20"/>
          <w:szCs w:val="20"/>
          <w:color w:val="auto"/>
        </w:rPr>
        <w:t>means a balance sheet, an income statement, a statement of changes in equity, a</w:t>
      </w:r>
      <w:r>
        <w:rPr>
          <w:rFonts w:ascii="Arial" w:cs="Arial" w:eastAsia="Arial" w:hAnsi="Arial"/>
          <w:sz w:val="20"/>
          <w:szCs w:val="20"/>
          <w:b w:val="1"/>
          <w:bCs w:val="1"/>
          <w:color w:val="auto"/>
        </w:rPr>
        <w:t xml:space="preserve"> </w:t>
      </w:r>
      <w:r>
        <w:rPr>
          <w:rFonts w:ascii="Arial" w:cs="Arial" w:eastAsia="Arial" w:hAnsi="Arial"/>
          <w:sz w:val="20"/>
          <w:szCs w:val="20"/>
          <w:color w:val="auto"/>
        </w:rPr>
        <w:t>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Financial Year </w:t>
      </w:r>
      <w:r>
        <w:rPr>
          <w:rFonts w:ascii="Arial" w:cs="Arial" w:eastAsia="Arial" w:hAnsi="Arial"/>
          <w:sz w:val="22"/>
          <w:szCs w:val="22"/>
          <w:color w:val="auto"/>
        </w:rPr>
        <w:t>means a period of 12 months ending on 31 December.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Fixed Charges Cover Ratio </w:t>
      </w:r>
      <w:r>
        <w:rPr>
          <w:rFonts w:ascii="Arial" w:cs="Arial" w:eastAsia="Arial" w:hAnsi="Arial"/>
          <w:sz w:val="22"/>
          <w:szCs w:val="22"/>
          <w:color w:val="auto"/>
        </w:rPr>
        <w:t>means at any date the ratio of:</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aggregate amount of:</w:t>
      </w:r>
    </w:p>
    <w:p>
      <w:pPr>
        <w:spacing w:after="0" w:line="200" w:lineRule="exact"/>
        <w:rPr>
          <w:sz w:val="20"/>
          <w:szCs w:val="20"/>
          <w:color w:val="auto"/>
        </w:rPr>
      </w:pPr>
    </w:p>
    <w:p>
      <w:pPr>
        <w:spacing w:after="0" w:line="207" w:lineRule="exact"/>
        <w:rPr>
          <w:sz w:val="20"/>
          <w:szCs w:val="20"/>
          <w:color w:val="auto"/>
        </w:rPr>
      </w:pPr>
    </w:p>
    <w:p>
      <w:pPr>
        <w:ind w:left="1440" w:hanging="726"/>
        <w:spacing w:after="0"/>
        <w:tabs>
          <w:tab w:leader="none" w:pos="14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Adjusted EBITDA in respect of the 12 month period ending on that date; and</w:t>
      </w:r>
    </w:p>
    <w:p>
      <w:pPr>
        <w:spacing w:after="0" w:line="87" w:lineRule="exact"/>
        <w:rPr>
          <w:rFonts w:ascii="Arial" w:cs="Arial" w:eastAsia="Arial" w:hAnsi="Arial"/>
          <w:sz w:val="22"/>
          <w:szCs w:val="22"/>
          <w:color w:val="auto"/>
        </w:rPr>
      </w:pPr>
    </w:p>
    <w:p>
      <w:pPr>
        <w:ind w:left="1420" w:right="1280" w:hanging="706"/>
        <w:spacing w:after="0" w:line="302" w:lineRule="auto"/>
        <w:tabs>
          <w:tab w:leader="none" w:pos="144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Total Lease Payments in respect of the 12 month period ending on that date, to</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the aggregate amount of:</w:t>
      </w:r>
    </w:p>
    <w:p>
      <w:pPr>
        <w:sectPr>
          <w:pgSz w:w="11900" w:h="16838" w:orient="portrait"/>
          <w:cols w:equalWidth="0" w:num="1">
            <w:col w:w="9420"/>
          </w:cols>
          <w:pgMar w:left="1260" w:top="117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8 / 98</w:t>
      </w:r>
    </w:p>
    <w:p>
      <w:pPr>
        <w:sectPr>
          <w:pgSz w:w="11900" w:h="16838" w:orient="portrait"/>
          <w:cols w:equalWidth="0" w:num="1">
            <w:col w:w="9420"/>
          </w:cols>
          <w:pgMar w:left="1260" w:top="1177" w:right="1226" w:bottom="0" w:gutter="0" w:footer="0" w:header="0"/>
          <w:type w:val="continuous"/>
        </w:sectPr>
      </w:pPr>
    </w:p>
    <w:bookmarkStart w:id="190" w:name="page191"/>
    <w:bookmarkEnd w:id="190"/>
    <w:p>
      <w:pPr>
        <w:jc w:val="both"/>
        <w:ind w:left="1440" w:hanging="726"/>
        <w:spacing w:after="0" w:line="307" w:lineRule="auto"/>
        <w:tabs>
          <w:tab w:leader="none" w:pos="145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Gross Interest Expense paid or payable by the Reading Entertainment Australia Group (whether payable in respect of the Facilities or otherwise) in respect of the 12 month period ending on that date; and</w:t>
      </w:r>
    </w:p>
    <w:p>
      <w:pPr>
        <w:spacing w:after="0" w:line="8" w:lineRule="exact"/>
        <w:rPr>
          <w:rFonts w:ascii="Arial" w:cs="Arial" w:eastAsia="Arial" w:hAnsi="Arial"/>
          <w:sz w:val="22"/>
          <w:szCs w:val="22"/>
          <w:color w:val="auto"/>
        </w:rPr>
      </w:pPr>
    </w:p>
    <w:p>
      <w:pPr>
        <w:ind w:left="1440" w:hanging="726"/>
        <w:spacing w:after="0"/>
        <w:tabs>
          <w:tab w:leader="none" w:pos="14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Total Lease Payments in respect of the 12 month period ending on that date;</w:t>
      </w:r>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Freehold Property </w:t>
      </w:r>
      <w:r>
        <w:rPr>
          <w:rFonts w:ascii="Arial" w:cs="Arial" w:eastAsia="Arial" w:hAnsi="Arial"/>
          <w:sz w:val="22"/>
          <w:szCs w:val="22"/>
          <w:color w:val="auto"/>
        </w:rPr>
        <w:t>means each freehold property owned by a Transaction Party that is the subject of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real property mortgage referred to in of </w:t>
      </w:r>
      <w:r>
        <w:rPr>
          <w:rFonts w:ascii="Arial" w:cs="Arial" w:eastAsia="Arial" w:hAnsi="Arial"/>
          <w:sz w:val="22"/>
          <w:szCs w:val="22"/>
          <w:b w:val="1"/>
          <w:bCs w:val="1"/>
          <w:color w:val="auto"/>
        </w:rPr>
        <w:t>schedule 3</w:t>
      </w:r>
      <w:r>
        <w:rPr>
          <w:rFonts w:ascii="Arial" w:cs="Arial" w:eastAsia="Arial" w:hAnsi="Arial"/>
          <w:sz w:val="22"/>
          <w:szCs w:val="22"/>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Funding Date </w:t>
      </w:r>
      <w:r>
        <w:rPr>
          <w:rFonts w:ascii="Arial" w:cs="Arial" w:eastAsia="Arial" w:hAnsi="Arial"/>
          <w:sz w:val="22"/>
          <w:szCs w:val="22"/>
          <w:color w:val="auto"/>
        </w:rPr>
        <w:t>means a date on which:</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 Advance is, or is proposed to be, made; or</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Bank Guarantee is, or is proposed to be, issued, under this document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Funding Notice </w:t>
      </w:r>
      <w:r>
        <w:rPr>
          <w:rFonts w:ascii="Arial" w:cs="Arial" w:eastAsia="Arial" w:hAnsi="Arial"/>
          <w:sz w:val="22"/>
          <w:szCs w:val="22"/>
          <w:color w:val="auto"/>
        </w:rPr>
        <w:t>means a notice in accordance with</w:t>
      </w:r>
      <w:r>
        <w:rPr>
          <w:rFonts w:ascii="Arial" w:cs="Arial" w:eastAsia="Arial" w:hAnsi="Arial"/>
          <w:sz w:val="22"/>
          <w:szCs w:val="22"/>
          <w:b w:val="1"/>
          <w:bCs w:val="1"/>
          <w:color w:val="auto"/>
        </w:rPr>
        <w:t xml:space="preserve"> clause 4.4</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b w:val="1"/>
          <w:bCs w:val="1"/>
          <w:color w:val="auto"/>
        </w:rPr>
        <w:t xml:space="preserve">Government Body </w:t>
      </w:r>
      <w:r>
        <w:rPr>
          <w:rFonts w:ascii="Arial" w:cs="Arial" w:eastAsia="Arial" w:hAnsi="Arial"/>
          <w:sz w:val="22"/>
          <w:szCs w:val="22"/>
          <w:color w:val="auto"/>
        </w:rPr>
        <w:t>means any person or body exercising an executive, legislative, judicial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function. It includes any public authority constituted under a law of any country or political sub-division of any country. It also includes any person deriving a power directly or indirectly from any other person or body referred to in this definition.</w:t>
      </w:r>
    </w:p>
    <w:p>
      <w:pPr>
        <w:spacing w:after="0" w:line="347" w:lineRule="exact"/>
        <w:rPr>
          <w:sz w:val="20"/>
          <w:szCs w:val="20"/>
          <w:color w:val="auto"/>
        </w:rPr>
      </w:pPr>
    </w:p>
    <w:p>
      <w:pPr>
        <w:jc w:val="both"/>
        <w:spacing w:after="0" w:line="311" w:lineRule="auto"/>
        <w:rPr>
          <w:sz w:val="20"/>
          <w:szCs w:val="20"/>
          <w:color w:val="auto"/>
        </w:rPr>
      </w:pPr>
      <w:r>
        <w:rPr>
          <w:rFonts w:ascii="Arial" w:cs="Arial" w:eastAsia="Arial" w:hAnsi="Arial"/>
          <w:sz w:val="22"/>
          <w:szCs w:val="22"/>
          <w:b w:val="1"/>
          <w:bCs w:val="1"/>
          <w:color w:val="auto"/>
        </w:rPr>
        <w:t xml:space="preserve">Gross Interest Expense </w:t>
      </w:r>
      <w:r>
        <w:rPr>
          <w:rFonts w:ascii="Arial" w:cs="Arial" w:eastAsia="Arial" w:hAnsi="Arial"/>
          <w:sz w:val="22"/>
          <w:szCs w:val="22"/>
          <w:color w:val="auto"/>
        </w:rPr>
        <w:t>means, in relation to any period, the aggregate of all interest and amounts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Guarantee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07" w:lineRule="auto"/>
        <w:tabs>
          <w:tab w:leader="none" w:pos="148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guarantee, indemnity, undertaking, letter of credit, Security, acceptance or endorsement of a negotiable instrument or other obligation (actual or contingent) given by any person to secure compliance with an obligation by another person;</w:t>
      </w:r>
    </w:p>
    <w:p>
      <w:pPr>
        <w:spacing w:after="0" w:line="19" w:lineRule="exact"/>
        <w:rPr>
          <w:rFonts w:ascii="Arial" w:cs="Arial" w:eastAsia="Arial" w:hAnsi="Arial"/>
          <w:sz w:val="22"/>
          <w:szCs w:val="22"/>
          <w:color w:val="auto"/>
        </w:rPr>
      </w:pPr>
    </w:p>
    <w:p>
      <w:pPr>
        <w:jc w:val="both"/>
        <w:ind w:left="1440" w:hanging="726"/>
        <w:spacing w:after="0" w:line="344" w:lineRule="auto"/>
        <w:tabs>
          <w:tab w:leader="none" w:pos="149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 obligation (actual or contingent) of a person to ensure the solvency of another person or the ability of another person to comply with an obligation, including by the advance of money or the acquisition for valuable consideration of property or services; and</w:t>
      </w:r>
    </w:p>
    <w:p>
      <w:pPr>
        <w:ind w:left="1480" w:hanging="766"/>
        <w:spacing w:after="0"/>
        <w:tabs>
          <w:tab w:leader="none" w:pos="14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 option under which a person is obliged on the exercise of the option to buy:</w:t>
      </w:r>
    </w:p>
    <w:p>
      <w:pPr>
        <w:spacing w:after="0" w:line="77" w:lineRule="exact"/>
        <w:rPr>
          <w:rFonts w:ascii="Arial" w:cs="Arial" w:eastAsia="Arial" w:hAnsi="Arial"/>
          <w:sz w:val="22"/>
          <w:szCs w:val="22"/>
          <w:color w:val="auto"/>
        </w:rPr>
      </w:pPr>
    </w:p>
    <w:p>
      <w:pPr>
        <w:ind w:left="1420" w:hanging="577"/>
        <w:spacing w:after="0"/>
        <w:tabs>
          <w:tab w:leader="none" w:pos="14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debt or liability owed by another person; or</w:t>
      </w:r>
    </w:p>
    <w:p>
      <w:pPr>
        <w:spacing w:after="0" w:line="77" w:lineRule="exact"/>
        <w:rPr>
          <w:rFonts w:ascii="Arial" w:cs="Arial" w:eastAsia="Arial" w:hAnsi="Arial"/>
          <w:sz w:val="22"/>
          <w:szCs w:val="22"/>
          <w:color w:val="auto"/>
        </w:rPr>
      </w:pPr>
    </w:p>
    <w:p>
      <w:pPr>
        <w:ind w:left="1460" w:hanging="617"/>
        <w:spacing w:after="0"/>
        <w:tabs>
          <w:tab w:leader="none" w:pos="14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property which is subject to a Security Interest.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Guaranteed Money </w:t>
      </w:r>
      <w:r>
        <w:rPr>
          <w:rFonts w:ascii="Arial" w:cs="Arial" w:eastAsia="Arial" w:hAnsi="Arial"/>
          <w:sz w:val="22"/>
          <w:szCs w:val="22"/>
          <w:color w:val="auto"/>
        </w:rPr>
        <w:t>means all money:</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which now or in the future is owing (actually or contingently) by a Transaction Party to the Bank under or in relation to any of the Transaction Documents;</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98</w:t>
      </w:r>
    </w:p>
    <w:p>
      <w:pPr>
        <w:sectPr>
          <w:pgSz w:w="11900" w:h="16838" w:orient="portrait"/>
          <w:cols w:equalWidth="0" w:num="1">
            <w:col w:w="9400"/>
          </w:cols>
          <w:pgMar w:left="1260" w:top="1177" w:right="1246" w:bottom="0" w:gutter="0" w:footer="0" w:header="0"/>
          <w:type w:val="continuous"/>
        </w:sectPr>
      </w:pPr>
    </w:p>
    <w:bookmarkStart w:id="191" w:name="page192"/>
    <w:bookmarkEnd w:id="191"/>
    <w:p>
      <w:pPr>
        <w:jc w:val="both"/>
        <w:ind w:left="1440" w:hanging="726"/>
        <w:spacing w:after="0" w:line="309" w:lineRule="auto"/>
        <w:tabs>
          <w:tab w:leader="none" w:pos="149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p>
    <w:p>
      <w:pPr>
        <w:spacing w:after="0" w:line="17" w:lineRule="exact"/>
        <w:rPr>
          <w:rFonts w:ascii="Arial" w:cs="Arial" w:eastAsia="Arial" w:hAnsi="Arial"/>
          <w:sz w:val="22"/>
          <w:szCs w:val="22"/>
          <w:color w:val="auto"/>
        </w:rPr>
      </w:pPr>
    </w:p>
    <w:p>
      <w:pPr>
        <w:jc w:val="both"/>
        <w:ind w:left="1440" w:hanging="726"/>
        <w:spacing w:after="0" w:line="307" w:lineRule="auto"/>
        <w:tabs>
          <w:tab w:leader="none" w:pos="148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now or in the future may become owing (actually or contingently) by a Transaction Party to the Bank under or in relation to any of the Transaction Documents, for any reason, whether such money is payable:</w:t>
      </w:r>
    </w:p>
    <w:p>
      <w:pPr>
        <w:spacing w:after="0" w:line="8" w:lineRule="exact"/>
        <w:rPr>
          <w:rFonts w:ascii="Arial" w:cs="Arial" w:eastAsia="Arial" w:hAnsi="Arial"/>
          <w:sz w:val="22"/>
          <w:szCs w:val="22"/>
          <w:color w:val="auto"/>
        </w:rPr>
      </w:pPr>
    </w:p>
    <w:p>
      <w:pPr>
        <w:ind w:left="1500" w:hanging="786"/>
        <w:spacing w:after="0"/>
        <w:tabs>
          <w:tab w:leader="none" w:pos="1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by a Transaction Party alone or jointly or severally with any other person;</w:t>
      </w:r>
    </w:p>
    <w:p>
      <w:pPr>
        <w:spacing w:after="0" w:line="77" w:lineRule="exact"/>
        <w:rPr>
          <w:rFonts w:ascii="Arial" w:cs="Arial" w:eastAsia="Arial" w:hAnsi="Arial"/>
          <w:sz w:val="22"/>
          <w:szCs w:val="22"/>
          <w:color w:val="auto"/>
        </w:rPr>
      </w:pPr>
    </w:p>
    <w:p>
      <w:pPr>
        <w:ind w:left="1480" w:hanging="766"/>
        <w:spacing w:after="0"/>
        <w:tabs>
          <w:tab w:leader="none" w:pos="14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by a Transaction Party in its own right or in any capacity;</w:t>
      </w:r>
    </w:p>
    <w:p>
      <w:pPr>
        <w:spacing w:after="0" w:line="77" w:lineRule="exact"/>
        <w:rPr>
          <w:rFonts w:ascii="Arial" w:cs="Arial" w:eastAsia="Arial" w:hAnsi="Arial"/>
          <w:sz w:val="22"/>
          <w:szCs w:val="22"/>
          <w:color w:val="auto"/>
        </w:rPr>
      </w:pPr>
    </w:p>
    <w:p>
      <w:pPr>
        <w:ind w:left="1460" w:hanging="746"/>
        <w:spacing w:after="0"/>
        <w:tabs>
          <w:tab w:leader="none" w:pos="14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to the Bank in its own right or in any capacity; and</w:t>
      </w:r>
    </w:p>
    <w:p>
      <w:pPr>
        <w:spacing w:after="0" w:line="87" w:lineRule="exact"/>
        <w:rPr>
          <w:rFonts w:ascii="Arial" w:cs="Arial" w:eastAsia="Arial" w:hAnsi="Arial"/>
          <w:sz w:val="22"/>
          <w:szCs w:val="22"/>
          <w:color w:val="auto"/>
        </w:rPr>
      </w:pPr>
    </w:p>
    <w:p>
      <w:pPr>
        <w:jc w:val="both"/>
        <w:ind w:left="1440" w:hanging="726"/>
        <w:spacing w:after="0" w:line="309" w:lineRule="auto"/>
        <w:tabs>
          <w:tab w:leader="none" w:pos="149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p>
      <w:pPr>
        <w:spacing w:after="0" w:line="347"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p>
    <w:p>
      <w:pPr>
        <w:spacing w:after="0" w:line="330"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Guarantor </w:t>
      </w:r>
      <w:r>
        <w:rPr>
          <w:rFonts w:ascii="Arial" w:cs="Arial" w:eastAsia="Arial" w:hAnsi="Arial"/>
          <w:sz w:val="22"/>
          <w:szCs w:val="22"/>
          <w:color w:val="auto"/>
        </w:rPr>
        <w:t>means the Original Guarantors and each person that becomes a guarantor under</w:t>
      </w:r>
      <w:r>
        <w:rPr>
          <w:rFonts w:ascii="Arial" w:cs="Arial" w:eastAsia="Arial" w:hAnsi="Arial"/>
          <w:sz w:val="22"/>
          <w:szCs w:val="22"/>
          <w:b w:val="1"/>
          <w:bCs w:val="1"/>
          <w:color w:val="auto"/>
        </w:rPr>
        <w:t xml:space="preserve"> clause 16</w:t>
      </w:r>
      <w:r>
        <w:rPr>
          <w:rFonts w:ascii="Arial" w:cs="Arial" w:eastAsia="Arial" w:hAnsi="Arial"/>
          <w:sz w:val="22"/>
          <w:szCs w:val="22"/>
          <w:color w:val="auto"/>
        </w:rPr>
        <w:t>. If</w:t>
      </w:r>
      <w:r>
        <w:rPr>
          <w:rFonts w:ascii="Arial" w:cs="Arial" w:eastAsia="Arial" w:hAnsi="Arial"/>
          <w:sz w:val="22"/>
          <w:szCs w:val="22"/>
          <w:b w:val="1"/>
          <w:bCs w:val="1"/>
          <w:color w:val="auto"/>
        </w:rPr>
        <w:t xml:space="preserve"> </w:t>
      </w:r>
      <w:r>
        <w:rPr>
          <w:rFonts w:ascii="Arial" w:cs="Arial" w:eastAsia="Arial" w:hAnsi="Arial"/>
          <w:sz w:val="22"/>
          <w:szCs w:val="22"/>
          <w:color w:val="auto"/>
        </w:rPr>
        <w:t>there are more than one, Guarantor means each of them individually and every two or more of them jointly.</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Guarantor Accession Deed </w:t>
      </w:r>
      <w:r>
        <w:rPr>
          <w:rFonts w:ascii="Arial" w:cs="Arial" w:eastAsia="Arial" w:hAnsi="Arial"/>
          <w:sz w:val="22"/>
          <w:szCs w:val="22"/>
          <w:color w:val="auto"/>
        </w:rPr>
        <w:t>means a deed substantially in the form of</w:t>
      </w:r>
      <w:r>
        <w:rPr>
          <w:rFonts w:ascii="Arial" w:cs="Arial" w:eastAsia="Arial" w:hAnsi="Arial"/>
          <w:sz w:val="22"/>
          <w:szCs w:val="22"/>
          <w:b w:val="1"/>
          <w:bCs w:val="1"/>
          <w:color w:val="auto"/>
        </w:rPr>
        <w:t xml:space="preserve"> schedule 8</w:t>
      </w:r>
      <w:r>
        <w:rPr>
          <w:rFonts w:ascii="Arial" w:cs="Arial" w:eastAsia="Arial" w:hAnsi="Arial"/>
          <w:sz w:val="22"/>
          <w:szCs w:val="22"/>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Half </w:t>
      </w:r>
      <w:r>
        <w:rPr>
          <w:rFonts w:ascii="Arial" w:cs="Arial" w:eastAsia="Arial" w:hAnsi="Arial"/>
          <w:sz w:val="22"/>
          <w:szCs w:val="22"/>
          <w:color w:val="auto"/>
        </w:rPr>
        <w:t>means each six month period ending on 30 June and 31 December in each year.</w:t>
      </w:r>
    </w:p>
    <w:p>
      <w:pPr>
        <w:spacing w:after="0" w:line="200" w:lineRule="exact"/>
        <w:rPr>
          <w:sz w:val="20"/>
          <w:szCs w:val="20"/>
          <w:color w:val="auto"/>
        </w:rPr>
      </w:pP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22"/>
          <w:szCs w:val="22"/>
          <w:b w:val="1"/>
          <w:bCs w:val="1"/>
          <w:color w:val="auto"/>
        </w:rPr>
        <w:t xml:space="preserve">Hedging Transaction </w:t>
      </w:r>
      <w:r>
        <w:rPr>
          <w:rFonts w:ascii="Arial" w:cs="Arial" w:eastAsia="Arial" w:hAnsi="Arial"/>
          <w:sz w:val="22"/>
          <w:szCs w:val="22"/>
          <w:color w:val="auto"/>
        </w:rPr>
        <w:t>means a contract, agreement or arrangement (other than in respect of the price of</w:t>
      </w:r>
      <w:r>
        <w:rPr>
          <w:rFonts w:ascii="Arial" w:cs="Arial" w:eastAsia="Arial" w:hAnsi="Arial"/>
          <w:sz w:val="22"/>
          <w:szCs w:val="22"/>
          <w:b w:val="1"/>
          <w:bCs w:val="1"/>
          <w:color w:val="auto"/>
        </w:rPr>
        <w:t xml:space="preserve"> </w:t>
      </w:r>
      <w:r>
        <w:rPr>
          <w:rFonts w:ascii="Arial" w:cs="Arial" w:eastAsia="Arial" w:hAnsi="Arial"/>
          <w:sz w:val="22"/>
          <w:szCs w:val="22"/>
          <w:color w:val="auto"/>
        </w:rPr>
        <w:t>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p>
    <w:p>
      <w:pPr>
        <w:spacing w:after="0" w:line="346"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Indemnity Amount </w:t>
      </w:r>
      <w:r>
        <w:rPr>
          <w:rFonts w:ascii="Arial" w:cs="Arial" w:eastAsia="Arial" w:hAnsi="Arial"/>
          <w:sz w:val="22"/>
          <w:szCs w:val="22"/>
          <w:color w:val="auto"/>
        </w:rPr>
        <w:t>means, in relation to a Bank Guarantee, the amount or, as the case may be,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aggregate of the amounts payable by the Borrower in relation to a Bank Guarantee in accordance with </w:t>
      </w:r>
      <w:r>
        <w:rPr>
          <w:rFonts w:ascii="Arial" w:cs="Arial" w:eastAsia="Arial" w:hAnsi="Arial"/>
          <w:sz w:val="22"/>
          <w:szCs w:val="22"/>
          <w:b w:val="1"/>
          <w:bCs w:val="1"/>
          <w:color w:val="auto"/>
        </w:rPr>
        <w:t>clause 5.3</w:t>
      </w:r>
      <w:r>
        <w:rPr>
          <w:rFonts w:ascii="Arial" w:cs="Arial" w:eastAsia="Arial" w:hAnsi="Arial"/>
          <w:sz w:val="22"/>
          <w:szCs w:val="22"/>
          <w:color w:val="auto"/>
        </w:rPr>
        <w: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Insolvency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relation to a corporation, its winding up or dissolution or its administration, provisional liquidation or any administration having a similar effect;</w:t>
      </w:r>
    </w:p>
    <w:p>
      <w:pPr>
        <w:spacing w:after="0" w:line="12" w:lineRule="exact"/>
        <w:rPr>
          <w:rFonts w:ascii="Arial" w:cs="Arial" w:eastAsia="Arial" w:hAnsi="Arial"/>
          <w:sz w:val="22"/>
          <w:szCs w:val="22"/>
          <w:color w:val="auto"/>
        </w:rPr>
      </w:pPr>
    </w:p>
    <w:p>
      <w:pPr>
        <w:ind w:left="1500" w:hanging="786"/>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relation to an individual, his or her bankruptcy; and</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98</w:t>
      </w:r>
    </w:p>
    <w:p>
      <w:pPr>
        <w:sectPr>
          <w:pgSz w:w="11900" w:h="16838" w:orient="portrait"/>
          <w:cols w:equalWidth="0" w:num="1">
            <w:col w:w="9400"/>
          </w:cols>
          <w:pgMar w:left="1260" w:top="1177" w:right="1246" w:bottom="0" w:gutter="0" w:footer="0" w:header="0"/>
          <w:type w:val="continuous"/>
        </w:sectPr>
      </w:pPr>
    </w:p>
    <w:bookmarkStart w:id="192" w:name="page193"/>
    <w:bookmarkEnd w:id="192"/>
    <w:p>
      <w:pPr>
        <w:jc w:val="both"/>
        <w:ind w:left="1440" w:hanging="726"/>
        <w:spacing w:after="0" w:line="309" w:lineRule="auto"/>
        <w:tabs>
          <w:tab w:leader="none" w:pos="148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relation to a person, any arrangement (including a scheme of arrangement or deed of company arrangement), composition or compromise with, or assignment for the benefit of, all or any class of that person’s creditors or members or a moratorium involving any of them.</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Insolvency Event </w:t>
      </w:r>
      <w:r>
        <w:rPr>
          <w:rFonts w:ascii="Arial" w:cs="Arial" w:eastAsia="Arial" w:hAnsi="Arial"/>
          <w:sz w:val="22"/>
          <w:szCs w:val="22"/>
          <w:color w:val="auto"/>
        </w:rPr>
        <w:t>means any of the following:</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27" w:lineRule="auto"/>
        <w:tabs>
          <w:tab w:leader="none" w:pos="148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 person is or states that the person is unable to pay from the person’s own money (or funds or commitments provided by another Reading Entertainment Australia Group Member) all the person’s debts as and when they become due and payable;</w:t>
      </w:r>
    </w:p>
    <w:p>
      <w:pPr>
        <w:spacing w:after="0" w:line="2" w:lineRule="exact"/>
        <w:rPr>
          <w:rFonts w:ascii="Arial" w:cs="Arial" w:eastAsia="Arial" w:hAnsi="Arial"/>
          <w:sz w:val="21"/>
          <w:szCs w:val="21"/>
          <w:color w:val="auto"/>
        </w:rPr>
      </w:pPr>
    </w:p>
    <w:p>
      <w:pPr>
        <w:ind w:left="1440" w:hanging="726"/>
        <w:spacing w:after="0" w:line="302" w:lineRule="auto"/>
        <w:tabs>
          <w:tab w:leader="none" w:pos="149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person is taken or must be presumed to be insolvent or unable to pay the person’s debts under any applicable legislation;</w:t>
      </w:r>
    </w:p>
    <w:p>
      <w:pPr>
        <w:spacing w:after="0" w:line="23" w:lineRule="exact"/>
        <w:rPr>
          <w:rFonts w:ascii="Arial" w:cs="Arial" w:eastAsia="Arial" w:hAnsi="Arial"/>
          <w:sz w:val="22"/>
          <w:szCs w:val="22"/>
          <w:color w:val="auto"/>
        </w:rPr>
      </w:pPr>
    </w:p>
    <w:p>
      <w:pPr>
        <w:ind w:left="1440" w:hanging="726"/>
        <w:spacing w:after="0" w:line="302" w:lineRule="auto"/>
        <w:tabs>
          <w:tab w:leader="none" w:pos="148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 order is made for the winding up or dissolution or an effective resolution is passed for the winding up or dissolution of a corporation;</w:t>
      </w:r>
    </w:p>
    <w:p>
      <w:pPr>
        <w:spacing w:after="0" w:line="23" w:lineRule="exact"/>
        <w:rPr>
          <w:rFonts w:ascii="Arial" w:cs="Arial" w:eastAsia="Arial" w:hAnsi="Arial"/>
          <w:sz w:val="22"/>
          <w:szCs w:val="22"/>
          <w:color w:val="auto"/>
        </w:rPr>
      </w:pPr>
    </w:p>
    <w:p>
      <w:pPr>
        <w:jc w:val="both"/>
        <w:ind w:left="1440" w:hanging="726"/>
        <w:spacing w:after="0" w:line="327" w:lineRule="auto"/>
        <w:tabs>
          <w:tab w:leader="none" w:pos="149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p>
      <w:pPr>
        <w:ind w:left="1480" w:hanging="766"/>
        <w:spacing w:after="0"/>
        <w:tabs>
          <w:tab w:leader="none" w:pos="14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controller is appointed in relation to any property of a corporation;</w:t>
      </w:r>
    </w:p>
    <w:p>
      <w:pPr>
        <w:spacing w:after="0" w:line="87" w:lineRule="exact"/>
        <w:rPr>
          <w:rFonts w:ascii="Arial" w:cs="Arial" w:eastAsia="Arial" w:hAnsi="Arial"/>
          <w:sz w:val="22"/>
          <w:szCs w:val="22"/>
          <w:color w:val="auto"/>
        </w:rPr>
      </w:pPr>
    </w:p>
    <w:p>
      <w:pPr>
        <w:ind w:left="1440" w:hanging="726"/>
        <w:spacing w:after="0" w:line="302" w:lineRule="auto"/>
        <w:tabs>
          <w:tab w:leader="none" w:pos="146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corporation is deregistered under the Corporations Act or notice of its proposed deregistration is given to the corporation;</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distress, attachment or execution is levied or becomes enforceable against any property of a person;</w:t>
      </w:r>
    </w:p>
    <w:p>
      <w:pPr>
        <w:spacing w:after="0" w:line="23" w:lineRule="exact"/>
        <w:rPr>
          <w:rFonts w:ascii="Arial" w:cs="Arial" w:eastAsia="Arial" w:hAnsi="Arial"/>
          <w:sz w:val="22"/>
          <w:szCs w:val="22"/>
          <w:color w:val="auto"/>
        </w:rPr>
      </w:pPr>
    </w:p>
    <w:p>
      <w:pPr>
        <w:jc w:val="both"/>
        <w:ind w:left="1440" w:hanging="726"/>
        <w:spacing w:after="0" w:line="309" w:lineRule="auto"/>
        <w:tabs>
          <w:tab w:leader="none" w:pos="149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p>
      <w:pPr>
        <w:spacing w:after="0" w:line="17" w:lineRule="exact"/>
        <w:rPr>
          <w:rFonts w:ascii="Arial" w:cs="Arial" w:eastAsia="Arial" w:hAnsi="Arial"/>
          <w:sz w:val="22"/>
          <w:szCs w:val="22"/>
          <w:color w:val="auto"/>
        </w:rPr>
      </w:pPr>
    </w:p>
    <w:p>
      <w:pPr>
        <w:jc w:val="both"/>
        <w:ind w:left="1440" w:hanging="726"/>
        <w:spacing w:after="0" w:line="307" w:lineRule="auto"/>
        <w:tabs>
          <w:tab w:leader="none" w:pos="145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petition for the making of a sequestration order against the estate of a person is presented and the petition is not stayed, withdrawn or dismissed within seven days or a person presents a petition against himself or herself;</w:t>
      </w:r>
    </w:p>
    <w:p>
      <w:pPr>
        <w:spacing w:after="0" w:line="19" w:lineRule="exact"/>
        <w:rPr>
          <w:rFonts w:ascii="Arial" w:cs="Arial" w:eastAsia="Arial" w:hAnsi="Arial"/>
          <w:sz w:val="22"/>
          <w:szCs w:val="22"/>
          <w:color w:val="auto"/>
        </w:rPr>
      </w:pPr>
    </w:p>
    <w:p>
      <w:pPr>
        <w:ind w:left="1440" w:hanging="726"/>
        <w:spacing w:after="0" w:line="302" w:lineRule="auto"/>
        <w:tabs>
          <w:tab w:leader="none" w:pos="145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person presents a declaration of intention under section 54A of the Bankruptcy Act 1966; or</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anything analogous to or of a similar effect to anything described above under the law of any relevant jurisdiction occurs in relation to a person.</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Insurance </w:t>
      </w:r>
      <w:r>
        <w:rPr>
          <w:rFonts w:ascii="Arial" w:cs="Arial" w:eastAsia="Arial" w:hAnsi="Arial"/>
          <w:sz w:val="22"/>
          <w:szCs w:val="22"/>
          <w:color w:val="auto"/>
        </w:rPr>
        <w:t>means insurance which a Transaction Party is obliged to take out or maintain under a</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Document.</w:t>
      </w:r>
    </w:p>
    <w:p>
      <w:pPr>
        <w:spacing w:after="0" w:line="353" w:lineRule="exact"/>
        <w:rPr>
          <w:sz w:val="20"/>
          <w:szCs w:val="20"/>
          <w:color w:val="auto"/>
        </w:rPr>
      </w:pPr>
    </w:p>
    <w:p>
      <w:pPr>
        <w:spacing w:after="0" w:line="328" w:lineRule="auto"/>
        <w:rPr>
          <w:sz w:val="20"/>
          <w:szCs w:val="20"/>
          <w:color w:val="auto"/>
        </w:rPr>
      </w:pPr>
      <w:r>
        <w:rPr>
          <w:rFonts w:ascii="Arial" w:cs="Arial" w:eastAsia="Arial" w:hAnsi="Arial"/>
          <w:sz w:val="21"/>
          <w:szCs w:val="21"/>
          <w:b w:val="1"/>
          <w:bCs w:val="1"/>
          <w:color w:val="auto"/>
        </w:rPr>
        <w:t xml:space="preserve">Interest Rate </w:t>
      </w:r>
      <w:r>
        <w:rPr>
          <w:rFonts w:ascii="Arial" w:cs="Arial" w:eastAsia="Arial" w:hAnsi="Arial"/>
          <w:sz w:val="21"/>
          <w:szCs w:val="21"/>
          <w:color w:val="auto"/>
        </w:rPr>
        <w:t>means, in relation to a Pricing Period for an Advance until it becomes due and owing, an</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rate equal to the aggregate of the Base Rate for that Pricing Period and the Margin.</w:t>
      </w: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Interim Compliance Certificate </w:t>
      </w:r>
      <w:r>
        <w:rPr>
          <w:rFonts w:ascii="Arial" w:cs="Arial" w:eastAsia="Arial" w:hAnsi="Arial"/>
          <w:sz w:val="21"/>
          <w:szCs w:val="21"/>
          <w:color w:val="auto"/>
        </w:rPr>
        <w:t>means a certificate in substantially the form set out in</w:t>
      </w:r>
      <w:r>
        <w:rPr>
          <w:rFonts w:ascii="Arial" w:cs="Arial" w:eastAsia="Arial" w:hAnsi="Arial"/>
          <w:sz w:val="21"/>
          <w:szCs w:val="21"/>
          <w:b w:val="1"/>
          <w:bCs w:val="1"/>
          <w:color w:val="auto"/>
        </w:rPr>
        <w:t xml:space="preserve"> schedule 10</w:t>
      </w:r>
      <w:r>
        <w:rPr>
          <w:rFonts w:ascii="Arial" w:cs="Arial" w:eastAsia="Arial" w:hAnsi="Arial"/>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Land </w:t>
      </w:r>
      <w:r>
        <w:rPr>
          <w:rFonts w:ascii="Arial" w:cs="Arial" w:eastAsia="Arial" w:hAnsi="Arial"/>
          <w:sz w:val="20"/>
          <w:szCs w:val="20"/>
          <w:color w:val="auto"/>
        </w:rPr>
        <w:t>means any land owned or occupied by a Transaction Party that forms part of the Secured Property.</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98</w:t>
      </w:r>
    </w:p>
    <w:p>
      <w:pPr>
        <w:sectPr>
          <w:pgSz w:w="11900" w:h="16838" w:orient="portrait"/>
          <w:cols w:equalWidth="0" w:num="1">
            <w:col w:w="9400"/>
          </w:cols>
          <w:pgMar w:left="1260" w:top="1177" w:right="1246" w:bottom="0" w:gutter="0" w:footer="0" w:header="0"/>
          <w:type w:val="continuous"/>
        </w:sectPr>
      </w:pPr>
    </w:p>
    <w:bookmarkStart w:id="193" w:name="page194"/>
    <w:bookmarkEnd w:id="193"/>
    <w:p>
      <w:pPr>
        <w:spacing w:after="0" w:line="67"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Leasehold Properties </w:t>
      </w:r>
      <w:r>
        <w:rPr>
          <w:rFonts w:ascii="Arial" w:cs="Arial" w:eastAsia="Arial" w:hAnsi="Arial"/>
          <w:sz w:val="22"/>
          <w:szCs w:val="22"/>
          <w:color w:val="auto"/>
        </w:rPr>
        <w:t>means each leasehold property leased by a Transaction Party that is the subject of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mortgage of lease referred to in </w:t>
      </w:r>
      <w:r>
        <w:rPr>
          <w:rFonts w:ascii="Arial" w:cs="Arial" w:eastAsia="Arial" w:hAnsi="Arial"/>
          <w:sz w:val="22"/>
          <w:szCs w:val="22"/>
          <w:b w:val="1"/>
          <w:bCs w:val="1"/>
          <w:color w:val="auto"/>
        </w:rPr>
        <w:t>schedule 3</w:t>
      </w:r>
      <w:r>
        <w:rPr>
          <w:rFonts w:ascii="Arial" w:cs="Arial" w:eastAsia="Arial" w:hAnsi="Arial"/>
          <w:sz w:val="22"/>
          <w:szCs w:val="22"/>
          <w:color w:val="auto"/>
        </w:rPr>
        <w:t xml:space="preserve"> (including the mortgage of lease described at item 11 of </w:t>
      </w:r>
      <w:r>
        <w:rPr>
          <w:rFonts w:ascii="Arial" w:cs="Arial" w:eastAsia="Arial" w:hAnsi="Arial"/>
          <w:sz w:val="22"/>
          <w:szCs w:val="22"/>
          <w:b w:val="1"/>
          <w:bCs w:val="1"/>
          <w:color w:val="auto"/>
        </w:rPr>
        <w:t>schedule 3</w:t>
      </w:r>
      <w:r>
        <w:rPr>
          <w:rFonts w:ascii="Arial" w:cs="Arial" w:eastAsia="Arial" w:hAnsi="Arial"/>
          <w:sz w:val="22"/>
          <w:szCs w:val="22"/>
          <w:color w:val="auto"/>
        </w:rPr>
        <w: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Leverage Ratio </w:t>
      </w:r>
      <w:r>
        <w:rPr>
          <w:rFonts w:ascii="Arial" w:cs="Arial" w:eastAsia="Arial" w:hAnsi="Arial"/>
          <w:sz w:val="22"/>
          <w:szCs w:val="22"/>
          <w:color w:val="auto"/>
        </w:rPr>
        <w:t>means as at any date the ratio of:</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Total Gross Debt outstanding on that date; to</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Adjusted EBITDA in respect of the 12 month period ending on that date.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Loan to Value Ratio </w:t>
      </w:r>
      <w:r>
        <w:rPr>
          <w:rFonts w:ascii="Arial" w:cs="Arial" w:eastAsia="Arial" w:hAnsi="Arial"/>
          <w:sz w:val="22"/>
          <w:szCs w:val="22"/>
          <w:color w:val="auto"/>
        </w:rPr>
        <w:t>at any date means the ratio (expressed as a percentage) of:</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27" w:lineRule="auto"/>
        <w:tabs>
          <w:tab w:leader="none" w:pos="148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aggregate of the Total Gross Debt outstanding on that date and any Outstanding Accommodation in relation a Current Bank Guarantee as at that date; to</w:t>
      </w:r>
    </w:p>
    <w:p>
      <w:pPr>
        <w:spacing w:after="0" w:line="1" w:lineRule="exact"/>
        <w:rPr>
          <w:rFonts w:ascii="Arial" w:cs="Arial" w:eastAsia="Arial" w:hAnsi="Arial"/>
          <w:sz w:val="21"/>
          <w:szCs w:val="21"/>
          <w:color w:val="auto"/>
        </w:rPr>
      </w:pPr>
    </w:p>
    <w:p>
      <w:pPr>
        <w:jc w:val="both"/>
        <w:ind w:left="1440" w:hanging="726"/>
        <w:spacing w:after="0" w:line="307" w:lineRule="auto"/>
        <w:tabs>
          <w:tab w:leader="none" w:pos="149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market value of the Freehold Properties and Leasehold Properties included in the Secured Property as noted in the most recent Valuation provided to the Bank pursuant to this document and accepted by the Bank.</w:t>
      </w:r>
    </w:p>
    <w:p>
      <w:pPr>
        <w:spacing w:after="0" w:line="349"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Management Fees </w:t>
      </w:r>
      <w:r>
        <w:rPr>
          <w:rFonts w:ascii="Arial" w:cs="Arial" w:eastAsia="Arial" w:hAnsi="Arial"/>
          <w:sz w:val="22"/>
          <w:szCs w:val="22"/>
          <w:color w:val="auto"/>
        </w:rPr>
        <w:t>means management and consulting fees payable to Reading International Inc 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(other than any affiliate who is a Reading Entertainment Australia Group Member) each Financial Year.</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Margin </w:t>
      </w:r>
      <w:r>
        <w:rPr>
          <w:rFonts w:ascii="Arial" w:cs="Arial" w:eastAsia="Arial" w:hAnsi="Arial"/>
          <w:sz w:val="22"/>
          <w:szCs w:val="22"/>
          <w:color w:val="auto"/>
        </w:rPr>
        <w:t>means in relation to a Pricing Period for an Advance: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Adverse Effec</w:t>
      </w:r>
      <w:r>
        <w:rPr>
          <w:rFonts w:ascii="Arial" w:cs="Arial" w:eastAsia="Arial" w:hAnsi="Arial"/>
          <w:sz w:val="22"/>
          <w:szCs w:val="22"/>
          <w:color w:val="auto"/>
        </w:rPr>
        <w:t>t means a material adverse effect on:</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27" w:lineRule="auto"/>
        <w:tabs>
          <w:tab w:leader="none" w:pos="148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business, operation, property, condition (financial or otherwise) of a Transaction Party or the Reading Entertainment Australia Group taken as a whole;</w:t>
      </w:r>
    </w:p>
    <w:p>
      <w:pPr>
        <w:spacing w:after="0" w:line="1" w:lineRule="exact"/>
        <w:rPr>
          <w:rFonts w:ascii="Arial" w:cs="Arial" w:eastAsia="Arial" w:hAnsi="Arial"/>
          <w:sz w:val="21"/>
          <w:szCs w:val="21"/>
          <w:color w:val="auto"/>
        </w:rPr>
      </w:pPr>
    </w:p>
    <w:p>
      <w:pPr>
        <w:ind w:left="1440" w:hanging="726"/>
        <w:spacing w:after="0" w:line="302" w:lineRule="auto"/>
        <w:tabs>
          <w:tab w:leader="none" w:pos="149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ability of a Transaction Party to perform its obligations under the Transaction Documents; or</w:t>
      </w:r>
    </w:p>
    <w:p>
      <w:pPr>
        <w:spacing w:after="0" w:line="23" w:lineRule="exact"/>
        <w:rPr>
          <w:rFonts w:ascii="Arial" w:cs="Arial" w:eastAsia="Arial" w:hAnsi="Arial"/>
          <w:sz w:val="22"/>
          <w:szCs w:val="22"/>
          <w:color w:val="auto"/>
        </w:rPr>
      </w:pPr>
    </w:p>
    <w:p>
      <w:pPr>
        <w:ind w:left="1440" w:hanging="726"/>
        <w:spacing w:after="0" w:line="328" w:lineRule="auto"/>
        <w:tabs>
          <w:tab w:leader="none" w:pos="148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validity or enforceability of the whole or any material part of any Transaction Document or any rights or remedies of the Bank under the Transaction Documents.</w:t>
      </w:r>
    </w:p>
    <w:p>
      <w:pPr>
        <w:spacing w:after="0" w:line="330"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Matured </w:t>
      </w:r>
      <w:r>
        <w:rPr>
          <w:rFonts w:ascii="Arial" w:cs="Arial" w:eastAsia="Arial" w:hAnsi="Arial"/>
          <w:sz w:val="22"/>
          <w:szCs w:val="22"/>
          <w:color w:val="auto"/>
        </w:rPr>
        <w:t>means, in relation to a Bank Guarantee, that the Beneficiary has made a claim and is not</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claim any more under the relevant Bank Guarantee.</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Merchant Services Agreement </w:t>
      </w:r>
      <w:r>
        <w:rPr>
          <w:rFonts w:ascii="Arial" w:cs="Arial" w:eastAsia="Arial" w:hAnsi="Arial"/>
          <w:sz w:val="22"/>
          <w:szCs w:val="22"/>
          <w:color w:val="auto"/>
        </w:rPr>
        <w:t>means the agreement for merchant services between the Bank and</w:t>
      </w:r>
      <w:r>
        <w:rPr>
          <w:rFonts w:ascii="Arial" w:cs="Arial" w:eastAsia="Arial" w:hAnsi="Arial"/>
          <w:sz w:val="22"/>
          <w:szCs w:val="22"/>
          <w:b w:val="1"/>
          <w:bCs w:val="1"/>
          <w:color w:val="auto"/>
        </w:rPr>
        <w:t xml:space="preserve"> </w:t>
      </w:r>
      <w:r>
        <w:rPr>
          <w:rFonts w:ascii="Arial" w:cs="Arial" w:eastAsia="Arial" w:hAnsi="Arial"/>
          <w:sz w:val="22"/>
          <w:szCs w:val="22"/>
          <w:color w:val="auto"/>
        </w:rPr>
        <w:t>Reading Entertainment Australia Group.</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Minimum Liquidity </w:t>
      </w:r>
      <w:r>
        <w:rPr>
          <w:rFonts w:ascii="Arial" w:cs="Arial" w:eastAsia="Arial" w:hAnsi="Arial"/>
          <w:sz w:val="22"/>
          <w:szCs w:val="22"/>
          <w:color w:val="auto"/>
        </w:rPr>
        <w:t>means all unrestricted Cash of the Borrower, determined on a consolidated basis, as</w:t>
      </w:r>
      <w:r>
        <w:rPr>
          <w:rFonts w:ascii="Arial" w:cs="Arial" w:eastAsia="Arial" w:hAnsi="Arial"/>
          <w:sz w:val="22"/>
          <w:szCs w:val="22"/>
          <w:b w:val="1"/>
          <w:bCs w:val="1"/>
          <w:color w:val="auto"/>
        </w:rPr>
        <w:t xml:space="preserve"> </w:t>
      </w:r>
      <w:r>
        <w:rPr>
          <w:rFonts w:ascii="Arial" w:cs="Arial" w:eastAsia="Arial" w:hAnsi="Arial"/>
          <w:sz w:val="22"/>
          <w:szCs w:val="22"/>
          <w:color w:val="auto"/>
        </w:rPr>
        <w:t>detailed in the Borrower’s management accounts.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Month </w:t>
      </w:r>
      <w:r>
        <w:rPr>
          <w:rFonts w:ascii="Arial" w:cs="Arial" w:eastAsia="Arial" w:hAnsi="Arial"/>
          <w:sz w:val="22"/>
          <w:szCs w:val="22"/>
          <w:color w:val="auto"/>
        </w:rPr>
        <w:t>means a calendar month.</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98</w:t>
      </w:r>
    </w:p>
    <w:p>
      <w:pPr>
        <w:sectPr>
          <w:pgSz w:w="11900" w:h="16838" w:orient="portrait"/>
          <w:cols w:equalWidth="0" w:num="1">
            <w:col w:w="9400"/>
          </w:cols>
          <w:pgMar w:left="1260" w:top="1440" w:right="1246" w:bottom="0" w:gutter="0" w:footer="0" w:header="0"/>
          <w:type w:val="continuous"/>
        </w:sectPr>
      </w:pPr>
    </w:p>
    <w:bookmarkStart w:id="194" w:name="page195"/>
    <w:bookmarkEnd w:id="194"/>
    <w:p>
      <w:pPr>
        <w:spacing w:after="0" w:line="67" w:lineRule="exact"/>
        <w:rPr>
          <w:sz w:val="20"/>
          <w:szCs w:val="20"/>
          <w:color w:val="auto"/>
        </w:rPr>
      </w:pPr>
    </w:p>
    <w:p>
      <w:pPr>
        <w:jc w:val="both"/>
        <w:spacing w:after="0" w:line="328" w:lineRule="auto"/>
        <w:rPr>
          <w:sz w:val="20"/>
          <w:szCs w:val="20"/>
          <w:color w:val="auto"/>
        </w:rPr>
      </w:pPr>
      <w:r>
        <w:rPr>
          <w:rFonts w:ascii="Arial" w:cs="Arial" w:eastAsia="Arial" w:hAnsi="Arial"/>
          <w:sz w:val="21"/>
          <w:szCs w:val="21"/>
          <w:b w:val="1"/>
          <w:bCs w:val="1"/>
          <w:color w:val="auto"/>
        </w:rPr>
        <w:t xml:space="preserve">Net Sale Proceeds </w:t>
      </w:r>
      <w:r>
        <w:rPr>
          <w:rFonts w:ascii="Arial" w:cs="Arial" w:eastAsia="Arial" w:hAnsi="Arial"/>
          <w:sz w:val="21"/>
          <w:szCs w:val="21"/>
          <w:color w:val="auto"/>
        </w:rPr>
        <w:t>means in relation to the sale of the Waurn Ponds Property, the gross sale or disposal</w:t>
      </w:r>
      <w:r>
        <w:rPr>
          <w:rFonts w:ascii="Arial" w:cs="Arial" w:eastAsia="Arial" w:hAnsi="Arial"/>
          <w:sz w:val="21"/>
          <w:szCs w:val="21"/>
          <w:b w:val="1"/>
          <w:bCs w:val="1"/>
          <w:color w:val="auto"/>
        </w:rPr>
        <w:t xml:space="preserve"> </w:t>
      </w:r>
      <w:r>
        <w:rPr>
          <w:rFonts w:ascii="Arial" w:cs="Arial" w:eastAsia="Arial" w:hAnsi="Arial"/>
          <w:sz w:val="21"/>
          <w:szCs w:val="21"/>
          <w:color w:val="auto"/>
        </w:rPr>
        <w:t>price set out in the relevant sale contract less the aggregate of estate agent commissions, conveyancing fees, adjustments (for both water and council rates), land tax owners corporation fees and fees associated with the discharge or release of an Encumbrance over the Waurn Ponds Property (as applicable) and any GST payable in relation to the sale contract.</w:t>
      </w:r>
    </w:p>
    <w:p>
      <w:pPr>
        <w:spacing w:after="0" w:line="330" w:lineRule="exact"/>
        <w:rPr>
          <w:sz w:val="20"/>
          <w:szCs w:val="20"/>
          <w:color w:val="auto"/>
        </w:rPr>
      </w:pPr>
    </w:p>
    <w:p>
      <w:pPr>
        <w:jc w:val="both"/>
        <w:ind w:left="40" w:hanging="54"/>
        <w:spacing w:after="0" w:line="302" w:lineRule="auto"/>
        <w:rPr>
          <w:sz w:val="20"/>
          <w:szCs w:val="20"/>
          <w:color w:val="auto"/>
        </w:rPr>
      </w:pPr>
      <w:r>
        <w:rPr>
          <w:rFonts w:ascii="Arial" w:cs="Arial" w:eastAsia="Arial" w:hAnsi="Arial"/>
          <w:sz w:val="22"/>
          <w:szCs w:val="22"/>
          <w:b w:val="1"/>
          <w:bCs w:val="1"/>
          <w:color w:val="auto"/>
        </w:rPr>
        <w:t xml:space="preserve">October 2025 Amendment Date </w:t>
      </w:r>
      <w:r>
        <w:rPr>
          <w:rFonts w:ascii="Arial" w:cs="Arial" w:eastAsia="Arial" w:hAnsi="Arial"/>
          <w:sz w:val="22"/>
          <w:szCs w:val="22"/>
          <w:color w:val="auto"/>
        </w:rPr>
        <w:t>has the meaning given to the term ‘Effective Date’ in the October 2025</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Deed.</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21"/>
          <w:szCs w:val="21"/>
          <w:b w:val="1"/>
          <w:bCs w:val="1"/>
          <w:color w:val="auto"/>
        </w:rPr>
        <w:t xml:space="preserve">October 2025 Amendment Deed </w:t>
      </w:r>
      <w:r>
        <w:rPr>
          <w:rFonts w:ascii="Arial" w:cs="Arial" w:eastAsia="Arial" w:hAnsi="Arial"/>
          <w:sz w:val="21"/>
          <w:szCs w:val="21"/>
          <w:color w:val="auto"/>
        </w:rPr>
        <w:t>means the Amendment Deed dated on or about October 2025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the Borrower, each Guarantor and the Bank, under which this document is amended.</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Outstanding Accommodation </w:t>
      </w:r>
      <w:r>
        <w:rPr>
          <w:rFonts w:ascii="Arial" w:cs="Arial" w:eastAsia="Arial" w:hAnsi="Arial"/>
          <w:sz w:val="22"/>
          <w:szCs w:val="22"/>
          <w:color w:val="auto"/>
        </w:rPr>
        <w:t>means at any time, the aggregate of:</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aggregate of the unpaid Advances outstanding under the Corporate Markets Loan Facility;</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Face Values of all Current Bank Guarantees and all Indemnity Amounts in relation to each Bank Guarantee which are due and payable; and</w:t>
      </w:r>
    </w:p>
    <w:p>
      <w:pPr>
        <w:spacing w:after="0" w:line="23" w:lineRule="exact"/>
        <w:rPr>
          <w:rFonts w:ascii="Arial" w:cs="Arial" w:eastAsia="Arial" w:hAnsi="Arial"/>
          <w:sz w:val="22"/>
          <w:szCs w:val="22"/>
          <w:color w:val="auto"/>
        </w:rPr>
      </w:pPr>
    </w:p>
    <w:p>
      <w:pPr>
        <w:jc w:val="both"/>
        <w:ind w:left="1440" w:hanging="726"/>
        <w:spacing w:after="0" w:line="307" w:lineRule="auto"/>
        <w:tabs>
          <w:tab w:leader="none" w:pos="148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for the purposes of clauses 5.5, 10 and 18.14 only and for no other purposes, any other amounts which the Borrower owes to the Bank or which the Borrower may owe to the Bank under or in connection with the Facilities and includes:</w:t>
      </w:r>
    </w:p>
    <w:p>
      <w:pPr>
        <w:spacing w:after="0" w:line="19" w:lineRule="exact"/>
        <w:rPr>
          <w:sz w:val="20"/>
          <w:szCs w:val="20"/>
          <w:color w:val="auto"/>
        </w:rPr>
      </w:pPr>
    </w:p>
    <w:p>
      <w:pPr>
        <w:ind w:left="1440" w:hanging="726"/>
        <w:spacing w:after="0" w:line="302" w:lineRule="auto"/>
        <w:tabs>
          <w:tab w:leader="none" w:pos="145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other amounts which the Borrower owes to the Bank or which the Borrower may owe to the Bank under or in connection with any Hedging Transaction; and</w:t>
      </w:r>
    </w:p>
    <w:p>
      <w:pPr>
        <w:spacing w:after="0" w:line="12" w:lineRule="exact"/>
        <w:rPr>
          <w:rFonts w:ascii="Arial" w:cs="Arial" w:eastAsia="Arial" w:hAnsi="Arial"/>
          <w:sz w:val="22"/>
          <w:szCs w:val="22"/>
          <w:color w:val="auto"/>
        </w:rPr>
      </w:pPr>
    </w:p>
    <w:p>
      <w:pPr>
        <w:ind w:left="1440" w:hanging="726"/>
        <w:spacing w:after="0"/>
        <w:tabs>
          <w:tab w:leader="none" w:pos="14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all interest, costs and fees payable under the Transaction Documents,</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whether such amounts are owing actually or contingently and whether such amounts are then due for payment or will or may become due for payment and includes all interest, costs and fees payable under the Transaction Documents.</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When used in relation to any Facility, it means the Outstanding Accommodation in relation to Advances or Drawings under that Facility (as applicable).</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Overdue Money </w:t>
      </w:r>
      <w:r>
        <w:rPr>
          <w:rFonts w:ascii="Arial" w:cs="Arial" w:eastAsia="Arial" w:hAnsi="Arial"/>
          <w:sz w:val="20"/>
          <w:szCs w:val="20"/>
          <w:color w:val="auto"/>
        </w:rPr>
        <w:t>means money due and payable from time to time under each Transaction Document.</w:t>
      </w:r>
    </w:p>
    <w:p>
      <w:pPr>
        <w:spacing w:after="0" w:line="200" w:lineRule="exact"/>
        <w:rPr>
          <w:sz w:val="20"/>
          <w:szCs w:val="20"/>
          <w:color w:val="auto"/>
        </w:rPr>
      </w:pP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Overdue Rate </w:t>
      </w:r>
      <w:r>
        <w:rPr>
          <w:rFonts w:ascii="Arial" w:cs="Arial" w:eastAsia="Arial" w:hAnsi="Arial"/>
          <w:sz w:val="22"/>
          <w:szCs w:val="22"/>
          <w:color w:val="auto"/>
        </w:rPr>
        <w:t>means at any time, the aggregate of the Interest Rate and a default margin of 1.00% per</w:t>
      </w:r>
      <w:r>
        <w:rPr>
          <w:rFonts w:ascii="Arial" w:cs="Arial" w:eastAsia="Arial" w:hAnsi="Arial"/>
          <w:sz w:val="22"/>
          <w:szCs w:val="22"/>
          <w:b w:val="1"/>
          <w:bCs w:val="1"/>
          <w:color w:val="auto"/>
        </w:rPr>
        <w:t xml:space="preserve"> </w:t>
      </w:r>
      <w:r>
        <w:rPr>
          <w:rFonts w:ascii="Arial" w:cs="Arial" w:eastAsia="Arial" w:hAnsi="Arial"/>
          <w:sz w:val="22"/>
          <w:szCs w:val="22"/>
          <w:color w:val="auto"/>
        </w:rPr>
        <w:t>annum.</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Parent </w:t>
      </w:r>
      <w:r>
        <w:rPr>
          <w:rFonts w:ascii="Arial" w:cs="Arial" w:eastAsia="Arial" w:hAnsi="Arial"/>
          <w:sz w:val="22"/>
          <w:szCs w:val="22"/>
          <w:color w:val="auto"/>
        </w:rPr>
        <w:t>means Reading International Cinemas LLC.</w:t>
      </w:r>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Parent Subordination Agreement </w:t>
      </w:r>
      <w:r>
        <w:rPr>
          <w:rFonts w:ascii="Arial" w:cs="Arial" w:eastAsia="Arial" w:hAnsi="Arial"/>
          <w:sz w:val="22"/>
          <w:szCs w:val="22"/>
          <w:color w:val="auto"/>
        </w:rPr>
        <w:t>means the document entitled ‘deed of subordination’ to be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by the Borrower, the Parent and the Bank.</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Permitted Disposal </w:t>
      </w:r>
      <w:r>
        <w:rPr>
          <w:rFonts w:ascii="Arial" w:cs="Arial" w:eastAsia="Arial" w:hAnsi="Arial"/>
          <w:sz w:val="22"/>
          <w:szCs w:val="22"/>
          <w:color w:val="auto"/>
        </w:rPr>
        <w:t>means a disposal: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98</w:t>
      </w:r>
    </w:p>
    <w:p>
      <w:pPr>
        <w:sectPr>
          <w:pgSz w:w="11900" w:h="16838" w:orient="portrait"/>
          <w:cols w:equalWidth="0" w:num="1">
            <w:col w:w="9400"/>
          </w:cols>
          <w:pgMar w:left="1260" w:top="1440" w:right="1246" w:bottom="0" w:gutter="0" w:footer="0" w:header="0"/>
          <w:type w:val="continuous"/>
        </w:sectPr>
      </w:pPr>
    </w:p>
    <w:bookmarkStart w:id="195" w:name="page196"/>
    <w:bookmarkEnd w:id="195"/>
    <w:p>
      <w:pPr>
        <w:spacing w:after="0" w:line="56" w:lineRule="exact"/>
        <w:rPr>
          <w:sz w:val="20"/>
          <w:szCs w:val="20"/>
          <w:color w:val="auto"/>
        </w:rPr>
      </w:pPr>
    </w:p>
    <w:p>
      <w:pPr>
        <w:ind w:left="1480" w:hanging="766"/>
        <w:spacing w:after="0"/>
        <w:tabs>
          <w:tab w:leader="none" w:pos="14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assets between the Transaction Parties;</w:t>
      </w:r>
    </w:p>
    <w:p>
      <w:pPr>
        <w:spacing w:after="0" w:line="87"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represented by a lease or licence of real property granted by a Transaction Party in the ordinary course of business of the Reading Entertainment Australia Group;</w:t>
      </w:r>
    </w:p>
    <w:p>
      <w:pPr>
        <w:spacing w:after="0" w:line="12" w:lineRule="exact"/>
        <w:rPr>
          <w:rFonts w:ascii="Arial" w:cs="Arial" w:eastAsia="Arial" w:hAnsi="Arial"/>
          <w:sz w:val="22"/>
          <w:szCs w:val="22"/>
          <w:color w:val="auto"/>
        </w:rPr>
      </w:pPr>
    </w:p>
    <w:p>
      <w:pPr>
        <w:ind w:left="1480" w:hanging="766"/>
        <w:spacing w:after="0"/>
        <w:tabs>
          <w:tab w:leader="none" w:pos="14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trading stock or cash made in the ordinary course of business;</w:t>
      </w:r>
    </w:p>
    <w:p>
      <w:pPr>
        <w:spacing w:after="0" w:line="87"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plant and equipment in exchange for other assets comparable or superior as to type, value and quality;</w:t>
      </w:r>
    </w:p>
    <w:p>
      <w:pPr>
        <w:spacing w:after="0" w:line="12" w:lineRule="exact"/>
        <w:rPr>
          <w:rFonts w:ascii="Arial" w:cs="Arial" w:eastAsia="Arial" w:hAnsi="Arial"/>
          <w:sz w:val="22"/>
          <w:szCs w:val="22"/>
          <w:color w:val="auto"/>
        </w:rPr>
      </w:pPr>
    </w:p>
    <w:p>
      <w:pPr>
        <w:ind w:left="1480" w:hanging="766"/>
        <w:spacing w:after="0"/>
        <w:tabs>
          <w:tab w:leader="none" w:pos="14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obsolete or redundant assets;</w:t>
      </w:r>
    </w:p>
    <w:p>
      <w:pPr>
        <w:spacing w:after="0" w:line="87" w:lineRule="exact"/>
        <w:rPr>
          <w:rFonts w:ascii="Arial" w:cs="Arial" w:eastAsia="Arial" w:hAnsi="Arial"/>
          <w:sz w:val="22"/>
          <w:szCs w:val="22"/>
          <w:color w:val="auto"/>
        </w:rPr>
      </w:pPr>
    </w:p>
    <w:p>
      <w:pPr>
        <w:ind w:left="1440" w:hanging="726"/>
        <w:spacing w:after="0" w:line="302" w:lineRule="auto"/>
        <w:tabs>
          <w:tab w:leader="none" w:pos="146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arising as a result of a Permitted Encumbrance or a Distribution or payment permitted by clause 9.6(f) or clause 9.6(k);</w:t>
      </w:r>
    </w:p>
    <w:p>
      <w:pPr>
        <w:spacing w:after="0" w:line="23" w:lineRule="exact"/>
        <w:rPr>
          <w:rFonts w:ascii="Arial" w:cs="Arial" w:eastAsia="Arial" w:hAnsi="Arial"/>
          <w:sz w:val="22"/>
          <w:szCs w:val="22"/>
          <w:color w:val="auto"/>
        </w:rPr>
      </w:pPr>
    </w:p>
    <w:p>
      <w:pPr>
        <w:ind w:left="1440" w:hanging="726"/>
        <w:spacing w:after="0" w:line="327" w:lineRule="auto"/>
        <w:tabs>
          <w:tab w:leader="none" w:pos="149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of assets that are the subject of a floating charge (or its equivalent) under a Collateral Security, provided the disposal is made in the ordinary course of business;</w:t>
      </w:r>
    </w:p>
    <w:p>
      <w:pPr>
        <w:spacing w:after="0" w:line="1" w:lineRule="exact"/>
        <w:rPr>
          <w:rFonts w:ascii="Arial" w:cs="Arial" w:eastAsia="Arial" w:hAnsi="Arial"/>
          <w:sz w:val="21"/>
          <w:szCs w:val="21"/>
          <w:color w:val="auto"/>
        </w:rPr>
      </w:pPr>
    </w:p>
    <w:p>
      <w:pPr>
        <w:jc w:val="both"/>
        <w:ind w:left="1440" w:hanging="726"/>
        <w:spacing w:after="0" w:line="307" w:lineRule="auto"/>
        <w:tabs>
          <w:tab w:leader="none" w:pos="149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where the aggregate value of the assets disposed of in the 12 month period ending on the date of the relevant disposal (and including the value of the relevant disposal) does not exceed $2,000,000;</w:t>
      </w:r>
    </w:p>
    <w:p>
      <w:pPr>
        <w:spacing w:after="0" w:line="8" w:lineRule="exact"/>
        <w:rPr>
          <w:rFonts w:ascii="Arial" w:cs="Arial" w:eastAsia="Arial" w:hAnsi="Arial"/>
          <w:sz w:val="22"/>
          <w:szCs w:val="22"/>
          <w:color w:val="auto"/>
        </w:rPr>
      </w:pPr>
    </w:p>
    <w:p>
      <w:pPr>
        <w:ind w:left="1440" w:hanging="726"/>
        <w:spacing w:after="0"/>
        <w:tabs>
          <w:tab w:leader="none" w:pos="14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the Waurn Ponds Property;</w:t>
      </w:r>
    </w:p>
    <w:p>
      <w:pPr>
        <w:spacing w:after="0" w:line="77" w:lineRule="exact"/>
        <w:rPr>
          <w:rFonts w:ascii="Arial" w:cs="Arial" w:eastAsia="Arial" w:hAnsi="Arial"/>
          <w:sz w:val="22"/>
          <w:szCs w:val="22"/>
          <w:color w:val="auto"/>
        </w:rPr>
      </w:pPr>
    </w:p>
    <w:p>
      <w:pPr>
        <w:ind w:left="1440" w:hanging="726"/>
        <w:spacing w:after="0"/>
        <w:tabs>
          <w:tab w:leader="none" w:pos="14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of cash under any Permitted Distribution; and</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of cash being payments of any expenses pursuant to </w:t>
      </w:r>
      <w:r>
        <w:rPr>
          <w:rFonts w:ascii="Arial" w:cs="Arial" w:eastAsia="Arial" w:hAnsi="Arial"/>
          <w:sz w:val="22"/>
          <w:szCs w:val="22"/>
          <w:b w:val="1"/>
          <w:bCs w:val="1"/>
          <w:color w:val="auto"/>
        </w:rPr>
        <w:t>clause 9.13(b)</w:t>
      </w:r>
      <w:r>
        <w:rPr>
          <w:rFonts w:ascii="Arial" w:cs="Arial" w:eastAsia="Arial" w:hAnsi="Arial"/>
          <w:sz w:val="22"/>
          <w:szCs w:val="22"/>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Permitted Distribution </w:t>
      </w:r>
      <w:r>
        <w:rPr>
          <w:rFonts w:ascii="Arial" w:cs="Arial" w:eastAsia="Arial" w:hAnsi="Arial"/>
          <w:sz w:val="22"/>
          <w:szCs w:val="22"/>
          <w:color w:val="auto"/>
        </w:rPr>
        <w:t>means a Distribution:</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07" w:lineRule="auto"/>
        <w:tabs>
          <w:tab w:leader="none" w:pos="148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made by a Transaction Party only in form of dividend provided that no Event of Default, Potential Event of Default or Review Event subsists or will occur from making such Distribution; or</w:t>
      </w:r>
    </w:p>
    <w:p>
      <w:pPr>
        <w:spacing w:after="0" w:line="8" w:lineRule="exact"/>
        <w:rPr>
          <w:rFonts w:ascii="Arial" w:cs="Arial" w:eastAsia="Arial" w:hAnsi="Arial"/>
          <w:sz w:val="22"/>
          <w:szCs w:val="22"/>
          <w:color w:val="auto"/>
        </w:rPr>
      </w:pPr>
    </w:p>
    <w:p>
      <w:pPr>
        <w:ind w:left="1540" w:hanging="826"/>
        <w:spacing w:after="0"/>
        <w:tabs>
          <w:tab w:leader="none" w:pos="15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Net Sale Proceeds in respect of the Waurn Ponds Property; or</w:t>
      </w:r>
    </w:p>
    <w:p>
      <w:pPr>
        <w:spacing w:after="0" w:line="77" w:lineRule="exact"/>
        <w:rPr>
          <w:rFonts w:ascii="Arial" w:cs="Arial" w:eastAsia="Arial" w:hAnsi="Arial"/>
          <w:sz w:val="22"/>
          <w:szCs w:val="22"/>
          <w:color w:val="auto"/>
        </w:rPr>
      </w:pPr>
    </w:p>
    <w:p>
      <w:pPr>
        <w:ind w:left="1480" w:hanging="766"/>
        <w:spacing w:after="0"/>
        <w:tabs>
          <w:tab w:leader="none" w:pos="14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made with the Bank’s prior written consent.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Permitted Encumbrance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ind w:left="1440" w:hanging="726"/>
        <w:spacing w:after="0" w:line="302" w:lineRule="auto"/>
        <w:tabs>
          <w:tab w:leader="none" w:pos="148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 Encumbrance which has been approved by the Bank (including the Security Interests created by any Transaction Document);</w:t>
      </w:r>
    </w:p>
    <w:p>
      <w:pPr>
        <w:spacing w:after="0" w:line="23" w:lineRule="exact"/>
        <w:rPr>
          <w:rFonts w:ascii="Arial" w:cs="Arial" w:eastAsia="Arial" w:hAnsi="Arial"/>
          <w:sz w:val="22"/>
          <w:szCs w:val="22"/>
          <w:color w:val="auto"/>
        </w:rPr>
      </w:pPr>
    </w:p>
    <w:p>
      <w:pPr>
        <w:jc w:val="both"/>
        <w:ind w:left="1440" w:hanging="726"/>
        <w:spacing w:after="0" w:line="307" w:lineRule="auto"/>
        <w:tabs>
          <w:tab w:leader="none" w:pos="149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right of set off or combination arising by operation of law or practice over money deposited with a bank or financial institution in the ordinary course of the business of a Transaction Party;</w:t>
      </w:r>
    </w:p>
    <w:p>
      <w:pPr>
        <w:spacing w:after="0" w:line="19" w:lineRule="exact"/>
        <w:rPr>
          <w:rFonts w:ascii="Arial" w:cs="Arial" w:eastAsia="Arial" w:hAnsi="Arial"/>
          <w:sz w:val="22"/>
          <w:szCs w:val="22"/>
          <w:color w:val="auto"/>
        </w:rPr>
      </w:pPr>
    </w:p>
    <w:p>
      <w:pPr>
        <w:jc w:val="both"/>
        <w:ind w:left="1440" w:hanging="726"/>
        <w:spacing w:after="0" w:line="307" w:lineRule="auto"/>
        <w:tabs>
          <w:tab w:leader="none" w:pos="148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 Encumbrance which arises by operation of law in the ordinary course of the business of a Transaction Party provided the debt secured by that Encumbrance is paid when due or contested in good faith by appropriate proceedings;</w:t>
      </w:r>
    </w:p>
    <w:p>
      <w:pPr>
        <w:spacing w:after="0" w:line="19" w:lineRule="exact"/>
        <w:rPr>
          <w:rFonts w:ascii="Arial" w:cs="Arial" w:eastAsia="Arial" w:hAnsi="Arial"/>
          <w:sz w:val="22"/>
          <w:szCs w:val="22"/>
          <w:color w:val="auto"/>
        </w:rPr>
      </w:pPr>
    </w:p>
    <w:p>
      <w:pPr>
        <w:jc w:val="both"/>
        <w:ind w:left="1440" w:hanging="726"/>
        <w:spacing w:after="0" w:line="328" w:lineRule="auto"/>
        <w:tabs>
          <w:tab w:leader="none" w:pos="149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98</w:t>
      </w:r>
    </w:p>
    <w:p>
      <w:pPr>
        <w:sectPr>
          <w:pgSz w:w="11900" w:h="16838" w:orient="portrait"/>
          <w:cols w:equalWidth="0" w:num="1">
            <w:col w:w="9400"/>
          </w:cols>
          <w:pgMar w:left="1260" w:top="1440" w:right="1246" w:bottom="0" w:gutter="0" w:footer="0" w:header="0"/>
          <w:type w:val="continuous"/>
        </w:sectPr>
      </w:pPr>
    </w:p>
    <w:bookmarkStart w:id="196" w:name="page197"/>
    <w:bookmarkEnd w:id="196"/>
    <w:p>
      <w:pPr>
        <w:jc w:val="both"/>
        <w:ind w:left="1440" w:hanging="726"/>
        <w:spacing w:after="0" w:line="327" w:lineRule="auto"/>
        <w:tabs>
          <w:tab w:leader="none" w:pos="148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p>
      <w:pPr>
        <w:spacing w:after="0" w:line="6" w:lineRule="exact"/>
        <w:rPr>
          <w:rFonts w:ascii="Arial" w:cs="Arial" w:eastAsia="Arial" w:hAnsi="Arial"/>
          <w:sz w:val="21"/>
          <w:szCs w:val="21"/>
          <w:color w:val="auto"/>
        </w:rPr>
      </w:pPr>
    </w:p>
    <w:p>
      <w:pPr>
        <w:jc w:val="both"/>
        <w:ind w:left="1440" w:hanging="726"/>
        <w:spacing w:after="0" w:line="344" w:lineRule="auto"/>
        <w:tabs>
          <w:tab w:leader="none" w:pos="146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p>
      <w:pPr>
        <w:spacing w:after="0" w:line="2" w:lineRule="exact"/>
        <w:rPr>
          <w:rFonts w:ascii="Arial" w:cs="Arial" w:eastAsia="Arial" w:hAnsi="Arial"/>
          <w:sz w:val="20"/>
          <w:szCs w:val="20"/>
          <w:color w:val="auto"/>
        </w:rPr>
      </w:pPr>
    </w:p>
    <w:p>
      <w:pPr>
        <w:jc w:val="both"/>
        <w:ind w:left="1440" w:hanging="726"/>
        <w:spacing w:after="0" w:line="307" w:lineRule="auto"/>
        <w:tabs>
          <w:tab w:leader="none" w:pos="149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every Encumbrance incurred or deposit made in the ordinary course of the business of a Transaction Party in respect of a leasehold property, the purchase of assets or the use of utilities, provided that:</w:t>
      </w:r>
    </w:p>
    <w:p>
      <w:pPr>
        <w:spacing w:after="0" w:line="349"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in relation to an Encumbrance incurred or deposit made in respect of the purchase of assets which secures an aggregate amount greater than $250,000 the Bank has given prior written consent to the Borrower; and</w:t>
      </w:r>
    </w:p>
    <w:p>
      <w:pPr>
        <w:spacing w:after="0" w:line="19" w:lineRule="exact"/>
        <w:rPr>
          <w:sz w:val="20"/>
          <w:szCs w:val="20"/>
          <w:color w:val="auto"/>
        </w:rPr>
      </w:pPr>
    </w:p>
    <w:p>
      <w:pPr>
        <w:jc w:val="both"/>
        <w:spacing w:after="0" w:line="328" w:lineRule="auto"/>
        <w:rPr>
          <w:sz w:val="20"/>
          <w:szCs w:val="20"/>
          <w:color w:val="auto"/>
        </w:rPr>
      </w:pPr>
      <w:r>
        <w:rPr>
          <w:rFonts w:ascii="Arial" w:cs="Arial" w:eastAsia="Arial" w:hAnsi="Arial"/>
          <w:sz w:val="21"/>
          <w:szCs w:val="21"/>
          <w:b w:val="1"/>
          <w:bCs w:val="1"/>
          <w:color w:val="auto"/>
        </w:rPr>
        <w:t>the recourse of the holder of that Encumbrance is limited to the leasehold interest, the assets purchased or use of utilities and the proceeds of enforcement of the Encumbrance.</w:t>
      </w:r>
    </w:p>
    <w:p>
      <w:pPr>
        <w:spacing w:after="0" w:line="330" w:lineRule="exact"/>
        <w:rPr>
          <w:sz w:val="20"/>
          <w:szCs w:val="20"/>
          <w:color w:val="auto"/>
        </w:rPr>
      </w:pPr>
    </w:p>
    <w:p>
      <w:pPr>
        <w:ind w:left="1440" w:hanging="726"/>
        <w:spacing w:after="0" w:line="302" w:lineRule="auto"/>
        <w:tabs>
          <w:tab w:leader="none" w:pos="149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every retention of title arrangement in respect of trading stock acquired or to be acquired by a Transaction Party in the ordinary course of business;</w:t>
      </w:r>
    </w:p>
    <w:p>
      <w:pPr>
        <w:spacing w:after="0" w:line="23" w:lineRule="exact"/>
        <w:rPr>
          <w:rFonts w:ascii="Arial" w:cs="Arial" w:eastAsia="Arial" w:hAnsi="Arial"/>
          <w:sz w:val="22"/>
          <w:szCs w:val="22"/>
          <w:color w:val="auto"/>
        </w:rPr>
      </w:pPr>
    </w:p>
    <w:p>
      <w:pPr>
        <w:ind w:left="1440" w:hanging="726"/>
        <w:spacing w:after="0" w:line="328" w:lineRule="auto"/>
        <w:tabs>
          <w:tab w:leader="none" w:pos="145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any easement, caveat or other restriction in relation to a Freehold Property that would be apparent from a title search conducted before the date of this document.</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Permitted Financial Accommodation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ind w:left="1480" w:hanging="766"/>
        <w:spacing w:after="0"/>
        <w:tabs>
          <w:tab w:leader="none" w:pos="14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financial accommodation granted by a Transaction Party to another Transaction Party;</w:t>
      </w:r>
    </w:p>
    <w:p>
      <w:pPr>
        <w:spacing w:after="0" w:line="100" w:lineRule="exact"/>
        <w:rPr>
          <w:rFonts w:ascii="Arial" w:cs="Arial" w:eastAsia="Arial" w:hAnsi="Arial"/>
          <w:sz w:val="20"/>
          <w:szCs w:val="20"/>
          <w:color w:val="auto"/>
        </w:rPr>
      </w:pPr>
    </w:p>
    <w:p>
      <w:pPr>
        <w:ind w:left="1440" w:hanging="726"/>
        <w:spacing w:after="0" w:line="302" w:lineRule="auto"/>
        <w:tabs>
          <w:tab w:leader="none" w:pos="149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loan granted by Reading Entertainment Australia Group to the Parent and/or Reading New Zealand Ltd, up to $15,100,000;</w:t>
      </w:r>
    </w:p>
    <w:p>
      <w:pPr>
        <w:spacing w:after="0" w:line="23" w:lineRule="exact"/>
        <w:rPr>
          <w:rFonts w:ascii="Arial" w:cs="Arial" w:eastAsia="Arial" w:hAnsi="Arial"/>
          <w:sz w:val="22"/>
          <w:szCs w:val="22"/>
          <w:color w:val="auto"/>
        </w:rPr>
      </w:pPr>
    </w:p>
    <w:p>
      <w:pPr>
        <w:ind w:left="1440" w:hanging="726"/>
        <w:spacing w:after="0" w:line="302" w:lineRule="auto"/>
        <w:tabs>
          <w:tab w:leader="none" w:pos="148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trade credit extended by a Transaction Party to its customers on normal commercial terms and in the ordinary course of business;</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additional financial accommodation up to a maximum aggregate amount not exceeding $15,900,000; or</w:t>
      </w:r>
    </w:p>
    <w:p>
      <w:pPr>
        <w:spacing w:after="0" w:line="12" w:lineRule="exact"/>
        <w:rPr>
          <w:rFonts w:ascii="Arial" w:cs="Arial" w:eastAsia="Arial" w:hAnsi="Arial"/>
          <w:sz w:val="22"/>
          <w:szCs w:val="22"/>
          <w:color w:val="auto"/>
        </w:rPr>
      </w:pPr>
    </w:p>
    <w:p>
      <w:pPr>
        <w:ind w:left="1480" w:hanging="766"/>
        <w:spacing w:after="0"/>
        <w:tabs>
          <w:tab w:leader="none" w:pos="14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other financial accommodation granted with the prior consent of the Bank.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Permitted Financial Indebtedness </w:t>
      </w:r>
      <w:r>
        <w:rPr>
          <w:rFonts w:ascii="Arial" w:cs="Arial" w:eastAsia="Arial" w:hAnsi="Arial"/>
          <w:sz w:val="22"/>
          <w:szCs w:val="22"/>
          <w:color w:val="auto"/>
        </w:rPr>
        <w:t>means:</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trade debt incurred in the ordinary course of business of the Transaction Parties;</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Financial Indebtedness incurred under the Transaction Documents;</w:t>
      </w:r>
    </w:p>
    <w:p>
      <w:pPr>
        <w:spacing w:after="0" w:line="87" w:lineRule="exact"/>
        <w:rPr>
          <w:rFonts w:ascii="Arial" w:cs="Arial" w:eastAsia="Arial" w:hAnsi="Arial"/>
          <w:sz w:val="22"/>
          <w:szCs w:val="22"/>
          <w:color w:val="auto"/>
        </w:rPr>
      </w:pPr>
    </w:p>
    <w:p>
      <w:pPr>
        <w:ind w:left="1480" w:hanging="766"/>
        <w:spacing w:after="0"/>
        <w:tabs>
          <w:tab w:leader="none" w:pos="14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Financial Indebtedness owing from one Transaction Party to another Transaction Party;</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98</w:t>
      </w:r>
    </w:p>
    <w:p>
      <w:pPr>
        <w:sectPr>
          <w:pgSz w:w="11900" w:h="16838" w:orient="portrait"/>
          <w:cols w:equalWidth="0" w:num="1">
            <w:col w:w="9400"/>
          </w:cols>
          <w:pgMar w:left="1260" w:top="1177" w:right="1246" w:bottom="0" w:gutter="0" w:footer="0" w:header="0"/>
          <w:type w:val="continuous"/>
        </w:sectPr>
      </w:pPr>
    </w:p>
    <w:bookmarkStart w:id="197" w:name="page198"/>
    <w:bookmarkEnd w:id="197"/>
    <w:p>
      <w:pPr>
        <w:ind w:left="1500" w:hanging="786"/>
        <w:spacing w:after="0"/>
        <w:tabs>
          <w:tab w:leader="none" w:pos="15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Subordinated Debt;</w:t>
      </w:r>
    </w:p>
    <w:p>
      <w:pPr>
        <w:spacing w:after="0" w:line="77" w:lineRule="exact"/>
        <w:rPr>
          <w:rFonts w:ascii="Arial" w:cs="Arial" w:eastAsia="Arial" w:hAnsi="Arial"/>
          <w:sz w:val="22"/>
          <w:szCs w:val="22"/>
          <w:color w:val="auto"/>
        </w:rPr>
      </w:pPr>
    </w:p>
    <w:p>
      <w:pPr>
        <w:ind w:left="1480" w:hanging="766"/>
        <w:spacing w:after="0"/>
        <w:tabs>
          <w:tab w:leader="none" w:pos="14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$225,000 loan from the landlord of the Westlakes Cinema property;</w:t>
      </w:r>
    </w:p>
    <w:p>
      <w:pPr>
        <w:spacing w:after="0" w:line="77" w:lineRule="exact"/>
        <w:rPr>
          <w:rFonts w:ascii="Arial" w:cs="Arial" w:eastAsia="Arial" w:hAnsi="Arial"/>
          <w:sz w:val="22"/>
          <w:szCs w:val="22"/>
          <w:color w:val="auto"/>
        </w:rPr>
      </w:pPr>
    </w:p>
    <w:p>
      <w:pPr>
        <w:ind w:left="1460" w:hanging="746"/>
        <w:spacing w:after="0"/>
        <w:tabs>
          <w:tab w:leader="none" w:pos="14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$400,000 loan from the landlord of the Rhodes Cinema property;</w:t>
      </w:r>
    </w:p>
    <w:p>
      <w:pPr>
        <w:spacing w:after="0" w:line="87" w:lineRule="exact"/>
        <w:rPr>
          <w:rFonts w:ascii="Arial" w:cs="Arial" w:eastAsia="Arial" w:hAnsi="Arial"/>
          <w:sz w:val="22"/>
          <w:szCs w:val="22"/>
          <w:color w:val="auto"/>
        </w:rPr>
      </w:pPr>
    </w:p>
    <w:p>
      <w:pPr>
        <w:jc w:val="both"/>
        <w:ind w:left="1440" w:hanging="726"/>
        <w:spacing w:after="0" w:line="307" w:lineRule="auto"/>
        <w:tabs>
          <w:tab w:leader="none" w:pos="149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Financial Indebtedness arising under any performance or similar bond guaranteeing performance by a Transaction Party under any contract entered into in the ordinary course of business;</w:t>
      </w:r>
    </w:p>
    <w:p>
      <w:pPr>
        <w:spacing w:after="0" w:line="19"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Financial Indebtedness arising under a guarantee given to a landlord in respect of a lease entered into by a Transaction Party;</w:t>
      </w:r>
    </w:p>
    <w:p>
      <w:pPr>
        <w:spacing w:after="0" w:line="23" w:lineRule="exact"/>
        <w:rPr>
          <w:rFonts w:ascii="Arial" w:cs="Arial" w:eastAsia="Arial" w:hAnsi="Arial"/>
          <w:sz w:val="22"/>
          <w:szCs w:val="22"/>
          <w:color w:val="auto"/>
        </w:rPr>
      </w:pPr>
    </w:p>
    <w:p>
      <w:pPr>
        <w:ind w:left="1440" w:hanging="726"/>
        <w:spacing w:after="0" w:line="302" w:lineRule="auto"/>
        <w:tabs>
          <w:tab w:leader="none" w:pos="145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Financial Indebtedness under finance or capital leases of vehicles, plant, equipment or computers; and</w:t>
      </w:r>
    </w:p>
    <w:p>
      <w:pPr>
        <w:spacing w:after="0" w:line="23" w:lineRule="exact"/>
        <w:rPr>
          <w:rFonts w:ascii="Arial" w:cs="Arial" w:eastAsia="Arial" w:hAnsi="Arial"/>
          <w:sz w:val="22"/>
          <w:szCs w:val="22"/>
          <w:color w:val="auto"/>
        </w:rPr>
      </w:pPr>
    </w:p>
    <w:p>
      <w:pPr>
        <w:jc w:val="both"/>
        <w:ind w:left="1440" w:hanging="726"/>
        <w:spacing w:after="0" w:line="307" w:lineRule="auto"/>
        <w:tabs>
          <w:tab w:leader="none" w:pos="145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Financial Indebtedness not permitted by the preceding paragraphs and the outstanding principal amount of which does not exceed $2,000,000 in aggregate for the Transaction Parties at any time.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PPS Act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Personal Property Securities Act 2009</w:t>
      </w:r>
      <w:r>
        <w:rPr>
          <w:rFonts w:ascii="Arial" w:cs="Arial" w:eastAsia="Arial" w:hAnsi="Arial"/>
          <w:sz w:val="22"/>
          <w:szCs w:val="22"/>
          <w:b w:val="1"/>
          <w:bCs w:val="1"/>
          <w:color w:val="auto"/>
        </w:rPr>
        <w:t xml:space="preserve"> </w:t>
      </w:r>
      <w:r>
        <w:rPr>
          <w:rFonts w:ascii="Arial" w:cs="Arial" w:eastAsia="Arial" w:hAnsi="Arial"/>
          <w:sz w:val="22"/>
          <w:szCs w:val="22"/>
          <w:color w:val="auto"/>
        </w:rPr>
        <w:t>(Cth).</w:t>
      </w:r>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PPS property </w:t>
      </w:r>
      <w:r>
        <w:rPr>
          <w:rFonts w:ascii="Arial" w:cs="Arial" w:eastAsia="Arial" w:hAnsi="Arial"/>
          <w:sz w:val="22"/>
          <w:szCs w:val="22"/>
          <w:color w:val="auto"/>
        </w:rPr>
        <w:t>means all property (other than Excluded Property) over which the Borrower or a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Provider is legally capable under the PPS Act of granting a security interest.</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Potential Event of Default </w:t>
      </w:r>
      <w:r>
        <w:rPr>
          <w:rFonts w:ascii="Arial" w:cs="Arial" w:eastAsia="Arial" w:hAnsi="Arial"/>
          <w:sz w:val="22"/>
          <w:szCs w:val="22"/>
          <w:color w:val="auto"/>
        </w:rPr>
        <w:t>means any thing which, with the giving of notice, lapse of time or</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materiality, will constitute an Event of Default.</w:t>
      </w:r>
    </w:p>
    <w:p>
      <w:pPr>
        <w:spacing w:after="0" w:line="35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Pricing Period </w:t>
      </w:r>
      <w:r>
        <w:rPr>
          <w:rFonts w:ascii="Arial" w:cs="Arial" w:eastAsia="Arial" w:hAnsi="Arial"/>
          <w:sz w:val="22"/>
          <w:szCs w:val="22"/>
          <w:color w:val="auto"/>
        </w:rPr>
        <w:t>means, in relation to an Advance under the Corporate Markets Loan Facility or the Bridge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Facility (as applicable), the period having the duration selected in accordance with </w:t>
      </w:r>
      <w:r>
        <w:rPr>
          <w:rFonts w:ascii="Arial" w:cs="Arial" w:eastAsia="Arial" w:hAnsi="Arial"/>
          <w:sz w:val="22"/>
          <w:szCs w:val="22"/>
          <w:b w:val="1"/>
          <w:bCs w:val="1"/>
          <w:color w:val="auto"/>
        </w:rPr>
        <w:t>clause 6.1</w:t>
      </w:r>
      <w:r>
        <w:rPr>
          <w:rFonts w:ascii="Arial" w:cs="Arial" w:eastAsia="Arial" w:hAnsi="Arial"/>
          <w:sz w:val="22"/>
          <w:szCs w:val="22"/>
          <w:color w:val="auto"/>
        </w:rPr>
        <w:t xml:space="preserve"> and beginning on the Funding Date in relation to the Advance.</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Quarter </w:t>
      </w:r>
      <w:r>
        <w:rPr>
          <w:rFonts w:ascii="Arial" w:cs="Arial" w:eastAsia="Arial" w:hAnsi="Arial"/>
          <w:sz w:val="22"/>
          <w:szCs w:val="22"/>
          <w:color w:val="auto"/>
        </w:rPr>
        <w:t>means each three month period ending on 31 March, 30 June, 30 September and 31 December in</w:t>
      </w:r>
      <w:r>
        <w:rPr>
          <w:rFonts w:ascii="Arial" w:cs="Arial" w:eastAsia="Arial" w:hAnsi="Arial"/>
          <w:sz w:val="22"/>
          <w:szCs w:val="22"/>
          <w:b w:val="1"/>
          <w:bCs w:val="1"/>
          <w:color w:val="auto"/>
        </w:rPr>
        <w:t xml:space="preserve"> </w:t>
      </w:r>
      <w:r>
        <w:rPr>
          <w:rFonts w:ascii="Arial" w:cs="Arial" w:eastAsia="Arial" w:hAnsi="Arial"/>
          <w:sz w:val="22"/>
          <w:szCs w:val="22"/>
          <w:color w:val="auto"/>
        </w:rPr>
        <w:t>each year.</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21"/>
          <w:szCs w:val="21"/>
          <w:b w:val="1"/>
          <w:bCs w:val="1"/>
          <w:color w:val="auto"/>
        </w:rPr>
        <w:t xml:space="preserve">Reading Entertainment Australia Group </w:t>
      </w:r>
      <w:r>
        <w:rPr>
          <w:rFonts w:ascii="Arial" w:cs="Arial" w:eastAsia="Arial" w:hAnsi="Arial"/>
          <w:sz w:val="21"/>
          <w:szCs w:val="21"/>
          <w:color w:val="auto"/>
        </w:rPr>
        <w:t>means, at any time, the Borrower and any subsidiary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 and </w:t>
      </w:r>
      <w:r>
        <w:rPr>
          <w:rFonts w:ascii="Arial" w:cs="Arial" w:eastAsia="Arial" w:hAnsi="Arial"/>
          <w:sz w:val="21"/>
          <w:szCs w:val="21"/>
          <w:b w:val="1"/>
          <w:bCs w:val="1"/>
          <w:color w:val="auto"/>
        </w:rPr>
        <w:t>Reading Entertainment Australia Group Member</w:t>
      </w:r>
      <w:r>
        <w:rPr>
          <w:rFonts w:ascii="Arial" w:cs="Arial" w:eastAsia="Arial" w:hAnsi="Arial"/>
          <w:sz w:val="21"/>
          <w:szCs w:val="21"/>
          <w:color w:val="auto"/>
        </w:rPr>
        <w:t xml:space="preserve"> means any one of them.</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Release Date </w:t>
      </w:r>
      <w:r>
        <w:rPr>
          <w:rFonts w:ascii="Arial" w:cs="Arial" w:eastAsia="Arial" w:hAnsi="Arial"/>
          <w:sz w:val="22"/>
          <w:szCs w:val="22"/>
          <w:color w:val="auto"/>
        </w:rPr>
        <w:t>means the Business Day following the later of:</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latest of the Expiry Dates of all Current Bank Guarantees; and</w:t>
      </w:r>
    </w:p>
    <w:p>
      <w:pPr>
        <w:spacing w:after="0" w:line="87" w:lineRule="exact"/>
        <w:rPr>
          <w:rFonts w:ascii="Arial" w:cs="Arial" w:eastAsia="Arial" w:hAnsi="Arial"/>
          <w:sz w:val="22"/>
          <w:szCs w:val="22"/>
          <w:color w:val="auto"/>
        </w:rPr>
      </w:pPr>
    </w:p>
    <w:p>
      <w:pPr>
        <w:jc w:val="both"/>
        <w:ind w:left="1440" w:hanging="726"/>
        <w:spacing w:after="0" w:line="347" w:lineRule="auto"/>
        <w:tabs>
          <w:tab w:leader="none" w:pos="149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p>
      <w:pPr>
        <w:spacing w:after="0" w:line="317"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Relevant Date </w:t>
      </w:r>
      <w:r>
        <w:rPr>
          <w:rFonts w:ascii="Arial" w:cs="Arial" w:eastAsia="Arial" w:hAnsi="Arial"/>
          <w:sz w:val="22"/>
          <w:szCs w:val="22"/>
          <w:color w:val="auto"/>
        </w:rPr>
        <w:t>means the date on which the Bank receives the Annual Compliance Certificate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w:t>
      </w:r>
      <w:r>
        <w:rPr>
          <w:rFonts w:ascii="Arial" w:cs="Arial" w:eastAsia="Arial" w:hAnsi="Arial"/>
          <w:sz w:val="22"/>
          <w:szCs w:val="22"/>
          <w:b w:val="1"/>
          <w:bCs w:val="1"/>
          <w:color w:val="auto"/>
        </w:rPr>
        <w:t>clause 9.5(b)</w:t>
      </w:r>
      <w:r>
        <w:rPr>
          <w:rFonts w:ascii="Arial" w:cs="Arial" w:eastAsia="Arial" w:hAnsi="Arial"/>
          <w:sz w:val="22"/>
          <w:szCs w:val="22"/>
          <w:color w:val="auto"/>
        </w:rPr>
        <w:t xml:space="preserve"> for the Financial Year ending on 31 December 2023.</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98</w:t>
      </w:r>
    </w:p>
    <w:p>
      <w:pPr>
        <w:sectPr>
          <w:pgSz w:w="11900" w:h="16838" w:orient="portrait"/>
          <w:cols w:equalWidth="0" w:num="1">
            <w:col w:w="9400"/>
          </w:cols>
          <w:pgMar w:left="1260" w:top="1166" w:right="1246"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22"/>
          <w:szCs w:val="22"/>
          <w:b w:val="1"/>
          <w:bCs w:val="1"/>
          <w:color w:val="auto"/>
        </w:rPr>
        <w:t xml:space="preserve">Relevant Jurisdiction </w:t>
      </w:r>
      <w:r>
        <w:rPr>
          <w:rFonts w:ascii="Arial" w:cs="Arial" w:eastAsia="Arial" w:hAnsi="Arial"/>
          <w:sz w:val="22"/>
          <w:szCs w:val="22"/>
          <w:color w:val="auto"/>
        </w:rPr>
        <w:t>means Victoria.</w:t>
      </w:r>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Relevant Period </w:t>
      </w:r>
      <w:r>
        <w:rPr>
          <w:rFonts w:ascii="Arial" w:cs="Arial" w:eastAsia="Arial" w:hAnsi="Arial"/>
          <w:sz w:val="22"/>
          <w:szCs w:val="22"/>
          <w:color w:val="auto"/>
        </w:rPr>
        <w:t>means the period from (and including) 31 August 2020 to (and including) the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Receiver </w:t>
      </w:r>
      <w:r>
        <w:rPr>
          <w:rFonts w:ascii="Arial" w:cs="Arial" w:eastAsia="Arial" w:hAnsi="Arial"/>
          <w:sz w:val="22"/>
          <w:szCs w:val="22"/>
          <w:color w:val="auto"/>
        </w:rPr>
        <w:t>means a receiver or receiver and manager appointed by the Bank under any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and any person who derives a right directly or indirectly from a Receiver.</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21"/>
          <w:szCs w:val="21"/>
          <w:b w:val="1"/>
          <w:bCs w:val="1"/>
          <w:color w:val="auto"/>
        </w:rPr>
        <w:t xml:space="preserve">Reference Banks </w:t>
      </w:r>
      <w:r>
        <w:rPr>
          <w:rFonts w:ascii="Arial" w:cs="Arial" w:eastAsia="Arial" w:hAnsi="Arial"/>
          <w:sz w:val="21"/>
          <w:szCs w:val="21"/>
          <w:color w:val="auto"/>
        </w:rPr>
        <w:t>means each of Australia and New Zealand Banking Group Limited, Commonwealth</w:t>
      </w:r>
      <w:r>
        <w:rPr>
          <w:rFonts w:ascii="Arial" w:cs="Arial" w:eastAsia="Arial" w:hAnsi="Arial"/>
          <w:sz w:val="21"/>
          <w:szCs w:val="21"/>
          <w:b w:val="1"/>
          <w:bCs w:val="1"/>
          <w:color w:val="auto"/>
        </w:rPr>
        <w:t xml:space="preserve"> </w:t>
      </w:r>
      <w:r>
        <w:rPr>
          <w:rFonts w:ascii="Arial" w:cs="Arial" w:eastAsia="Arial" w:hAnsi="Arial"/>
          <w:sz w:val="21"/>
          <w:szCs w:val="21"/>
          <w:color w:val="auto"/>
        </w:rPr>
        <w:t>Bank of Australia and Westpac Banking Corporation, or any other banks or financial institutions determined by the Bank from time to time following consultation with the Borrower.</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Regulatory Event </w:t>
      </w:r>
      <w:r>
        <w:rPr>
          <w:rFonts w:ascii="Arial" w:cs="Arial" w:eastAsia="Arial" w:hAnsi="Arial"/>
          <w:sz w:val="22"/>
          <w:szCs w:val="22"/>
          <w:color w:val="auto"/>
        </w:rPr>
        <w:t>means any:</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change in, or introduction of a new, law or other form of regulation;</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change in, or introduction of a new, practice or policy of an Government Body;</w:t>
      </w:r>
    </w:p>
    <w:p>
      <w:pPr>
        <w:spacing w:after="0" w:line="87" w:lineRule="exact"/>
        <w:rPr>
          <w:rFonts w:ascii="Arial" w:cs="Arial" w:eastAsia="Arial" w:hAnsi="Arial"/>
          <w:sz w:val="22"/>
          <w:szCs w:val="22"/>
          <w:color w:val="auto"/>
        </w:rPr>
      </w:pPr>
    </w:p>
    <w:p>
      <w:pPr>
        <w:ind w:left="1440" w:hanging="726"/>
        <w:spacing w:after="0" w:line="302" w:lineRule="auto"/>
        <w:tabs>
          <w:tab w:leader="none" w:pos="148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investigation into a Transaction Party or any related entity of a Transaction Party by a Government Body;</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application for or grant of an injunction or order in respect of any Encumbrance, Facility or account held with the Bank made by a Government Body, or</w:t>
      </w:r>
    </w:p>
    <w:p>
      <w:pPr>
        <w:spacing w:after="0" w:line="23" w:lineRule="exact"/>
        <w:rPr>
          <w:rFonts w:ascii="Arial" w:cs="Arial" w:eastAsia="Arial" w:hAnsi="Arial"/>
          <w:sz w:val="22"/>
          <w:szCs w:val="22"/>
          <w:color w:val="auto"/>
        </w:rPr>
      </w:pPr>
    </w:p>
    <w:p>
      <w:pPr>
        <w:jc w:val="both"/>
        <w:ind w:left="1440" w:hanging="726"/>
        <w:spacing w:after="0" w:line="309" w:lineRule="auto"/>
        <w:tabs>
          <w:tab w:leader="none" w:pos="148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change in, or introduction of a new, code of practice or custom relating to the provision of the Services which a reasonable and prudent banker would comply with, whether in Australia or elsewhere, that, in the Bank’s good faith opinion, applies in any way to a Transaction Party, or the Service.</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Representative </w:t>
      </w:r>
      <w:r>
        <w:rPr>
          <w:rFonts w:ascii="Arial" w:cs="Arial" w:eastAsia="Arial" w:hAnsi="Arial"/>
          <w:sz w:val="22"/>
          <w:szCs w:val="22"/>
          <w:color w:val="auto"/>
        </w:rPr>
        <w:t>of a person means an officer, employee, contractor or agent of that person.</w:t>
      </w:r>
    </w:p>
    <w:p>
      <w:pPr>
        <w:spacing w:after="0" w:line="200" w:lineRule="exact"/>
        <w:rPr>
          <w:sz w:val="20"/>
          <w:szCs w:val="20"/>
          <w:color w:val="auto"/>
        </w:rPr>
      </w:pPr>
    </w:p>
    <w:p>
      <w:pPr>
        <w:spacing w:after="0" w:line="218" w:lineRule="exact"/>
        <w:rPr>
          <w:sz w:val="20"/>
          <w:szCs w:val="20"/>
          <w:color w:val="auto"/>
        </w:rPr>
      </w:pPr>
    </w:p>
    <w:p>
      <w:pPr>
        <w:spacing w:after="0" w:line="356" w:lineRule="auto"/>
        <w:rPr>
          <w:sz w:val="20"/>
          <w:szCs w:val="20"/>
          <w:color w:val="auto"/>
        </w:rPr>
      </w:pPr>
      <w:r>
        <w:rPr>
          <w:rFonts w:ascii="Arial" w:cs="Arial" w:eastAsia="Arial" w:hAnsi="Arial"/>
          <w:sz w:val="20"/>
          <w:szCs w:val="20"/>
          <w:b w:val="1"/>
          <w:bCs w:val="1"/>
          <w:color w:val="auto"/>
        </w:rPr>
        <w:t xml:space="preserve">Reset Margin </w:t>
      </w:r>
      <w:r>
        <w:rPr>
          <w:rFonts w:ascii="Arial" w:cs="Arial" w:eastAsia="Arial" w:hAnsi="Arial"/>
          <w:sz w:val="20"/>
          <w:szCs w:val="20"/>
          <w:color w:val="auto"/>
        </w:rPr>
        <w:t>means the reset margin (if any) applicable if a Pricing Period is, or becomes, shorter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three months, as determined in accordance with </w:t>
      </w:r>
      <w:r>
        <w:rPr>
          <w:rFonts w:ascii="Arial" w:cs="Arial" w:eastAsia="Arial" w:hAnsi="Arial"/>
          <w:sz w:val="20"/>
          <w:szCs w:val="20"/>
          <w:b w:val="1"/>
          <w:bCs w:val="1"/>
          <w:color w:val="auto"/>
        </w:rPr>
        <w:t>clause 6.6</w:t>
      </w:r>
      <w:r>
        <w:rPr>
          <w:rFonts w:ascii="Arial" w:cs="Arial" w:eastAsia="Arial" w:hAnsi="Arial"/>
          <w:sz w:val="20"/>
          <w:szCs w:val="20"/>
          <w:color w:val="auto"/>
        </w:rPr>
        <w:t>. It is 0.02% per annum (indicatively).</w:t>
      </w:r>
    </w:p>
    <w:p>
      <w:pPr>
        <w:spacing w:after="0" w:line="308"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Restatement Deed </w:t>
      </w:r>
      <w:r>
        <w:rPr>
          <w:rFonts w:ascii="Arial" w:cs="Arial" w:eastAsia="Arial" w:hAnsi="Arial"/>
          <w:sz w:val="22"/>
          <w:szCs w:val="22"/>
          <w:color w:val="auto"/>
        </w:rPr>
        <w:t>means the document entitled ‘Restatement Deed’ executed in December 2015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Bank and the Transaction Parties.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Review Event </w:t>
      </w:r>
      <w:r>
        <w:rPr>
          <w:rFonts w:ascii="Arial" w:cs="Arial" w:eastAsia="Arial" w:hAnsi="Arial"/>
          <w:sz w:val="22"/>
          <w:szCs w:val="22"/>
          <w:color w:val="auto"/>
        </w:rPr>
        <w:t>means any event or circumstance described in</w:t>
      </w:r>
      <w:r>
        <w:rPr>
          <w:rFonts w:ascii="Arial" w:cs="Arial" w:eastAsia="Arial" w:hAnsi="Arial"/>
          <w:sz w:val="22"/>
          <w:szCs w:val="22"/>
          <w:b w:val="1"/>
          <w:bCs w:val="1"/>
          <w:color w:val="auto"/>
        </w:rPr>
        <w:t xml:space="preserve"> clause 10.4</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Revolving Tranche </w:t>
      </w:r>
      <w:r>
        <w:rPr>
          <w:rFonts w:ascii="Arial" w:cs="Arial" w:eastAsia="Arial" w:hAnsi="Arial"/>
          <w:sz w:val="22"/>
          <w:szCs w:val="22"/>
          <w:color w:val="auto"/>
        </w:rPr>
        <w:t>means at any time, the aggregate of the unpaid Advances outstanding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Markets Loan Facility at that time..</w:t>
      </w:r>
    </w:p>
    <w:p>
      <w:pPr>
        <w:spacing w:after="0" w:line="353" w:lineRule="exact"/>
        <w:rPr>
          <w:sz w:val="20"/>
          <w:szCs w:val="20"/>
          <w:color w:val="auto"/>
        </w:rPr>
      </w:pPr>
    </w:p>
    <w:p>
      <w:pPr>
        <w:spacing w:after="0" w:line="302" w:lineRule="auto"/>
        <w:rPr>
          <w:sz w:val="20"/>
          <w:szCs w:val="20"/>
          <w:color w:val="auto"/>
        </w:rPr>
      </w:pPr>
      <w:r>
        <w:rPr>
          <w:rFonts w:ascii="Arial" w:cs="Arial" w:eastAsia="Arial" w:hAnsi="Arial"/>
          <w:sz w:val="22"/>
          <w:szCs w:val="22"/>
          <w:b w:val="1"/>
          <w:bCs w:val="1"/>
          <w:color w:val="auto"/>
        </w:rPr>
        <w:t xml:space="preserve">Secured Property </w:t>
      </w:r>
      <w:r>
        <w:rPr>
          <w:rFonts w:ascii="Arial" w:cs="Arial" w:eastAsia="Arial" w:hAnsi="Arial"/>
          <w:sz w:val="22"/>
          <w:szCs w:val="22"/>
          <w:color w:val="auto"/>
        </w:rPr>
        <w:t>means all property which, from time to time, is subject to a Security which forms part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Collateral Security.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w:t>
      </w:r>
      <w:r>
        <w:rPr>
          <w:rFonts w:ascii="Arial" w:cs="Arial" w:eastAsia="Arial" w:hAnsi="Arial"/>
          <w:sz w:val="22"/>
          <w:szCs w:val="22"/>
          <w:color w:val="auto"/>
        </w:rPr>
        <w:t>means any document or transaction which reserves or creates a Security Interest.</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98</w:t>
      </w:r>
    </w:p>
    <w:p>
      <w:pPr>
        <w:sectPr>
          <w:pgSz w:w="11900" w:h="16838" w:orient="portrait"/>
          <w:cols w:equalWidth="0" w:num="1">
            <w:col w:w="9400"/>
          </w:cols>
          <w:pgMar w:left="1260" w:top="1166" w:right="1246" w:bottom="0" w:gutter="0" w:footer="0" w:header="0"/>
          <w:type w:val="continuous"/>
        </w:sectPr>
      </w:pPr>
    </w:p>
    <w:bookmarkStart w:id="199" w:name="page200"/>
    <w:bookmarkEnd w:id="199"/>
    <w:p>
      <w:pPr>
        <w:jc w:val="both"/>
        <w:spacing w:after="0" w:line="307" w:lineRule="auto"/>
        <w:rPr>
          <w:sz w:val="20"/>
          <w:szCs w:val="20"/>
          <w:color w:val="auto"/>
        </w:rPr>
      </w:pPr>
      <w:r>
        <w:rPr>
          <w:rFonts w:ascii="Arial" w:cs="Arial" w:eastAsia="Arial" w:hAnsi="Arial"/>
          <w:sz w:val="22"/>
          <w:szCs w:val="22"/>
          <w:b w:val="1"/>
          <w:bCs w:val="1"/>
          <w:color w:val="auto"/>
        </w:rPr>
        <w:t xml:space="preserve">Security Interest </w:t>
      </w:r>
      <w:r>
        <w:rPr>
          <w:rFonts w:ascii="Arial" w:cs="Arial" w:eastAsia="Arial" w:hAnsi="Arial"/>
          <w:sz w:val="22"/>
          <w:szCs w:val="22"/>
          <w:color w:val="auto"/>
        </w:rPr>
        <w:t>means any interest or right which secures the payment of a debt or other monetary</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or the compliance with any other obligation. It includes any retention of title to any property and any right to set off or withhold payment of any deposit or other money.</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Security Provider </w:t>
      </w:r>
      <w:r>
        <w:rPr>
          <w:rFonts w:ascii="Arial" w:cs="Arial" w:eastAsia="Arial" w:hAnsi="Arial"/>
          <w:sz w:val="22"/>
          <w:szCs w:val="22"/>
          <w:color w:val="auto"/>
        </w:rPr>
        <w:t>means each person who gives a Collateral Security (other than a related body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Bank).</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Service </w:t>
      </w:r>
      <w:r>
        <w:rPr>
          <w:rFonts w:ascii="Arial" w:cs="Arial" w:eastAsia="Arial" w:hAnsi="Arial"/>
          <w:sz w:val="22"/>
          <w:szCs w:val="22"/>
          <w:color w:val="auto"/>
        </w:rPr>
        <w:t>means any service the Bank provides to the Borrower under or in relation to a Facility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making or processing any payment or issuing any document.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Subordinated Debt </w:t>
      </w:r>
      <w:r>
        <w:rPr>
          <w:rFonts w:ascii="Arial" w:cs="Arial" w:eastAsia="Arial" w:hAnsi="Arial"/>
          <w:sz w:val="22"/>
          <w:szCs w:val="22"/>
          <w:color w:val="auto"/>
        </w:rPr>
        <w:t>means:</w:t>
      </w:r>
    </w:p>
    <w:p>
      <w:pPr>
        <w:spacing w:after="0" w:line="200" w:lineRule="exact"/>
        <w:rPr>
          <w:sz w:val="20"/>
          <w:szCs w:val="20"/>
          <w:color w:val="auto"/>
        </w:rPr>
      </w:pPr>
    </w:p>
    <w:p>
      <w:pPr>
        <w:spacing w:after="0" w:line="218" w:lineRule="exact"/>
        <w:rPr>
          <w:sz w:val="20"/>
          <w:szCs w:val="20"/>
          <w:color w:val="auto"/>
        </w:rPr>
      </w:pPr>
    </w:p>
    <w:p>
      <w:pPr>
        <w:jc w:val="both"/>
        <w:ind w:left="1440" w:hanging="726"/>
        <w:spacing w:after="0" w:line="307" w:lineRule="auto"/>
        <w:tabs>
          <w:tab w:leader="none" w:pos="148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Financial Indebtedness that is or may become owing by the Borrower to Reading International Cinemas, LLC, that is fully subordinated on the terms set out in the Parent Subordination Agreement; and</w:t>
      </w:r>
    </w:p>
    <w:p>
      <w:pPr>
        <w:spacing w:after="0" w:line="19" w:lineRule="exact"/>
        <w:rPr>
          <w:rFonts w:ascii="Arial" w:cs="Arial" w:eastAsia="Arial" w:hAnsi="Arial"/>
          <w:sz w:val="22"/>
          <w:szCs w:val="22"/>
          <w:color w:val="auto"/>
        </w:rPr>
      </w:pPr>
    </w:p>
    <w:p>
      <w:pPr>
        <w:jc w:val="both"/>
        <w:ind w:left="1440" w:hanging="726"/>
        <w:spacing w:after="0" w:line="348" w:lineRule="auto"/>
        <w:tabs>
          <w:tab w:leader="none" w:pos="149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p>
      <w:pPr>
        <w:spacing w:after="0" w:line="316"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means a tax (including any tax in the nature of a goods and services tax), rate, levy, impost or duty</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a tax on the net overall income of the Bank) and any interest, penalty, fine or expense relating to any of them.</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means, in respect of each Facility, the Termination Date set out in</w:t>
      </w:r>
      <w:r>
        <w:rPr>
          <w:rFonts w:ascii="Arial" w:cs="Arial" w:eastAsia="Arial" w:hAnsi="Arial"/>
          <w:sz w:val="22"/>
          <w:szCs w:val="22"/>
          <w:b w:val="1"/>
          <w:bCs w:val="1"/>
          <w:color w:val="auto"/>
        </w:rPr>
        <w:t xml:space="preserve"> schedule 2, </w:t>
      </w:r>
      <w:r>
        <w:rPr>
          <w:rFonts w:ascii="Arial" w:cs="Arial" w:eastAsia="Arial" w:hAnsi="Arial"/>
          <w:sz w:val="22"/>
          <w:szCs w:val="22"/>
          <w:color w:val="auto"/>
        </w:rPr>
        <w:t>or such</w:t>
      </w:r>
      <w:r>
        <w:rPr>
          <w:rFonts w:ascii="Arial" w:cs="Arial" w:eastAsia="Arial" w:hAnsi="Arial"/>
          <w:sz w:val="22"/>
          <w:szCs w:val="22"/>
          <w:b w:val="1"/>
          <w:bCs w:val="1"/>
          <w:color w:val="auto"/>
        </w:rPr>
        <w:t xml:space="preserve"> </w:t>
      </w:r>
      <w:r>
        <w:rPr>
          <w:rFonts w:ascii="Arial" w:cs="Arial" w:eastAsia="Arial" w:hAnsi="Arial"/>
          <w:sz w:val="22"/>
          <w:szCs w:val="22"/>
          <w:color w:val="auto"/>
        </w:rPr>
        <w:t>other date agreed in writing by the parties.</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Total Gross Debt </w:t>
      </w:r>
      <w:r>
        <w:rPr>
          <w:rFonts w:ascii="Arial" w:cs="Arial" w:eastAsia="Arial" w:hAnsi="Arial"/>
          <w:sz w:val="22"/>
          <w:szCs w:val="22"/>
          <w:color w:val="auto"/>
        </w:rPr>
        <w:t>means, on any date, all Financial Indebtedness of the Reading Entertainment Australia</w:t>
      </w:r>
      <w:r>
        <w:rPr>
          <w:rFonts w:ascii="Arial" w:cs="Arial" w:eastAsia="Arial" w:hAnsi="Arial"/>
          <w:sz w:val="22"/>
          <w:szCs w:val="22"/>
          <w:b w:val="1"/>
          <w:bCs w:val="1"/>
          <w:color w:val="auto"/>
        </w:rPr>
        <w:t xml:space="preserve"> </w:t>
      </w:r>
      <w:r>
        <w:rPr>
          <w:rFonts w:ascii="Arial" w:cs="Arial" w:eastAsia="Arial" w:hAnsi="Arial"/>
          <w:sz w:val="22"/>
          <w:szCs w:val="22"/>
          <w:color w:val="auto"/>
        </w:rPr>
        <w:t>Group, but excluding any Excluded Financial Indebtedness.</w:t>
      </w:r>
    </w:p>
    <w:p>
      <w:pPr>
        <w:spacing w:after="0" w:line="35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Total Lease Payments </w:t>
      </w:r>
      <w:r>
        <w:rPr>
          <w:rFonts w:ascii="Arial" w:cs="Arial" w:eastAsia="Arial" w:hAnsi="Arial"/>
          <w:sz w:val="22"/>
          <w:szCs w:val="22"/>
          <w:color w:val="auto"/>
        </w:rPr>
        <w:t>means the aggregate amount of all rental expenditure of the Reading</w:t>
      </w:r>
      <w:r>
        <w:rPr>
          <w:rFonts w:ascii="Arial" w:cs="Arial" w:eastAsia="Arial" w:hAnsi="Arial"/>
          <w:sz w:val="22"/>
          <w:szCs w:val="22"/>
          <w:b w:val="1"/>
          <w:bCs w:val="1"/>
          <w:color w:val="auto"/>
        </w:rPr>
        <w:t xml:space="preserve"> </w:t>
      </w:r>
      <w:r>
        <w:rPr>
          <w:rFonts w:ascii="Arial" w:cs="Arial" w:eastAsia="Arial" w:hAnsi="Arial"/>
          <w:sz w:val="22"/>
          <w:szCs w:val="22"/>
          <w:color w:val="auto"/>
        </w:rPr>
        <w:t>Entertainment Australia Group, other than rental expenditure payable to any Transaction Party, calculated in accordance with Accounting Standards, for that period.</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Transaction Documents </w:t>
      </w:r>
      <w:r>
        <w:rPr>
          <w:rFonts w:ascii="Arial" w:cs="Arial" w:eastAsia="Arial" w:hAnsi="Arial"/>
          <w:sz w:val="22"/>
          <w:szCs w:val="22"/>
          <w:color w:val="auto"/>
        </w:rPr>
        <w:t>means:</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document;</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 used;</w:t>
      </w:r>
    </w:p>
    <w:p>
      <w:pPr>
        <w:spacing w:after="0" w:line="77" w:lineRule="exact"/>
        <w:rPr>
          <w:rFonts w:ascii="Arial" w:cs="Arial" w:eastAsia="Arial" w:hAnsi="Arial"/>
          <w:sz w:val="22"/>
          <w:szCs w:val="22"/>
          <w:color w:val="auto"/>
        </w:rPr>
      </w:pPr>
    </w:p>
    <w:p>
      <w:pPr>
        <w:ind w:left="1480" w:hanging="766"/>
        <w:spacing w:after="0"/>
        <w:tabs>
          <w:tab w:leader="none" w:pos="14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Guarantor Accession Deed;</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Collateral Security;</w:t>
      </w:r>
    </w:p>
    <w:p>
      <w:pPr>
        <w:spacing w:after="0" w:line="77" w:lineRule="exact"/>
        <w:rPr>
          <w:rFonts w:ascii="Arial" w:cs="Arial" w:eastAsia="Arial" w:hAnsi="Arial"/>
          <w:sz w:val="22"/>
          <w:szCs w:val="22"/>
          <w:color w:val="auto"/>
        </w:rPr>
      </w:pPr>
    </w:p>
    <w:p>
      <w:pPr>
        <w:ind w:left="1480" w:hanging="766"/>
        <w:spacing w:after="0"/>
        <w:tabs>
          <w:tab w:leader="none" w:pos="14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Parent Subordination Agreement;</w:t>
      </w:r>
    </w:p>
    <w:p>
      <w:pPr>
        <w:spacing w:after="0" w:line="87" w:lineRule="exact"/>
        <w:rPr>
          <w:rFonts w:ascii="Arial" w:cs="Arial" w:eastAsia="Arial" w:hAnsi="Arial"/>
          <w:sz w:val="22"/>
          <w:szCs w:val="22"/>
          <w:color w:val="auto"/>
        </w:rPr>
      </w:pPr>
    </w:p>
    <w:p>
      <w:pPr>
        <w:ind w:left="1440" w:hanging="726"/>
        <w:spacing w:after="0" w:line="302" w:lineRule="auto"/>
        <w:tabs>
          <w:tab w:leader="none" w:pos="146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ISDA Master Agreement dated 17 June 2011 between the Bank and the Borrower, as amended from time to time;</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98</w:t>
      </w:r>
    </w:p>
    <w:p>
      <w:pPr>
        <w:sectPr>
          <w:pgSz w:w="11900" w:h="16838" w:orient="portrait"/>
          <w:cols w:equalWidth="0" w:num="1">
            <w:col w:w="9400"/>
          </w:cols>
          <w:pgMar w:left="1260" w:top="1177" w:right="1246" w:bottom="0" w:gutter="0" w:footer="0" w:header="0"/>
          <w:type w:val="continuous"/>
        </w:sectPr>
      </w:pPr>
    </w:p>
    <w:bookmarkStart w:id="200" w:name="page201"/>
    <w:bookmarkEnd w:id="200"/>
    <w:p>
      <w:pPr>
        <w:ind w:left="1440" w:hanging="726"/>
        <w:spacing w:after="0" w:line="302" w:lineRule="auto"/>
        <w:tabs>
          <w:tab w:leader="none" w:pos="149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deed of consent referred to in item 12 (Deed of consent) of schedule 3 upon it being executed by the relevant parties;</w:t>
      </w:r>
    </w:p>
    <w:p>
      <w:pPr>
        <w:spacing w:after="0" w:line="23" w:lineRule="exact"/>
        <w:rPr>
          <w:rFonts w:ascii="Arial" w:cs="Arial" w:eastAsia="Arial" w:hAnsi="Arial"/>
          <w:sz w:val="22"/>
          <w:szCs w:val="22"/>
          <w:color w:val="auto"/>
        </w:rPr>
      </w:pPr>
    </w:p>
    <w:p>
      <w:pPr>
        <w:ind w:left="1500" w:hanging="786"/>
        <w:spacing w:after="0"/>
        <w:tabs>
          <w:tab w:leader="none" w:pos="150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agreement relating to the priority of any Security which is a Collateral Security;</w:t>
      </w:r>
    </w:p>
    <w:p>
      <w:pPr>
        <w:spacing w:after="0" w:line="77" w:lineRule="exact"/>
        <w:rPr>
          <w:rFonts w:ascii="Arial" w:cs="Arial" w:eastAsia="Arial" w:hAnsi="Arial"/>
          <w:sz w:val="21"/>
          <w:szCs w:val="21"/>
          <w:color w:val="auto"/>
        </w:rPr>
      </w:pPr>
    </w:p>
    <w:p>
      <w:pPr>
        <w:ind w:left="1440" w:hanging="726"/>
        <w:spacing w:after="0"/>
        <w:tabs>
          <w:tab w:leader="none" w:pos="14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Merchant Services Agreement;</w:t>
      </w:r>
    </w:p>
    <w:p>
      <w:pPr>
        <w:spacing w:after="0" w:line="87" w:lineRule="exact"/>
        <w:rPr>
          <w:rFonts w:ascii="Arial" w:cs="Arial" w:eastAsia="Arial" w:hAnsi="Arial"/>
          <w:sz w:val="22"/>
          <w:szCs w:val="22"/>
          <w:color w:val="auto"/>
        </w:rPr>
      </w:pPr>
    </w:p>
    <w:p>
      <w:pPr>
        <w:ind w:left="1440" w:hanging="726"/>
        <w:spacing w:after="0" w:line="302" w:lineRule="auto"/>
        <w:tabs>
          <w:tab w:leader="none" w:pos="145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any document which the Borrower and the Bank agree is a Transaction Document for the purposes of this document; and</w:t>
      </w:r>
    </w:p>
    <w:p>
      <w:pPr>
        <w:spacing w:after="0" w:line="23" w:lineRule="exact"/>
        <w:rPr>
          <w:rFonts w:ascii="Arial" w:cs="Arial" w:eastAsia="Arial" w:hAnsi="Arial"/>
          <w:sz w:val="22"/>
          <w:szCs w:val="22"/>
          <w:color w:val="auto"/>
        </w:rPr>
      </w:pPr>
    </w:p>
    <w:p>
      <w:pPr>
        <w:ind w:left="1440" w:hanging="726"/>
        <w:spacing w:after="0" w:line="302" w:lineRule="auto"/>
        <w:tabs>
          <w:tab w:leader="none" w:pos="149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document entered into for the purpose of amending, novating, restating or replacing any of them.</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Transaction Parties </w:t>
      </w:r>
      <w:r>
        <w:rPr>
          <w:rFonts w:ascii="Arial" w:cs="Arial" w:eastAsia="Arial" w:hAnsi="Arial"/>
          <w:sz w:val="22"/>
          <w:szCs w:val="22"/>
          <w:color w:val="auto"/>
        </w:rPr>
        <w:t>means the Borrower and each Guarantor.</w:t>
      </w:r>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Trust </w:t>
      </w:r>
      <w:r>
        <w:rPr>
          <w:rFonts w:ascii="Arial" w:cs="Arial" w:eastAsia="Arial" w:hAnsi="Arial"/>
          <w:sz w:val="22"/>
          <w:szCs w:val="22"/>
          <w:color w:val="auto"/>
        </w:rPr>
        <w:t>means, in relation to any Transaction Party that enters into a Transaction Document in the capacity</w:t>
      </w:r>
      <w:r>
        <w:rPr>
          <w:rFonts w:ascii="Arial" w:cs="Arial" w:eastAsia="Arial" w:hAnsi="Arial"/>
          <w:sz w:val="22"/>
          <w:szCs w:val="22"/>
          <w:b w:val="1"/>
          <w:bCs w:val="1"/>
          <w:color w:val="auto"/>
        </w:rPr>
        <w:t xml:space="preserve"> </w:t>
      </w:r>
      <w:r>
        <w:rPr>
          <w:rFonts w:ascii="Arial" w:cs="Arial" w:eastAsia="Arial" w:hAnsi="Arial"/>
          <w:sz w:val="22"/>
          <w:szCs w:val="22"/>
          <w:color w:val="auto"/>
        </w:rPr>
        <w:t>as trustee of a trust, the relevant trust.</w:t>
      </w:r>
    </w:p>
    <w:p>
      <w:pPr>
        <w:spacing w:after="0" w:line="35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Trust Deed </w:t>
      </w:r>
      <w:r>
        <w:rPr>
          <w:rFonts w:ascii="Arial" w:cs="Arial" w:eastAsia="Arial" w:hAnsi="Arial"/>
          <w:sz w:val="22"/>
          <w:szCs w:val="22"/>
          <w:color w:val="auto"/>
        </w:rPr>
        <w:t>means, in relation to a Trust, the trust deed or other document which establishes or evidences</w:t>
      </w:r>
      <w:r>
        <w:rPr>
          <w:rFonts w:ascii="Arial" w:cs="Arial" w:eastAsia="Arial" w:hAnsi="Arial"/>
          <w:sz w:val="22"/>
          <w:szCs w:val="22"/>
          <w:b w:val="1"/>
          <w:bCs w:val="1"/>
          <w:color w:val="auto"/>
        </w:rPr>
        <w:t xml:space="preserve"> </w:t>
      </w:r>
      <w:r>
        <w:rPr>
          <w:rFonts w:ascii="Arial" w:cs="Arial" w:eastAsia="Arial" w:hAnsi="Arial"/>
          <w:sz w:val="22"/>
          <w:szCs w:val="22"/>
          <w:color w:val="auto"/>
        </w:rPr>
        <w:t>that Trust.</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Trustee </w:t>
      </w:r>
      <w:r>
        <w:rPr>
          <w:rFonts w:ascii="Arial" w:cs="Arial" w:eastAsia="Arial" w:hAnsi="Arial"/>
          <w:sz w:val="19"/>
          <w:szCs w:val="19"/>
          <w:color w:val="auto"/>
        </w:rPr>
        <w:t>means a Transaction Party that enters into a Transaction Document acting as the trustee of a Trust.</w:t>
      </w:r>
    </w:p>
    <w:p>
      <w:pPr>
        <w:spacing w:after="0" w:line="200" w:lineRule="exact"/>
        <w:rPr>
          <w:sz w:val="20"/>
          <w:szCs w:val="20"/>
          <w:color w:val="auto"/>
        </w:rPr>
      </w:pPr>
    </w:p>
    <w:p>
      <w:pPr>
        <w:spacing w:after="0" w:line="242"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Valuation </w:t>
      </w:r>
      <w:r>
        <w:rPr>
          <w:rFonts w:ascii="Arial" w:cs="Arial" w:eastAsia="Arial" w:hAnsi="Arial"/>
          <w:sz w:val="22"/>
          <w:szCs w:val="22"/>
          <w:color w:val="auto"/>
        </w:rPr>
        <w:t>means a valuation of the Freehold Properties or leasehold properties included in the Secured</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addressed to the Bank, by an Approved Valuer in form and substance satisfactory to the Bank in all respects.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Verification Certificate </w:t>
      </w:r>
      <w:r>
        <w:rPr>
          <w:rFonts w:ascii="Arial" w:cs="Arial" w:eastAsia="Arial" w:hAnsi="Arial"/>
          <w:sz w:val="22"/>
          <w:szCs w:val="22"/>
          <w:color w:val="auto"/>
        </w:rPr>
        <w:t>means a certificate in substantially the form set out in</w:t>
      </w:r>
      <w:r>
        <w:rPr>
          <w:rFonts w:ascii="Arial" w:cs="Arial" w:eastAsia="Arial" w:hAnsi="Arial"/>
          <w:sz w:val="22"/>
          <w:szCs w:val="22"/>
          <w:b w:val="1"/>
          <w:bCs w:val="1"/>
          <w:color w:val="auto"/>
        </w:rPr>
        <w:t xml:space="preserve"> schedule 6</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Waurn Ponds Property </w:t>
      </w:r>
      <w:r>
        <w:rPr>
          <w:rFonts w:ascii="Arial" w:cs="Arial" w:eastAsia="Arial" w:hAnsi="Arial"/>
          <w:sz w:val="22"/>
          <w:szCs w:val="22"/>
          <w:color w:val="auto"/>
        </w:rPr>
        <w:t>means the leasehold land improvements known as Reading Cinema Waurn</w:t>
      </w:r>
      <w:r>
        <w:rPr>
          <w:rFonts w:ascii="Arial" w:cs="Arial" w:eastAsia="Arial" w:hAnsi="Arial"/>
          <w:sz w:val="22"/>
          <w:szCs w:val="22"/>
          <w:b w:val="1"/>
          <w:bCs w:val="1"/>
          <w:color w:val="auto"/>
        </w:rPr>
        <w:t xml:space="preserve"> </w:t>
      </w:r>
      <w:r>
        <w:rPr>
          <w:rFonts w:ascii="Arial" w:cs="Arial" w:eastAsia="Arial" w:hAnsi="Arial"/>
          <w:sz w:val="22"/>
          <w:szCs w:val="22"/>
          <w:color w:val="auto"/>
        </w:rPr>
        <w:t>Ponds, Corner Pioneer Road and Princes Highway, Waurn Ponds Victoria and described in certificate of title volume 10530 folio 739.</w:t>
      </w: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color w:val="auto"/>
        </w:rPr>
        <w:t xml:space="preserve">Waurn Ponds Property Release Date </w:t>
      </w:r>
      <w:r>
        <w:rPr>
          <w:rFonts w:ascii="Arial" w:cs="Arial" w:eastAsia="Arial" w:hAnsi="Arial"/>
          <w:sz w:val="22"/>
          <w:szCs w:val="22"/>
          <w:color w:val="auto"/>
        </w:rPr>
        <w:t>means, the date on which the Bank is satisfied in its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that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the Waurn Pond Property is sold,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this document.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w:t>
      </w:r>
    </w:p>
    <w:p>
      <w:pPr>
        <w:spacing w:after="0" w:line="88"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 xml:space="preserve">Unless expressed to the contrary, in this document: words in the singular include the plural and vice versa; any gender includes the other genders; </w:t>
      </w:r>
      <w:r>
        <w:rPr>
          <w:rFonts w:ascii="Arial" w:cs="Arial" w:eastAsia="Arial" w:hAnsi="Arial"/>
          <w:sz w:val="20"/>
          <w:szCs w:val="20"/>
          <w:b w:val="1"/>
          <w:bCs w:val="1"/>
          <w:color w:val="auto"/>
        </w:rPr>
        <w:t>if a word or phrase is defined its other grammatical forms have</w:t>
      </w:r>
      <w:r>
        <w:rPr>
          <w:rFonts w:ascii="Arial" w:cs="Arial" w:eastAsia="Arial" w:hAnsi="Arial"/>
          <w:sz w:val="20"/>
          <w:szCs w:val="20"/>
          <w:color w:val="auto"/>
        </w:rPr>
        <w:t xml:space="preserve"> </w:t>
      </w:r>
      <w:r>
        <w:rPr>
          <w:rFonts w:ascii="Arial" w:cs="Arial" w:eastAsia="Arial" w:hAnsi="Arial"/>
          <w:sz w:val="20"/>
          <w:szCs w:val="20"/>
          <w:b w:val="1"/>
          <w:bCs w:val="1"/>
          <w:color w:val="auto"/>
        </w:rPr>
        <w:t>corresponding meanings; “includes” means includes without limitation;</w:t>
      </w:r>
    </w:p>
    <w:p>
      <w:pPr>
        <w:spacing w:after="0" w:line="314" w:lineRule="exact"/>
        <w:rPr>
          <w:sz w:val="20"/>
          <w:szCs w:val="20"/>
          <w:color w:val="auto"/>
        </w:rPr>
      </w:pPr>
    </w:p>
    <w:p>
      <w:pPr>
        <w:ind w:right="180"/>
        <w:spacing w:after="0" w:line="330" w:lineRule="auto"/>
        <w:rPr>
          <w:sz w:val="20"/>
          <w:szCs w:val="20"/>
          <w:color w:val="auto"/>
        </w:rPr>
      </w:pPr>
      <w:r>
        <w:rPr>
          <w:rFonts w:ascii="Arial" w:cs="Arial" w:eastAsia="Arial" w:hAnsi="Arial"/>
          <w:sz w:val="22"/>
          <w:szCs w:val="22"/>
          <w:color w:val="auto"/>
        </w:rPr>
        <w:t>no rule of construction will apply to a clause to the disadvantage of a party merely because that party put forward the clause or would otherwise benefit from it; and a reference to:</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98</w:t>
      </w:r>
    </w:p>
    <w:p>
      <w:pPr>
        <w:sectPr>
          <w:pgSz w:w="11900" w:h="16838" w:orient="portrait"/>
          <w:cols w:equalWidth="0" w:num="1">
            <w:col w:w="9400"/>
          </w:cols>
          <w:pgMar w:left="1260" w:top="1177" w:right="1246" w:bottom="0" w:gutter="0" w:footer="0" w:header="0"/>
          <w:type w:val="continuous"/>
        </w:sectPr>
      </w:pPr>
    </w:p>
    <w:bookmarkStart w:id="201" w:name="page202"/>
    <w:bookmarkEnd w:id="201"/>
    <w:p>
      <w:pPr>
        <w:ind w:left="720" w:right="580"/>
        <w:spacing w:after="0" w:line="302" w:lineRule="auto"/>
        <w:rPr>
          <w:sz w:val="20"/>
          <w:szCs w:val="20"/>
          <w:color w:val="auto"/>
        </w:rPr>
      </w:pPr>
      <w:r>
        <w:rPr>
          <w:rFonts w:ascii="Arial" w:cs="Arial" w:eastAsia="Arial" w:hAnsi="Arial"/>
          <w:sz w:val="22"/>
          <w:szCs w:val="22"/>
          <w:color w:val="auto"/>
        </w:rPr>
        <w:t>a person includes a partnership, joint venture, unincorporated association, corporation and a government or statutory body or authority;</w:t>
      </w:r>
    </w:p>
    <w:p>
      <w:pPr>
        <w:spacing w:after="0" w:line="353" w:lineRule="exact"/>
        <w:rPr>
          <w:sz w:val="20"/>
          <w:szCs w:val="20"/>
          <w:color w:val="auto"/>
        </w:rPr>
      </w:pPr>
    </w:p>
    <w:p>
      <w:pPr>
        <w:ind w:left="720" w:right="480"/>
        <w:spacing w:after="0" w:line="302" w:lineRule="auto"/>
        <w:rPr>
          <w:sz w:val="20"/>
          <w:szCs w:val="20"/>
          <w:color w:val="auto"/>
        </w:rPr>
      </w:pPr>
      <w:r>
        <w:rPr>
          <w:rFonts w:ascii="Arial" w:cs="Arial" w:eastAsia="Arial" w:hAnsi="Arial"/>
          <w:sz w:val="22"/>
          <w:szCs w:val="22"/>
          <w:color w:val="auto"/>
        </w:rPr>
        <w:t>a person includes the person’s legal personal representatives, successors, assigns and persons substituted by novation;</w:t>
      </w:r>
    </w:p>
    <w:p>
      <w:pPr>
        <w:spacing w:after="0" w:line="353" w:lineRule="exact"/>
        <w:rPr>
          <w:sz w:val="20"/>
          <w:szCs w:val="20"/>
          <w:color w:val="auto"/>
        </w:rPr>
      </w:pPr>
    </w:p>
    <w:p>
      <w:pPr>
        <w:ind w:left="720" w:right="920"/>
        <w:spacing w:after="0" w:line="302" w:lineRule="auto"/>
        <w:rPr>
          <w:sz w:val="20"/>
          <w:szCs w:val="20"/>
          <w:color w:val="auto"/>
        </w:rPr>
      </w:pPr>
      <w:r>
        <w:rPr>
          <w:rFonts w:ascii="Arial" w:cs="Arial" w:eastAsia="Arial" w:hAnsi="Arial"/>
          <w:sz w:val="22"/>
          <w:szCs w:val="22"/>
          <w:color w:val="auto"/>
        </w:rPr>
        <w:t>any legislation includes subordinate legislation under it and includes that legislation and subordinate legislation as modified or replaced;</w:t>
      </w:r>
    </w:p>
    <w:p>
      <w:pPr>
        <w:spacing w:after="0" w:line="353" w:lineRule="exact"/>
        <w:rPr>
          <w:sz w:val="20"/>
          <w:szCs w:val="20"/>
          <w:color w:val="auto"/>
        </w:rPr>
      </w:pPr>
    </w:p>
    <w:p>
      <w:pPr>
        <w:ind w:left="720" w:right="140"/>
        <w:spacing w:after="0" w:line="302" w:lineRule="auto"/>
        <w:rPr>
          <w:sz w:val="20"/>
          <w:szCs w:val="20"/>
          <w:color w:val="auto"/>
        </w:rPr>
      </w:pPr>
      <w:r>
        <w:rPr>
          <w:rFonts w:ascii="Arial" w:cs="Arial" w:eastAsia="Arial" w:hAnsi="Arial"/>
          <w:sz w:val="22"/>
          <w:szCs w:val="22"/>
          <w:color w:val="auto"/>
        </w:rPr>
        <w:t>an obligation includes a representation or warranty and a reference to a failure to comply with an obligation includes a breach of representation or warranty;</w:t>
      </w:r>
    </w:p>
    <w:p>
      <w:pPr>
        <w:spacing w:after="0" w:line="34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 right includes a benefit, remedy, discretion or power;</w:t>
      </w: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time is to local time in Melbourne;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or “dollars” is a reference to Australian currency;</w:t>
      </w:r>
    </w:p>
    <w:p>
      <w:pPr>
        <w:spacing w:after="0" w:line="200" w:lineRule="exact"/>
        <w:rPr>
          <w:sz w:val="20"/>
          <w:szCs w:val="20"/>
          <w:color w:val="auto"/>
        </w:rPr>
      </w:pPr>
    </w:p>
    <w:p>
      <w:pPr>
        <w:spacing w:after="0" w:line="218" w:lineRule="exact"/>
        <w:rPr>
          <w:sz w:val="20"/>
          <w:szCs w:val="20"/>
          <w:color w:val="auto"/>
        </w:rPr>
      </w:pPr>
    </w:p>
    <w:p>
      <w:pPr>
        <w:ind w:left="720" w:right="160"/>
        <w:spacing w:after="0" w:line="302" w:lineRule="auto"/>
        <w:rPr>
          <w:sz w:val="20"/>
          <w:szCs w:val="20"/>
          <w:color w:val="auto"/>
        </w:rPr>
      </w:pPr>
      <w:r>
        <w:rPr>
          <w:rFonts w:ascii="Arial" w:cs="Arial" w:eastAsia="Arial" w:hAnsi="Arial"/>
          <w:sz w:val="22"/>
          <w:szCs w:val="22"/>
          <w:color w:val="auto"/>
        </w:rPr>
        <w:t>this or any other document includes the document as novated, varied or replaced and despite any change in the identity of the parties;</w:t>
      </w:r>
    </w:p>
    <w:p>
      <w:pPr>
        <w:spacing w:after="0" w:line="353" w:lineRule="exact"/>
        <w:rPr>
          <w:sz w:val="20"/>
          <w:szCs w:val="20"/>
          <w:color w:val="auto"/>
        </w:rPr>
      </w:pPr>
    </w:p>
    <w:p>
      <w:pPr>
        <w:ind w:left="720" w:right="480"/>
        <w:spacing w:after="0" w:line="302" w:lineRule="auto"/>
        <w:rPr>
          <w:sz w:val="20"/>
          <w:szCs w:val="20"/>
          <w:color w:val="auto"/>
        </w:rPr>
      </w:pPr>
      <w:r>
        <w:rPr>
          <w:rFonts w:ascii="Arial" w:cs="Arial" w:eastAsia="Arial" w:hAnsi="Arial"/>
          <w:sz w:val="22"/>
          <w:szCs w:val="22"/>
          <w:color w:val="auto"/>
        </w:rPr>
        <w:t>writing includes any mode of representing or reproducing words in tangible and permanently visible form, and includes fax transmissions;</w:t>
      </w:r>
    </w:p>
    <w:p>
      <w:pPr>
        <w:spacing w:after="0" w:line="353" w:lineRule="exact"/>
        <w:rPr>
          <w:sz w:val="20"/>
          <w:szCs w:val="20"/>
          <w:color w:val="auto"/>
        </w:rPr>
      </w:pPr>
    </w:p>
    <w:p>
      <w:pPr>
        <w:ind w:left="720" w:right="140"/>
        <w:spacing w:after="0" w:line="302" w:lineRule="auto"/>
        <w:rPr>
          <w:sz w:val="20"/>
          <w:szCs w:val="20"/>
          <w:color w:val="auto"/>
        </w:rPr>
      </w:pPr>
      <w:r>
        <w:rPr>
          <w:rFonts w:ascii="Arial" w:cs="Arial" w:eastAsia="Arial" w:hAnsi="Arial"/>
          <w:sz w:val="22"/>
          <w:szCs w:val="22"/>
          <w:color w:val="auto"/>
        </w:rPr>
        <w:t>any thing (including any amount) is a reference to the whole or any part of it and a reference to a group of things or persons is a reference to any one or more of them;</w:t>
      </w:r>
    </w:p>
    <w:p>
      <w:pPr>
        <w:spacing w:after="0" w:line="34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this document includes all schedules and annexures to it; and</w:t>
      </w:r>
    </w:p>
    <w:p>
      <w:pPr>
        <w:spacing w:after="0" w:line="88" w:lineRule="exact"/>
        <w:rPr>
          <w:sz w:val="20"/>
          <w:szCs w:val="20"/>
          <w:color w:val="auto"/>
        </w:rPr>
      </w:pPr>
    </w:p>
    <w:p>
      <w:pPr>
        <w:ind w:left="720"/>
        <w:spacing w:after="0" w:line="302" w:lineRule="auto"/>
        <w:rPr>
          <w:sz w:val="20"/>
          <w:szCs w:val="20"/>
          <w:color w:val="auto"/>
        </w:rPr>
      </w:pPr>
      <w:r>
        <w:rPr>
          <w:rFonts w:ascii="Arial" w:cs="Arial" w:eastAsia="Arial" w:hAnsi="Arial"/>
          <w:sz w:val="22"/>
          <w:szCs w:val="22"/>
          <w:color w:val="auto"/>
        </w:rPr>
        <w:t>a clause, schedule or annexure is a reference to a clause, schedule or annexure, as the case may be, of this document.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Headings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Headings do not affect the interpretation of this document.</w:t>
      </w:r>
    </w:p>
    <w:p>
      <w:pPr>
        <w:spacing w:after="0" w:line="200" w:lineRule="exact"/>
        <w:rPr>
          <w:sz w:val="20"/>
          <w:szCs w:val="20"/>
          <w:color w:val="auto"/>
        </w:rPr>
      </w:pPr>
    </w:p>
    <w:p>
      <w:pPr>
        <w:spacing w:after="0" w:line="218" w:lineRule="exact"/>
        <w:rPr>
          <w:sz w:val="20"/>
          <w:szCs w:val="20"/>
          <w:color w:val="auto"/>
        </w:rPr>
      </w:pPr>
    </w:p>
    <w:p>
      <w:pPr>
        <w:ind w:right="4660"/>
        <w:spacing w:after="0" w:line="302" w:lineRule="auto"/>
        <w:rPr>
          <w:sz w:val="20"/>
          <w:szCs w:val="20"/>
          <w:color w:val="auto"/>
        </w:rPr>
      </w:pPr>
      <w:r>
        <w:rPr>
          <w:rFonts w:ascii="Arial" w:cs="Arial" w:eastAsia="Arial" w:hAnsi="Arial"/>
          <w:sz w:val="22"/>
          <w:szCs w:val="22"/>
          <w:b w:val="1"/>
          <w:bCs w:val="1"/>
          <w:color w:val="auto"/>
        </w:rPr>
        <w:t xml:space="preserve">Corporations Act, GST and Accounting Standards </w:t>
      </w:r>
      <w:r>
        <w:rPr>
          <w:rFonts w:ascii="Arial" w:cs="Arial" w:eastAsia="Arial" w:hAnsi="Arial"/>
          <w:sz w:val="22"/>
          <w:szCs w:val="22"/>
          <w:color w:val="auto"/>
        </w:rPr>
        <w:t>Unless expressed to the contrary:</w:t>
      </w:r>
    </w:p>
    <w:p>
      <w:pPr>
        <w:spacing w:after="0" w:line="353" w:lineRule="exact"/>
        <w:rPr>
          <w:sz w:val="20"/>
          <w:szCs w:val="20"/>
          <w:color w:val="auto"/>
        </w:rPr>
      </w:pPr>
    </w:p>
    <w:p>
      <w:pPr>
        <w:ind w:right="400"/>
        <w:spacing w:after="0" w:line="307" w:lineRule="auto"/>
        <w:rPr>
          <w:sz w:val="20"/>
          <w:szCs w:val="20"/>
          <w:color w:val="auto"/>
        </w:rPr>
      </w:pPr>
      <w:r>
        <w:rPr>
          <w:rFonts w:ascii="Arial" w:cs="Arial" w:eastAsia="Arial" w:hAnsi="Arial"/>
          <w:sz w:val="22"/>
          <w:szCs w:val="22"/>
          <w:color w:val="auto"/>
        </w:rPr>
        <w:t>“control”, “controller”, “corporation”, “disclosing entity”, “holding company”, “marketable security”, “prospective liability”, “public company”, “related body corporate” and “subsidiary” each has the meaning which it is defined to have in the Corporations Act;</w:t>
      </w:r>
    </w:p>
    <w:p>
      <w:pPr>
        <w:spacing w:after="0" w:line="349" w:lineRule="exact"/>
        <w:rPr>
          <w:sz w:val="20"/>
          <w:szCs w:val="20"/>
          <w:color w:val="auto"/>
        </w:rPr>
      </w:pPr>
    </w:p>
    <w:p>
      <w:pPr>
        <w:ind w:right="220"/>
        <w:spacing w:after="0" w:line="307" w:lineRule="auto"/>
        <w:rPr>
          <w:sz w:val="20"/>
          <w:szCs w:val="20"/>
          <w:color w:val="auto"/>
        </w:rPr>
      </w:pPr>
      <w:r>
        <w:rPr>
          <w:rFonts w:ascii="Arial" w:cs="Arial" w:eastAsia="Arial" w:hAnsi="Arial"/>
          <w:sz w:val="22"/>
          <w:szCs w:val="22"/>
          <w:color w:val="auto"/>
        </w:rPr>
        <w:t xml:space="preserve">“adjustment event”, “consideration”, “GST”, “input tax credit”, “supply”, “taxable supply” and “tax invoice” each has the meaning which it is defined to have in the </w:t>
      </w:r>
      <w:r>
        <w:rPr>
          <w:rFonts w:ascii="Arial" w:cs="Arial" w:eastAsia="Arial" w:hAnsi="Arial"/>
          <w:sz w:val="22"/>
          <w:szCs w:val="22"/>
          <w:i w:val="1"/>
          <w:iCs w:val="1"/>
          <w:color w:val="auto"/>
        </w:rPr>
        <w:t>A New Tax System (Goods and Services</w:t>
      </w:r>
      <w:r>
        <w:rPr>
          <w:rFonts w:ascii="Arial" w:cs="Arial" w:eastAsia="Arial" w:hAnsi="Arial"/>
          <w:sz w:val="22"/>
          <w:szCs w:val="22"/>
          <w:color w:val="auto"/>
        </w:rPr>
        <w:t xml:space="preserve"> </w:t>
      </w:r>
      <w:r>
        <w:rPr>
          <w:rFonts w:ascii="Arial" w:cs="Arial" w:eastAsia="Arial" w:hAnsi="Arial"/>
          <w:sz w:val="22"/>
          <w:szCs w:val="22"/>
          <w:i w:val="1"/>
          <w:iCs w:val="1"/>
          <w:color w:val="auto"/>
        </w:rPr>
        <w:t>Tax) Act 1999</w:t>
      </w:r>
      <w:r>
        <w:rPr>
          <w:rFonts w:ascii="Arial" w:cs="Arial" w:eastAsia="Arial" w:hAnsi="Arial"/>
          <w:sz w:val="22"/>
          <w:szCs w:val="22"/>
          <w:color w:val="auto"/>
        </w:rPr>
        <w:t>; and</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98</w:t>
      </w:r>
    </w:p>
    <w:p>
      <w:pPr>
        <w:sectPr>
          <w:pgSz w:w="11900" w:h="16838" w:orient="portrait"/>
          <w:cols w:equalWidth="0" w:num="1">
            <w:col w:w="9380"/>
          </w:cols>
          <w:pgMar w:left="1260" w:top="1177" w:right="1266" w:bottom="0" w:gutter="0" w:footer="0" w:header="0"/>
          <w:type w:val="continuous"/>
        </w:sectPr>
      </w:pPr>
    </w:p>
    <w:bookmarkStart w:id="202" w:name="page203"/>
    <w:bookmarkEnd w:id="202"/>
    <w:p>
      <w:pPr>
        <w:ind w:right="540"/>
        <w:spacing w:after="0" w:line="302" w:lineRule="auto"/>
        <w:rPr>
          <w:sz w:val="20"/>
          <w:szCs w:val="20"/>
          <w:color w:val="auto"/>
        </w:rPr>
      </w:pPr>
      <w:r>
        <w:rPr>
          <w:rFonts w:ascii="Arial" w:cs="Arial" w:eastAsia="Arial" w:hAnsi="Arial"/>
          <w:sz w:val="22"/>
          <w:szCs w:val="22"/>
          <w:color w:val="auto"/>
        </w:rPr>
        <w:t>“economic entity”, “entity” and “finance lease” each has the meaning which it has in the Accounting Standards.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terms have the meanings given to them in the PPS Act.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Subsisting Events of Default and Potential Events of Default</w:t>
      </w:r>
    </w:p>
    <w:p>
      <w:pPr>
        <w:spacing w:after="0" w:line="88" w:lineRule="exact"/>
        <w:rPr>
          <w:sz w:val="20"/>
          <w:szCs w:val="20"/>
          <w:color w:val="auto"/>
        </w:rPr>
      </w:pPr>
    </w:p>
    <w:p>
      <w:pPr>
        <w:ind w:right="280"/>
        <w:spacing w:after="0" w:line="302" w:lineRule="auto"/>
        <w:rPr>
          <w:sz w:val="20"/>
          <w:szCs w:val="20"/>
          <w:color w:val="auto"/>
        </w:rPr>
      </w:pPr>
      <w:r>
        <w:rPr>
          <w:rFonts w:ascii="Arial" w:cs="Arial" w:eastAsia="Arial" w:hAnsi="Arial"/>
          <w:sz w:val="22"/>
          <w:szCs w:val="22"/>
          <w:color w:val="auto"/>
        </w:rPr>
        <w:t>An Event of Default subsists if it has occurred and has not been waived by the Bank in accordance with this document or remedied.</w:t>
      </w:r>
    </w:p>
    <w:p>
      <w:pPr>
        <w:spacing w:after="0" w:line="353" w:lineRule="exact"/>
        <w:rPr>
          <w:sz w:val="20"/>
          <w:szCs w:val="20"/>
          <w:color w:val="auto"/>
        </w:rPr>
      </w:pPr>
    </w:p>
    <w:p>
      <w:pPr>
        <w:ind w:right="180"/>
        <w:spacing w:after="0" w:line="302" w:lineRule="auto"/>
        <w:rPr>
          <w:sz w:val="20"/>
          <w:szCs w:val="20"/>
          <w:color w:val="auto"/>
        </w:rPr>
      </w:pPr>
      <w:r>
        <w:rPr>
          <w:rFonts w:ascii="Arial" w:cs="Arial" w:eastAsia="Arial" w:hAnsi="Arial"/>
          <w:sz w:val="22"/>
          <w:szCs w:val="22"/>
          <w:color w:val="auto"/>
        </w:rPr>
        <w:t>A Potential Event of Default subsists if it exists and has not been waived by the Bank in accordance with this document or remedied.</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Inconsistency</w:t>
      </w:r>
    </w:p>
    <w:p>
      <w:pPr>
        <w:spacing w:after="0" w:line="88" w:lineRule="exact"/>
        <w:rPr>
          <w:sz w:val="20"/>
          <w:szCs w:val="20"/>
          <w:color w:val="auto"/>
        </w:rPr>
      </w:pPr>
    </w:p>
    <w:p>
      <w:pPr>
        <w:ind w:right="640"/>
        <w:spacing w:after="0" w:line="302" w:lineRule="auto"/>
        <w:rPr>
          <w:sz w:val="20"/>
          <w:szCs w:val="20"/>
          <w:color w:val="auto"/>
        </w:rPr>
      </w:pPr>
      <w:r>
        <w:rPr>
          <w:rFonts w:ascii="Arial" w:cs="Arial" w:eastAsia="Arial" w:hAnsi="Arial"/>
          <w:sz w:val="22"/>
          <w:szCs w:val="22"/>
          <w:color w:val="auto"/>
        </w:rPr>
        <w:t>If there is any inconsistency between this document and any other Transaction Document, then this document prevails to the extent of that inconsistency.</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Consideration</w:t>
      </w:r>
    </w:p>
    <w:p>
      <w:pPr>
        <w:spacing w:after="0" w:line="200" w:lineRule="exact"/>
        <w:rPr>
          <w:sz w:val="20"/>
          <w:szCs w:val="20"/>
          <w:color w:val="auto"/>
        </w:rPr>
      </w:pPr>
    </w:p>
    <w:p>
      <w:pPr>
        <w:spacing w:after="0" w:line="222" w:lineRule="exact"/>
        <w:rPr>
          <w:sz w:val="20"/>
          <w:szCs w:val="20"/>
          <w:color w:val="auto"/>
        </w:rPr>
      </w:pPr>
    </w:p>
    <w:p>
      <w:pPr>
        <w:ind w:right="720"/>
        <w:spacing w:after="0" w:line="302" w:lineRule="auto"/>
        <w:rPr>
          <w:sz w:val="20"/>
          <w:szCs w:val="20"/>
          <w:color w:val="auto"/>
        </w:rPr>
      </w:pPr>
      <w:r>
        <w:rPr>
          <w:rFonts w:ascii="Arial" w:cs="Arial" w:eastAsia="Arial" w:hAnsi="Arial"/>
          <w:sz w:val="22"/>
          <w:szCs w:val="22"/>
          <w:color w:val="auto"/>
        </w:rPr>
        <w:t>The Borrower enters into this document in consideration of the Bank agreeing to make the Facility available in accordance with this document.</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Conditions precedent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precedent to Advances and Drawings</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The obligation of the Bank to make any Advances or Drawings is subject to the further conditions precedent that the Bank is satisfied in its absolute discretion that:</w:t>
      </w:r>
    </w:p>
    <w:p>
      <w:pPr>
        <w:spacing w:after="0" w:line="353" w:lineRule="exact"/>
        <w:rPr>
          <w:sz w:val="20"/>
          <w:szCs w:val="20"/>
          <w:color w:val="auto"/>
        </w:rPr>
      </w:pPr>
    </w:p>
    <w:p>
      <w:pPr>
        <w:ind w:right="880"/>
        <w:spacing w:after="0" w:line="388" w:lineRule="auto"/>
        <w:rPr>
          <w:sz w:val="20"/>
          <w:szCs w:val="20"/>
          <w:color w:val="auto"/>
        </w:rPr>
      </w:pPr>
      <w:r>
        <w:rPr>
          <w:rFonts w:ascii="Arial" w:cs="Arial" w:eastAsia="Arial" w:hAnsi="Arial"/>
          <w:sz w:val="19"/>
          <w:szCs w:val="19"/>
          <w:color w:val="auto"/>
        </w:rPr>
        <w:t>the representations and warranties set out in clause 8.1 are correct and in all material respects not misleading in any material respect when the Funding Notice is given and on the Funding Date;</w:t>
      </w:r>
    </w:p>
    <w:p>
      <w:pPr>
        <w:spacing w:after="0" w:line="284"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color w:val="auto"/>
        </w:rPr>
        <w:t>all fees and charges then due and payable in connection with the Facility have been paid (including the Restructure Fee set out in clause 9.1(a)); and</w:t>
      </w:r>
    </w:p>
    <w:p>
      <w:pPr>
        <w:spacing w:after="0" w:line="353" w:lineRule="exact"/>
        <w:rPr>
          <w:sz w:val="20"/>
          <w:szCs w:val="20"/>
          <w:color w:val="auto"/>
        </w:rPr>
      </w:pPr>
    </w:p>
    <w:p>
      <w:pPr>
        <w:ind w:right="320"/>
        <w:spacing w:after="0" w:line="302" w:lineRule="auto"/>
        <w:rPr>
          <w:sz w:val="20"/>
          <w:szCs w:val="20"/>
          <w:color w:val="auto"/>
        </w:rPr>
      </w:pPr>
      <w:r>
        <w:rPr>
          <w:rFonts w:ascii="Arial" w:cs="Arial" w:eastAsia="Arial" w:hAnsi="Arial"/>
          <w:sz w:val="22"/>
          <w:szCs w:val="22"/>
          <w:color w:val="auto"/>
        </w:rPr>
        <w:t>no Event of Default or Potential Event of Default subsists when the Funding Notice is given and on the Funding Date.</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Facility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Subject to clauses 3 and 10.2, the Bank will make available:</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98</w:t>
      </w:r>
    </w:p>
    <w:p>
      <w:pPr>
        <w:sectPr>
          <w:pgSz w:w="11900" w:h="16838" w:orient="portrait"/>
          <w:cols w:equalWidth="0" w:num="1">
            <w:col w:w="9400"/>
          </w:cols>
          <w:pgMar w:left="1260" w:top="1177" w:right="1246" w:bottom="0" w:gutter="0" w:footer="0" w:header="0"/>
          <w:type w:val="continuous"/>
        </w:sectPr>
      </w:pPr>
    </w:p>
    <w:bookmarkStart w:id="203" w:name="page204"/>
    <w:bookmarkEnd w:id="203"/>
    <w:p>
      <w:pPr>
        <w:spacing w:after="0"/>
        <w:rPr>
          <w:sz w:val="20"/>
          <w:szCs w:val="20"/>
          <w:color w:val="auto"/>
        </w:rPr>
      </w:pPr>
      <w:r>
        <w:rPr>
          <w:rFonts w:ascii="Arial" w:cs="Arial" w:eastAsia="Arial" w:hAnsi="Arial"/>
          <w:sz w:val="22"/>
          <w:szCs w:val="22"/>
          <w:color w:val="auto"/>
        </w:rPr>
        <w:t>the revolving Corporate Markets Loan Facility under which it will make Advances; and</w:t>
      </w:r>
    </w:p>
    <w:p>
      <w:pPr>
        <w:spacing w:after="0" w:line="88" w:lineRule="exact"/>
        <w:rPr>
          <w:sz w:val="20"/>
          <w:szCs w:val="20"/>
          <w:color w:val="auto"/>
        </w:rPr>
      </w:pPr>
    </w:p>
    <w:p>
      <w:pPr>
        <w:ind w:right="420"/>
        <w:spacing w:after="0" w:line="302" w:lineRule="auto"/>
        <w:rPr>
          <w:sz w:val="20"/>
          <w:szCs w:val="20"/>
          <w:color w:val="auto"/>
        </w:rPr>
      </w:pPr>
      <w:r>
        <w:rPr>
          <w:rFonts w:ascii="Arial" w:cs="Arial" w:eastAsia="Arial" w:hAnsi="Arial"/>
          <w:sz w:val="22"/>
          <w:szCs w:val="22"/>
          <w:color w:val="auto"/>
        </w:rPr>
        <w:t>the Bank Guarantee Facility under which it will issue Bank Guarantees at the request of the Borrower, in accordance with this document.</w:t>
      </w:r>
    </w:p>
    <w:p>
      <w:pPr>
        <w:spacing w:after="0" w:line="353" w:lineRule="exact"/>
        <w:rPr>
          <w:sz w:val="20"/>
          <w:szCs w:val="20"/>
          <w:color w:val="auto"/>
        </w:rPr>
      </w:pPr>
    </w:p>
    <w:p>
      <w:pPr>
        <w:ind w:right="60"/>
        <w:spacing w:after="0" w:line="307" w:lineRule="auto"/>
        <w:rPr>
          <w:sz w:val="20"/>
          <w:szCs w:val="20"/>
          <w:color w:val="auto"/>
        </w:rPr>
      </w:pPr>
      <w:r>
        <w:rPr>
          <w:rFonts w:ascii="Arial" w:cs="Arial" w:eastAsia="Arial" w:hAnsi="Arial"/>
          <w:sz w:val="22"/>
          <w:szCs w:val="22"/>
          <w:color w:val="auto"/>
        </w:rPr>
        <w:t>The Borrower may request one or more Advances and Drawings in accordance with this clause 4, but so that the Outstanding Accommodation under each Facility does not at any time exceed the relevant Facility Limit.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The Borrower must only use Advances and Drawings under each Facility for the relevant purposes set out in </w:t>
      </w:r>
      <w:r>
        <w:rPr>
          <w:rFonts w:ascii="Arial" w:cs="Arial" w:eastAsia="Arial" w:hAnsi="Arial"/>
          <w:sz w:val="22"/>
          <w:szCs w:val="22"/>
          <w:b w:val="1"/>
          <w:bCs w:val="1"/>
          <w:color w:val="auto"/>
        </w:rPr>
        <w:t>schedule 2</w:t>
      </w:r>
      <w:r>
        <w:rPr>
          <w:rFonts w:ascii="Arial" w:cs="Arial" w:eastAsia="Arial" w:hAnsi="Arial"/>
          <w:sz w:val="22"/>
          <w:szCs w:val="22"/>
          <w:color w:val="auto"/>
        </w:rPr>
        <w:t>, and the Borrower must promptly repay to the Bank all Advances and Drawings not used for these purposes.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Advances and Drawings</w:t>
      </w:r>
    </w:p>
    <w:p>
      <w:pPr>
        <w:spacing w:after="0" w:line="88" w:lineRule="exact"/>
        <w:rPr>
          <w:sz w:val="20"/>
          <w:szCs w:val="20"/>
          <w:color w:val="auto"/>
        </w:rPr>
      </w:pPr>
    </w:p>
    <w:p>
      <w:pPr>
        <w:ind w:right="60"/>
        <w:spacing w:after="0" w:line="356" w:lineRule="auto"/>
        <w:rPr>
          <w:sz w:val="20"/>
          <w:szCs w:val="20"/>
          <w:color w:val="auto"/>
        </w:rPr>
      </w:pPr>
      <w:r>
        <w:rPr>
          <w:rFonts w:ascii="Arial" w:cs="Arial" w:eastAsia="Arial" w:hAnsi="Arial"/>
          <w:sz w:val="20"/>
          <w:szCs w:val="20"/>
          <w:color w:val="auto"/>
        </w:rPr>
        <w:t>The Borrower may request an Advance or a Drawing by giving a Funding Notice to the Bank by 11.00 am at least one clear Business Day before the date the proposed Advance or Drawing is required.</w:t>
      </w:r>
    </w:p>
    <w:p>
      <w:pPr>
        <w:spacing w:after="0" w:line="308" w:lineRule="exact"/>
        <w:rPr>
          <w:sz w:val="20"/>
          <w:szCs w:val="20"/>
          <w:color w:val="auto"/>
        </w:rPr>
      </w:pPr>
    </w:p>
    <w:p>
      <w:pPr>
        <w:jc w:val="both"/>
        <w:ind w:right="140"/>
        <w:spacing w:after="0" w:line="350" w:lineRule="auto"/>
        <w:rPr>
          <w:sz w:val="20"/>
          <w:szCs w:val="20"/>
          <w:color w:val="auto"/>
        </w:rPr>
      </w:pPr>
      <w:r>
        <w:rPr>
          <w:rFonts w:ascii="Arial" w:cs="Arial" w:eastAsia="Arial" w:hAnsi="Arial"/>
          <w:sz w:val="20"/>
          <w:szCs w:val="20"/>
          <w:color w:val="auto"/>
        </w:rPr>
        <w:t>An Advance under the Corporate Markets Loan Facility must not be for an amount which, when added to the Outstanding Accommodation (if any) under that Facility, causes the Facility Limit for that Facility to be exceeded. In determining with an Advance will cause the Facility Limit to be exceeded:</w:t>
      </w:r>
    </w:p>
    <w:p>
      <w:pPr>
        <w:spacing w:after="0" w:line="314" w:lineRule="exact"/>
        <w:rPr>
          <w:sz w:val="20"/>
          <w:szCs w:val="20"/>
          <w:color w:val="auto"/>
        </w:rPr>
      </w:pPr>
    </w:p>
    <w:p>
      <w:pPr>
        <w:ind w:right="980"/>
        <w:spacing w:after="0" w:line="302" w:lineRule="auto"/>
        <w:rPr>
          <w:sz w:val="20"/>
          <w:szCs w:val="20"/>
          <w:color w:val="auto"/>
        </w:rPr>
      </w:pPr>
      <w:r>
        <w:rPr>
          <w:rFonts w:ascii="Arial" w:cs="Arial" w:eastAsia="Arial" w:hAnsi="Arial"/>
          <w:sz w:val="22"/>
          <w:szCs w:val="22"/>
          <w:color w:val="auto"/>
        </w:rPr>
        <w:t>the amount of all Advances repaid on the Funding Date are excluded from the calculation of the Outstanding Accommodation; and</w:t>
      </w:r>
    </w:p>
    <w:p>
      <w:pPr>
        <w:spacing w:after="0" w:line="353" w:lineRule="exact"/>
        <w:rPr>
          <w:sz w:val="20"/>
          <w:szCs w:val="20"/>
          <w:color w:val="auto"/>
        </w:rPr>
      </w:pPr>
    </w:p>
    <w:p>
      <w:pPr>
        <w:ind w:right="400"/>
        <w:spacing w:after="0" w:line="302" w:lineRule="auto"/>
        <w:rPr>
          <w:sz w:val="20"/>
          <w:szCs w:val="20"/>
          <w:color w:val="auto"/>
        </w:rPr>
      </w:pPr>
      <w:r>
        <w:rPr>
          <w:rFonts w:ascii="Arial" w:cs="Arial" w:eastAsia="Arial" w:hAnsi="Arial"/>
          <w:sz w:val="22"/>
          <w:szCs w:val="22"/>
          <w:color w:val="auto"/>
        </w:rPr>
        <w:t>the aggregate amount of all other Advances which the Borrower has requested to be made on the same Funding Date are included in that calculation.</w:t>
      </w:r>
    </w:p>
    <w:p>
      <w:pPr>
        <w:spacing w:after="0" w:line="353" w:lineRule="exact"/>
        <w:rPr>
          <w:sz w:val="20"/>
          <w:szCs w:val="20"/>
          <w:color w:val="auto"/>
        </w:rPr>
      </w:pPr>
    </w:p>
    <w:p>
      <w:pPr>
        <w:ind w:right="360"/>
        <w:spacing w:after="0" w:line="309" w:lineRule="auto"/>
        <w:rPr>
          <w:sz w:val="20"/>
          <w:szCs w:val="20"/>
          <w:color w:val="auto"/>
        </w:rPr>
      </w:pPr>
      <w:r>
        <w:rPr>
          <w:rFonts w:ascii="Arial" w:cs="Arial" w:eastAsia="Arial" w:hAnsi="Arial"/>
          <w:sz w:val="22"/>
          <w:szCs w:val="22"/>
          <w:color w:val="auto"/>
        </w:rPr>
        <w:t>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p>
    <w:p>
      <w:pPr>
        <w:spacing w:after="0" w:line="347" w:lineRule="exact"/>
        <w:rPr>
          <w:sz w:val="20"/>
          <w:szCs w:val="20"/>
          <w:color w:val="auto"/>
        </w:rPr>
      </w:pPr>
    </w:p>
    <w:p>
      <w:pPr>
        <w:ind w:right="460"/>
        <w:spacing w:after="0" w:line="356" w:lineRule="auto"/>
        <w:rPr>
          <w:sz w:val="20"/>
          <w:szCs w:val="20"/>
          <w:color w:val="auto"/>
        </w:rPr>
      </w:pPr>
      <w:r>
        <w:rPr>
          <w:rFonts w:ascii="Arial" w:cs="Arial" w:eastAsia="Arial" w:hAnsi="Arial"/>
          <w:sz w:val="20"/>
          <w:szCs w:val="20"/>
          <w:color w:val="auto"/>
        </w:rPr>
        <w:t>the Face Value of all Bank Guarantees under a Facility which will mature on the Funding Date for the relevant Drawing are excluded from the calculation of the Outstanding Accommodation; and</w:t>
      </w:r>
    </w:p>
    <w:p>
      <w:pPr>
        <w:spacing w:after="0" w:line="308"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the Aggregate Amount of all other Drawings which the Borrower has requested to be made under the same Facility and on the same Funding Date are included in that calculation.</w:t>
      </w: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color w:val="auto"/>
        </w:rPr>
        <w:t>The Bank is only obliged to make Advances or accept any Drawings during the Availability Period.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Notices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Funding Notice must: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be substantially in the form of schedule 7;</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98</w:t>
      </w:r>
    </w:p>
    <w:p>
      <w:pPr>
        <w:sectPr>
          <w:pgSz w:w="11900" w:h="16838" w:orient="portrait"/>
          <w:cols w:equalWidth="0" w:num="1">
            <w:col w:w="9400"/>
          </w:cols>
          <w:pgMar w:left="1260" w:top="1166" w:right="1246" w:bottom="0" w:gutter="0" w:footer="0" w:header="0"/>
          <w:type w:val="continuous"/>
        </w:sectPr>
      </w:pPr>
    </w:p>
    <w:bookmarkStart w:id="204" w:name="page205"/>
    <w:bookmarkEnd w:id="204"/>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 signed by an Authorised Representative of the Borrower;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specify the proposed Funding Date which must be a Business Day during the Availability Period;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specify the Facility under which the proposed Advance is to be made;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specify the amount of the proposed Advance or the Aggregate Amount of the proposed Drawing;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specify the duration of the Pricing Period for each Advance; and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any Drawing, specify whether the Drawing is:</w:t>
      </w:r>
    </w:p>
    <w:p>
      <w:pPr>
        <w:spacing w:after="0" w:line="200" w:lineRule="exact"/>
        <w:rPr>
          <w:sz w:val="20"/>
          <w:szCs w:val="20"/>
          <w:color w:val="auto"/>
        </w:rPr>
      </w:pPr>
    </w:p>
    <w:p>
      <w:pPr>
        <w:spacing w:after="0" w:line="218" w:lineRule="exact"/>
        <w:rPr>
          <w:sz w:val="20"/>
          <w:szCs w:val="20"/>
          <w:color w:val="auto"/>
        </w:rPr>
      </w:pPr>
    </w:p>
    <w:p>
      <w:pPr>
        <w:ind w:left="720" w:right="20"/>
        <w:spacing w:after="0" w:line="307" w:lineRule="auto"/>
        <w:rPr>
          <w:sz w:val="20"/>
          <w:szCs w:val="20"/>
          <w:color w:val="auto"/>
        </w:rPr>
      </w:pPr>
      <w:r>
        <w:rPr>
          <w:rFonts w:ascii="Arial" w:cs="Arial" w:eastAsia="Arial" w:hAnsi="Arial"/>
          <w:sz w:val="22"/>
          <w:szCs w:val="22"/>
          <w:i w:val="1"/>
          <w:iCs w:val="1"/>
          <w:color w:val="auto"/>
        </w:rPr>
        <w:t>to comprise the issue of a new Bank Guarantee, and if so, also specify the date to be shown as the Expiry Date, the person to be named as the Beneficiary and the Face Value of each requested Bank Guarantees; or</w:t>
      </w:r>
    </w:p>
    <w:p>
      <w:pPr>
        <w:spacing w:after="0" w:line="349" w:lineRule="exact"/>
        <w:rPr>
          <w:sz w:val="20"/>
          <w:szCs w:val="20"/>
          <w:color w:val="auto"/>
        </w:rPr>
      </w:pPr>
    </w:p>
    <w:p>
      <w:pPr>
        <w:jc w:val="both"/>
        <w:ind w:left="720" w:right="100"/>
        <w:spacing w:after="0" w:line="350" w:lineRule="auto"/>
        <w:rPr>
          <w:sz w:val="20"/>
          <w:szCs w:val="20"/>
          <w:color w:val="auto"/>
        </w:rPr>
      </w:pPr>
      <w:r>
        <w:rPr>
          <w:rFonts w:ascii="Arial" w:cs="Arial" w:eastAsia="Arial" w:hAnsi="Arial"/>
          <w:sz w:val="20"/>
          <w:szCs w:val="20"/>
          <w:i w:val="1"/>
          <w:iCs w:val="1"/>
          <w:color w:val="auto"/>
        </w:rPr>
        <w:t>deemed to comprise an existing bank guarantee that prior to the date of this document has been issued by the Bank at the request of the Borrower and, if so, specify the date shown as the Expiry Date, the person named as the Beneficiary and the Face Value of that bank guarantee.</w:t>
      </w:r>
    </w:p>
    <w:p>
      <w:pPr>
        <w:spacing w:after="0" w:line="314"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The requirement of a Funding Notice is for the benefit of the Bank. The Bank may waive the requirement at any time and in any manner.</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 Funding Notice is irrevocable from the time of its actual receipt in legible form by the Bank.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Guarantee Facilities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the Bank Guarantee Facility on the Funding Date specified in the Funding Notice:</w:t>
      </w:r>
    </w:p>
    <w:p>
      <w:pPr>
        <w:spacing w:after="0" w:line="200" w:lineRule="exact"/>
        <w:rPr>
          <w:sz w:val="20"/>
          <w:szCs w:val="20"/>
          <w:color w:val="auto"/>
        </w:rPr>
      </w:pPr>
    </w:p>
    <w:p>
      <w:pPr>
        <w:spacing w:after="0" w:line="218" w:lineRule="exact"/>
        <w:rPr>
          <w:sz w:val="20"/>
          <w:szCs w:val="20"/>
          <w:color w:val="auto"/>
        </w:rPr>
      </w:pPr>
    </w:p>
    <w:p>
      <w:pPr>
        <w:ind w:right="140"/>
        <w:spacing w:after="0" w:line="328" w:lineRule="auto"/>
        <w:rPr>
          <w:sz w:val="20"/>
          <w:szCs w:val="20"/>
          <w:color w:val="auto"/>
        </w:rPr>
      </w:pPr>
      <w:r>
        <w:rPr>
          <w:rFonts w:ascii="Arial" w:cs="Arial" w:eastAsia="Arial" w:hAnsi="Arial"/>
          <w:sz w:val="21"/>
          <w:szCs w:val="21"/>
          <w:color w:val="auto"/>
        </w:rPr>
        <w:t>the Bank must for the purposes of a Drawing contemplated under clause 4.4(a)(vii)(A), issue each Bank Guarantee requested in the Funding Notice in accordance with that Funding Notice; or</w:t>
      </w:r>
    </w:p>
    <w:p>
      <w:pPr>
        <w:spacing w:after="0" w:line="330" w:lineRule="exact"/>
        <w:rPr>
          <w:sz w:val="20"/>
          <w:szCs w:val="20"/>
          <w:color w:val="auto"/>
        </w:rPr>
      </w:pPr>
    </w:p>
    <w:p>
      <w:pPr>
        <w:jc w:val="both"/>
        <w:ind w:right="60"/>
        <w:spacing w:after="0" w:line="307" w:lineRule="auto"/>
        <w:rPr>
          <w:sz w:val="20"/>
          <w:szCs w:val="20"/>
          <w:color w:val="auto"/>
        </w:rPr>
      </w:pPr>
      <w:r>
        <w:rPr>
          <w:rFonts w:ascii="Arial" w:cs="Arial" w:eastAsia="Arial" w:hAnsi="Arial"/>
          <w:sz w:val="22"/>
          <w:szCs w:val="22"/>
          <w:color w:val="auto"/>
        </w:rPr>
        <w:t>the parties agree that for the purposes of a Drawing contemplated under clause 4.4(a)(vii)(B), the existing bank guarantee referred to in the Funding Notice is deemed to be a Bank Guarantee issued in accordance with the Bank Guarantee Facility and that Funding Notice.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Cancellation</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 / 98</w:t>
      </w:r>
    </w:p>
    <w:p>
      <w:pPr>
        <w:sectPr>
          <w:pgSz w:w="11900" w:h="16838" w:orient="portrait"/>
          <w:cols w:equalWidth="0" w:num="1">
            <w:col w:w="9340"/>
          </w:cols>
          <w:pgMar w:left="1260" w:top="1440" w:right="1306" w:bottom="0" w:gutter="0" w:footer="0" w:header="0"/>
          <w:type w:val="continuous"/>
        </w:sectPr>
      </w:pPr>
    </w:p>
    <w:bookmarkStart w:id="205" w:name="page206"/>
    <w:bookmarkEnd w:id="205"/>
    <w:p>
      <w:pPr>
        <w:jc w:val="both"/>
        <w:spacing w:after="0" w:line="310" w:lineRule="auto"/>
        <w:rPr>
          <w:sz w:val="20"/>
          <w:szCs w:val="20"/>
          <w:color w:val="auto"/>
        </w:rPr>
      </w:pPr>
      <w:r>
        <w:rPr>
          <w:rFonts w:ascii="Arial" w:cs="Arial" w:eastAsia="Arial" w:hAnsi="Arial"/>
          <w:sz w:val="22"/>
          <w:szCs w:val="22"/>
          <w:color w:val="auto"/>
        </w:rPr>
        <w:t>The Borrower may cancel the Available Commitment or any part of it (being $100,000 or an integral multiple of that amount) by giving 30 Business Days’ notice to the Bank specifying the amount to be cancelled and the date on which the cancellation takes effect. The cancellation takes effect on the date specified in the notice (which must be a date not earlier than five Business Days after the date the Bank receives the notice).</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disruption</w:t>
      </w:r>
    </w:p>
    <w:p>
      <w:pPr>
        <w:spacing w:after="0" w:line="88" w:lineRule="exact"/>
        <w:rPr>
          <w:sz w:val="20"/>
          <w:szCs w:val="20"/>
          <w:color w:val="auto"/>
        </w:rPr>
      </w:pPr>
    </w:p>
    <w:p>
      <w:pPr>
        <w:jc w:val="both"/>
        <w:ind w:right="240"/>
        <w:spacing w:after="0" w:line="307" w:lineRule="auto"/>
        <w:rPr>
          <w:sz w:val="20"/>
          <w:szCs w:val="20"/>
          <w:color w:val="auto"/>
        </w:rPr>
      </w:pPr>
      <w:r>
        <w:rPr>
          <w:rFonts w:ascii="Arial" w:cs="Arial" w:eastAsia="Arial" w:hAnsi="Arial"/>
          <w:sz w:val="22"/>
          <w:szCs w:val="22"/>
          <w:color w:val="auto"/>
        </w:rPr>
        <w:t>If the Bank determines that a Market Disruption Event occurs or has occurred in relation to an Advance, then the Bank will promptly notify the Borrower, and the Interest Rate on that Advance for that Pricing Period will be the rate per annum which is the sum of:</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the Margin for the Advance; and</w:t>
      </w:r>
    </w:p>
    <w:p>
      <w:pPr>
        <w:spacing w:after="0" w:line="200" w:lineRule="exact"/>
        <w:rPr>
          <w:sz w:val="20"/>
          <w:szCs w:val="20"/>
          <w:color w:val="auto"/>
        </w:rPr>
      </w:pPr>
    </w:p>
    <w:p>
      <w:pPr>
        <w:spacing w:after="0" w:line="218" w:lineRule="exact"/>
        <w:rPr>
          <w:sz w:val="20"/>
          <w:szCs w:val="20"/>
          <w:color w:val="auto"/>
        </w:rPr>
      </w:pPr>
    </w:p>
    <w:p>
      <w:pPr>
        <w:ind w:right="160"/>
        <w:spacing w:after="0" w:line="309" w:lineRule="auto"/>
        <w:rPr>
          <w:sz w:val="20"/>
          <w:szCs w:val="20"/>
          <w:color w:val="auto"/>
        </w:rPr>
      </w:pPr>
      <w:r>
        <w:rPr>
          <w:rFonts w:ascii="Arial" w:cs="Arial" w:eastAsia="Arial" w:hAnsi="Arial"/>
          <w:sz w:val="22"/>
          <w:szCs w:val="22"/>
          <w:color w:val="auto"/>
        </w:rPr>
        <w:t>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clause 4.10(a):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Market Disruption Event means:</w:t>
      </w:r>
    </w:p>
    <w:p>
      <w:pPr>
        <w:spacing w:after="0" w:line="200" w:lineRule="exact"/>
        <w:rPr>
          <w:sz w:val="20"/>
          <w:szCs w:val="20"/>
          <w:color w:val="auto"/>
        </w:rPr>
      </w:pPr>
    </w:p>
    <w:p>
      <w:pPr>
        <w:spacing w:after="0" w:line="218" w:lineRule="exact"/>
        <w:rPr>
          <w:sz w:val="20"/>
          <w:szCs w:val="20"/>
          <w:color w:val="auto"/>
        </w:rPr>
      </w:pPr>
    </w:p>
    <w:p>
      <w:pPr>
        <w:jc w:val="both"/>
        <w:ind w:left="720"/>
        <w:spacing w:after="0" w:line="307" w:lineRule="auto"/>
        <w:rPr>
          <w:sz w:val="20"/>
          <w:szCs w:val="20"/>
          <w:color w:val="auto"/>
        </w:rPr>
      </w:pPr>
      <w:r>
        <w:rPr>
          <w:rFonts w:ascii="Arial" w:cs="Arial" w:eastAsia="Arial" w:hAnsi="Arial"/>
          <w:sz w:val="22"/>
          <w:szCs w:val="22"/>
          <w:color w:val="auto"/>
        </w:rPr>
        <w:t>at or about the time on the day (Quotation Day) for the Bank to determine the Screen Rate for the relevant currency and Pricing Period, the Screen Rate is not available and the Bank is unable to specify another page or service displaying an appropriate rate; or</w:t>
      </w:r>
    </w:p>
    <w:p>
      <w:pPr>
        <w:spacing w:after="0" w:line="349" w:lineRule="exact"/>
        <w:rPr>
          <w:sz w:val="20"/>
          <w:szCs w:val="20"/>
          <w:color w:val="auto"/>
        </w:rPr>
      </w:pPr>
    </w:p>
    <w:p>
      <w:pPr>
        <w:jc w:val="both"/>
        <w:ind w:left="720"/>
        <w:spacing w:after="0" w:line="309" w:lineRule="auto"/>
        <w:rPr>
          <w:sz w:val="20"/>
          <w:szCs w:val="20"/>
          <w:color w:val="auto"/>
        </w:rPr>
      </w:pPr>
      <w:r>
        <w:rPr>
          <w:rFonts w:ascii="Arial" w:cs="Arial" w:eastAsia="Arial" w:hAnsi="Arial"/>
          <w:sz w:val="22"/>
          <w:szCs w:val="22"/>
          <w:color w:val="auto"/>
        </w:rPr>
        <w:t>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w:t>
      </w:r>
    </w:p>
    <w:p>
      <w:pPr>
        <w:spacing w:after="0" w:line="347" w:lineRule="exact"/>
        <w:rPr>
          <w:sz w:val="20"/>
          <w:szCs w:val="20"/>
          <w:color w:val="auto"/>
        </w:rPr>
      </w:pPr>
    </w:p>
    <w:p>
      <w:pPr>
        <w:ind w:left="560"/>
        <w:spacing w:after="0"/>
        <w:rPr>
          <w:sz w:val="20"/>
          <w:szCs w:val="20"/>
          <w:color w:val="auto"/>
        </w:rPr>
      </w:pPr>
      <w:r>
        <w:rPr>
          <w:rFonts w:ascii="Arial" w:cs="Arial" w:eastAsia="Arial" w:hAnsi="Arial"/>
          <w:sz w:val="21"/>
          <w:szCs w:val="21"/>
          <w:color w:val="auto"/>
        </w:rPr>
        <w:t xml:space="preserve">Screen Rate </w:t>
      </w:r>
      <w:r>
        <w:rPr>
          <w:rFonts w:ascii="Arial" w:cs="Arial" w:eastAsia="Arial" w:hAnsi="Arial"/>
          <w:sz w:val="21"/>
          <w:szCs w:val="21"/>
          <w:b w:val="1"/>
          <w:bCs w:val="1"/>
          <w:color w:val="auto"/>
        </w:rPr>
        <w:t>means the rate specified in paragraph (a) of the definition of “Base Rate”.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Alternative basis of interest or funding</w:t>
      </w:r>
    </w:p>
    <w:p>
      <w:pPr>
        <w:spacing w:after="0" w:line="88"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If a Market Disruption Event occurs and the Bank or the Borrower so requires, the Bank and the Borrower will enter into negotiations (for a period of not more than 30 days) with a view to agreeing a substitute basis for determining the rate of interest or discount.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Pricing Review Events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Bank has the right to review the pricing applicable to a Facility </w:t>
      </w:r>
      <w:r>
        <w:rPr>
          <w:rFonts w:ascii="Arial" w:cs="Arial" w:eastAsia="Arial" w:hAnsi="Arial"/>
          <w:sz w:val="22"/>
          <w:szCs w:val="22"/>
          <w:b w:val="1"/>
          <w:bCs w:val="1"/>
          <w:color w:val="auto"/>
        </w:rPr>
        <w:t>(Review):</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at any time if the Bank reasonably believes that an Event of Default subsists;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 any time:</w:t>
      </w:r>
    </w:p>
    <w:p>
      <w:pPr>
        <w:spacing w:after="0" w:line="88" w:lineRule="exact"/>
        <w:rPr>
          <w:sz w:val="20"/>
          <w:szCs w:val="20"/>
          <w:color w:val="auto"/>
        </w:rPr>
      </w:pPr>
    </w:p>
    <w:p>
      <w:pPr>
        <w:ind w:left="720" w:right="1060"/>
        <w:spacing w:after="0" w:line="302" w:lineRule="auto"/>
        <w:rPr>
          <w:sz w:val="20"/>
          <w:szCs w:val="20"/>
          <w:color w:val="auto"/>
        </w:rPr>
      </w:pPr>
      <w:r>
        <w:rPr>
          <w:rFonts w:ascii="Arial" w:cs="Arial" w:eastAsia="Arial" w:hAnsi="Arial"/>
          <w:sz w:val="22"/>
          <w:szCs w:val="22"/>
          <w:i w:val="1"/>
          <w:iCs w:val="1"/>
          <w:color w:val="auto"/>
        </w:rPr>
        <w:t>a change occurs in the financial markets which affects financial institutions generally; and/or</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98</w:t>
      </w:r>
    </w:p>
    <w:p>
      <w:pPr>
        <w:sectPr>
          <w:pgSz w:w="11900" w:h="16838" w:orient="portrait"/>
          <w:cols w:equalWidth="0" w:num="1">
            <w:col w:w="9400"/>
          </w:cols>
          <w:pgMar w:left="1260" w:top="1177" w:right="1246" w:bottom="0" w:gutter="0" w:footer="0" w:header="0"/>
          <w:type w:val="continuous"/>
        </w:sectPr>
      </w:pPr>
    </w:p>
    <w:bookmarkStart w:id="206" w:name="page207"/>
    <w:bookmarkEnd w:id="206"/>
    <w:p>
      <w:pPr>
        <w:jc w:val="both"/>
        <w:ind w:left="720" w:right="1020"/>
        <w:spacing w:after="0" w:line="307" w:lineRule="auto"/>
        <w:rPr>
          <w:sz w:val="20"/>
          <w:szCs w:val="20"/>
          <w:color w:val="auto"/>
        </w:rPr>
      </w:pPr>
      <w:r>
        <w:rPr>
          <w:rFonts w:ascii="Arial" w:cs="Arial" w:eastAsia="Arial" w:hAnsi="Arial"/>
          <w:sz w:val="22"/>
          <w:szCs w:val="22"/>
          <w:i w:val="1"/>
          <w:iCs w:val="1"/>
          <w:color w:val="auto"/>
        </w:rPr>
        <w:t>a general change occurs in the cost of funds in the financial markets in which the Bank raises funds (not being a change resulting from a change in the Bank’s credit rating or any other matter relating specifically to the Bank).</w:t>
      </w:r>
    </w:p>
    <w:p>
      <w:pPr>
        <w:spacing w:after="0" w:line="349" w:lineRule="exact"/>
        <w:rPr>
          <w:sz w:val="20"/>
          <w:szCs w:val="20"/>
          <w:color w:val="auto"/>
        </w:rPr>
      </w:pPr>
    </w:p>
    <w:p>
      <w:pPr>
        <w:ind w:right="880"/>
        <w:spacing w:after="0" w:line="344" w:lineRule="auto"/>
        <w:rPr>
          <w:sz w:val="20"/>
          <w:szCs w:val="20"/>
          <w:color w:val="auto"/>
        </w:rPr>
      </w:pPr>
      <w:r>
        <w:rPr>
          <w:rFonts w:ascii="Arial" w:cs="Arial" w:eastAsia="Arial" w:hAnsi="Arial"/>
          <w:sz w:val="20"/>
          <w:szCs w:val="20"/>
          <w:color w:val="auto"/>
        </w:rPr>
        <w:t>The Bank may request the Borrower to provide information in connection with a Review and the Borrower must provide such information as soon as possible following receipt of the request.</w:t>
      </w:r>
    </w:p>
    <w:p>
      <w:pPr>
        <w:spacing w:after="0" w:line="230" w:lineRule="auto"/>
        <w:rPr>
          <w:sz w:val="20"/>
          <w:szCs w:val="20"/>
          <w:color w:val="auto"/>
        </w:rPr>
      </w:pPr>
      <w:r>
        <w:rPr>
          <w:rFonts w:ascii="Arial" w:cs="Arial" w:eastAsia="Arial" w:hAnsi="Arial"/>
          <w:sz w:val="22"/>
          <w:szCs w:val="22"/>
          <w:b w:val="1"/>
          <w:bCs w:val="1"/>
          <w:color w:val="auto"/>
        </w:rPr>
        <w:t>Consequences of a Pricing Review</w:t>
      </w:r>
    </w:p>
    <w:p>
      <w:pPr>
        <w:spacing w:after="0" w:line="88" w:lineRule="exact"/>
        <w:rPr>
          <w:sz w:val="20"/>
          <w:szCs w:val="20"/>
          <w:color w:val="auto"/>
        </w:rPr>
      </w:pPr>
    </w:p>
    <w:p>
      <w:pPr>
        <w:ind w:right="1100"/>
        <w:spacing w:after="0" w:line="302" w:lineRule="auto"/>
        <w:rPr>
          <w:sz w:val="20"/>
          <w:szCs w:val="20"/>
          <w:color w:val="auto"/>
        </w:rPr>
      </w:pPr>
      <w:r>
        <w:rPr>
          <w:rFonts w:ascii="Arial" w:cs="Arial" w:eastAsia="Arial" w:hAnsi="Arial"/>
          <w:sz w:val="22"/>
          <w:szCs w:val="22"/>
          <w:color w:val="auto"/>
        </w:rPr>
        <w:t>Following a Review, the Bank may, by giving written notice to the Borrower and/or by way of advertisement in the local or national press:</w:t>
      </w:r>
    </w:p>
    <w:p>
      <w:pPr>
        <w:spacing w:after="0" w:line="353" w:lineRule="exact"/>
        <w:rPr>
          <w:sz w:val="20"/>
          <w:szCs w:val="20"/>
          <w:color w:val="auto"/>
        </w:rPr>
      </w:pPr>
    </w:p>
    <w:p>
      <w:pPr>
        <w:ind w:right="640"/>
        <w:spacing w:after="0" w:line="302" w:lineRule="auto"/>
        <w:rPr>
          <w:sz w:val="20"/>
          <w:szCs w:val="20"/>
          <w:color w:val="auto"/>
        </w:rPr>
      </w:pPr>
      <w:r>
        <w:rPr>
          <w:rFonts w:ascii="Arial" w:cs="Arial" w:eastAsia="Arial" w:hAnsi="Arial"/>
          <w:sz w:val="22"/>
          <w:szCs w:val="22"/>
          <w:color w:val="auto"/>
        </w:rPr>
        <w:t>introduce a new fee, charge or premium or change an existing fee, charge or premium (including its amount, the way in which it is calculated and when it is charged); and</w:t>
      </w:r>
    </w:p>
    <w:p>
      <w:pPr>
        <w:spacing w:after="0" w:line="353" w:lineRule="exact"/>
        <w:rPr>
          <w:sz w:val="20"/>
          <w:szCs w:val="20"/>
          <w:color w:val="auto"/>
        </w:rPr>
      </w:pPr>
    </w:p>
    <w:p>
      <w:pPr>
        <w:ind w:right="120"/>
        <w:spacing w:after="0" w:line="350" w:lineRule="auto"/>
        <w:rPr>
          <w:sz w:val="20"/>
          <w:szCs w:val="20"/>
          <w:color w:val="auto"/>
        </w:rPr>
      </w:pPr>
      <w:r>
        <w:rPr>
          <w:rFonts w:ascii="Arial" w:cs="Arial" w:eastAsia="Arial" w:hAnsi="Arial"/>
          <w:sz w:val="20"/>
          <w:szCs w:val="20"/>
          <w:color w:val="auto"/>
        </w:rPr>
        <w:t>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w:t>
      </w:r>
    </w:p>
    <w:p>
      <w:pPr>
        <w:spacing w:after="0" w:line="314" w:lineRule="exact"/>
        <w:rPr>
          <w:sz w:val="20"/>
          <w:szCs w:val="20"/>
          <w:color w:val="auto"/>
        </w:rPr>
      </w:pPr>
    </w:p>
    <w:p>
      <w:pPr>
        <w:ind w:right="300"/>
        <w:spacing w:after="0" w:line="309" w:lineRule="auto"/>
        <w:rPr>
          <w:sz w:val="20"/>
          <w:szCs w:val="20"/>
          <w:color w:val="auto"/>
        </w:rPr>
      </w:pPr>
      <w:r>
        <w:rPr>
          <w:rFonts w:ascii="Arial" w:cs="Arial" w:eastAsia="Arial" w:hAnsi="Arial"/>
          <w:sz w:val="22"/>
          <w:szCs w:val="22"/>
          <w:color w:val="auto"/>
        </w:rPr>
        <w:t>Where the Bank gives the Borrower notice under clause 4.10(a) by way of advertisement in the local or national press, the Bank will also endeavour to directly notify the Borrower of the change although the Bank will not be precluded from charging the new or adjusted pricing if it does not directly notify the Borrower.</w:t>
      </w:r>
    </w:p>
    <w:p>
      <w:pPr>
        <w:spacing w:after="0" w:line="347" w:lineRule="exact"/>
        <w:rPr>
          <w:sz w:val="20"/>
          <w:szCs w:val="20"/>
          <w:color w:val="auto"/>
        </w:rPr>
      </w:pPr>
    </w:p>
    <w:p>
      <w:pPr>
        <w:ind w:right="60"/>
        <w:spacing w:after="0" w:line="307" w:lineRule="auto"/>
        <w:rPr>
          <w:sz w:val="20"/>
          <w:szCs w:val="20"/>
          <w:color w:val="auto"/>
        </w:rPr>
      </w:pPr>
      <w:r>
        <w:rPr>
          <w:rFonts w:ascii="Arial" w:cs="Arial" w:eastAsia="Arial" w:hAnsi="Arial"/>
          <w:sz w:val="22"/>
          <w:szCs w:val="22"/>
          <w:color w:val="auto"/>
        </w:rPr>
        <w:t>An introduction or change of a matter specified in clause 4.10(a) takes effect on the date specified in the relevant notice to the Borrower (which must be at least 30 days after the date on which the notice is given to the Borrower).</w:t>
      </w:r>
    </w:p>
    <w:p>
      <w:pPr>
        <w:spacing w:after="0" w:line="3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Payments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prepayments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In relation to any Advance, the Borrower:</w:t>
      </w:r>
    </w:p>
    <w:p>
      <w:pPr>
        <w:spacing w:after="0" w:line="200" w:lineRule="exact"/>
        <w:rPr>
          <w:sz w:val="20"/>
          <w:szCs w:val="20"/>
          <w:color w:val="auto"/>
        </w:rPr>
      </w:pPr>
    </w:p>
    <w:p>
      <w:pPr>
        <w:spacing w:after="0" w:line="218" w:lineRule="exact"/>
        <w:rPr>
          <w:sz w:val="20"/>
          <w:szCs w:val="20"/>
          <w:color w:val="auto"/>
        </w:rPr>
      </w:pPr>
    </w:p>
    <w:p>
      <w:pPr>
        <w:ind w:right="220"/>
        <w:spacing w:after="0" w:line="307" w:lineRule="auto"/>
        <w:rPr>
          <w:sz w:val="20"/>
          <w:szCs w:val="20"/>
          <w:color w:val="auto"/>
        </w:rPr>
      </w:pPr>
      <w:r>
        <w:rPr>
          <w:rFonts w:ascii="Arial" w:cs="Arial" w:eastAsia="Arial" w:hAnsi="Arial"/>
          <w:sz w:val="22"/>
          <w:szCs w:val="22"/>
          <w:color w:val="auto"/>
        </w:rPr>
        <w:t>may prepay any Advance or a part of it (being a minimum of $100,000 or an integral multiple of that amount) by giving 5 Business Days’ notice to the Bank specifying the amount to be prepaid and the date on which the prepayment will be made;</w:t>
      </w:r>
    </w:p>
    <w:p>
      <w:pPr>
        <w:spacing w:after="0" w:line="349" w:lineRule="exact"/>
        <w:rPr>
          <w:sz w:val="20"/>
          <w:szCs w:val="20"/>
          <w:color w:val="auto"/>
        </w:rPr>
      </w:pPr>
    </w:p>
    <w:p>
      <w:pPr>
        <w:ind w:right="220"/>
        <w:spacing w:after="0" w:line="302" w:lineRule="auto"/>
        <w:rPr>
          <w:sz w:val="20"/>
          <w:szCs w:val="20"/>
          <w:color w:val="auto"/>
        </w:rPr>
      </w:pPr>
      <w:r>
        <w:rPr>
          <w:rFonts w:ascii="Arial" w:cs="Arial" w:eastAsia="Arial" w:hAnsi="Arial"/>
          <w:sz w:val="22"/>
          <w:szCs w:val="22"/>
          <w:color w:val="auto"/>
        </w:rPr>
        <w:t>may, subject to clauses 4.3 and 5.6, redraw any amount prepaid in accordance with this clause 5.2 which forms part of the Revolving Tranche; and</w:t>
      </w:r>
    </w:p>
    <w:p>
      <w:pPr>
        <w:spacing w:after="0" w:line="353"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must make any prepayment under this document together with accrued interest on the amount prepaid, any fees payable under clause 9.1 and any Break Costs, but otherwise without premium or penalty.</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The Borrower may reimburse or repay the Face Value in respect of any Current Bank Guarantee by:</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98</w:t>
      </w:r>
    </w:p>
    <w:p>
      <w:pPr>
        <w:sectPr>
          <w:pgSz w:w="11900" w:h="16838" w:orient="portrait"/>
          <w:cols w:equalWidth="0" w:num="1">
            <w:col w:w="9400"/>
          </w:cols>
          <w:pgMar w:left="1260" w:top="1177" w:right="1246" w:bottom="0" w:gutter="0" w:footer="0" w:header="0"/>
          <w:type w:val="continuous"/>
        </w:sectPr>
      </w:pPr>
    </w:p>
    <w:bookmarkStart w:id="207" w:name="page208"/>
    <w:bookmarkEnd w:id="207"/>
    <w:p>
      <w:pPr>
        <w:ind w:right="140"/>
        <w:spacing w:after="0" w:line="302" w:lineRule="auto"/>
        <w:rPr>
          <w:sz w:val="20"/>
          <w:szCs w:val="20"/>
          <w:color w:val="auto"/>
        </w:rPr>
      </w:pPr>
      <w:r>
        <w:rPr>
          <w:rFonts w:ascii="Arial" w:cs="Arial" w:eastAsia="Arial" w:hAnsi="Arial"/>
          <w:sz w:val="22"/>
          <w:szCs w:val="22"/>
          <w:color w:val="auto"/>
        </w:rPr>
        <w:t>providing to the Bank, cash collateral (on terms satisfactory to the Bank and subject to clause 10.3) in an amount not less than the Face Value of the Bank Guarantee; or</w:t>
      </w:r>
    </w:p>
    <w:p>
      <w:pPr>
        <w:spacing w:after="0" w:line="353" w:lineRule="exact"/>
        <w:rPr>
          <w:sz w:val="20"/>
          <w:szCs w:val="20"/>
          <w:color w:val="auto"/>
        </w:rPr>
      </w:pPr>
    </w:p>
    <w:p>
      <w:pPr>
        <w:ind w:right="220"/>
        <w:spacing w:after="0" w:line="328" w:lineRule="auto"/>
        <w:rPr>
          <w:sz w:val="20"/>
          <w:szCs w:val="20"/>
          <w:color w:val="auto"/>
        </w:rPr>
      </w:pPr>
      <w:r>
        <w:rPr>
          <w:rFonts w:ascii="Arial" w:cs="Arial" w:eastAsia="Arial" w:hAnsi="Arial"/>
          <w:sz w:val="21"/>
          <w:szCs w:val="21"/>
          <w:color w:val="auto"/>
        </w:rPr>
        <w:t>cancelling that Bank Guarantee by returning the original to the Bank together with written confirmation from the Beneficiary that the Bank has no further liability under that Bank Guarantee.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Indemnity in respect of Bank Guarantees</w:t>
      </w:r>
    </w:p>
    <w:p>
      <w:pPr>
        <w:spacing w:after="0" w:line="88" w:lineRule="exact"/>
        <w:rPr>
          <w:sz w:val="20"/>
          <w:szCs w:val="20"/>
          <w:color w:val="auto"/>
        </w:rPr>
      </w:pPr>
    </w:p>
    <w:p>
      <w:pPr>
        <w:ind w:right="60"/>
        <w:spacing w:after="0" w:line="309" w:lineRule="auto"/>
        <w:rPr>
          <w:sz w:val="20"/>
          <w:szCs w:val="20"/>
          <w:color w:val="auto"/>
        </w:rPr>
      </w:pPr>
      <w:r>
        <w:rPr>
          <w:rFonts w:ascii="Arial" w:cs="Arial" w:eastAsia="Arial" w:hAnsi="Arial"/>
          <w:sz w:val="22"/>
          <w:szCs w:val="22"/>
          <w:color w:val="auto"/>
        </w:rPr>
        <w:t>Without limiting clause 12.1,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w:t>
      </w:r>
    </w:p>
    <w:p>
      <w:pPr>
        <w:spacing w:after="0" w:line="347" w:lineRule="exact"/>
        <w:rPr>
          <w:sz w:val="20"/>
          <w:szCs w:val="20"/>
          <w:color w:val="auto"/>
        </w:rPr>
      </w:pPr>
    </w:p>
    <w:p>
      <w:pPr>
        <w:jc w:val="both"/>
        <w:ind w:right="120"/>
        <w:spacing w:after="0" w:line="309" w:lineRule="auto"/>
        <w:rPr>
          <w:sz w:val="20"/>
          <w:szCs w:val="20"/>
          <w:color w:val="auto"/>
        </w:rPr>
      </w:pPr>
      <w:r>
        <w:rPr>
          <w:rFonts w:ascii="Arial" w:cs="Arial" w:eastAsia="Arial" w:hAnsi="Arial"/>
          <w:sz w:val="22"/>
          <w:szCs w:val="22"/>
          <w:color w:val="auto"/>
        </w:rPr>
        <w:t>Without limiting clause 5.3(a), the Borrower must pay to the Bank all amounts claimed by or paid to any Beneficiary in relation to any Bank Guarantee (whether or not the Beneficiary was entitled to make that claim or the Bank was required to make that payment), including any payment made by the Bank under clause 10.2(a)(iv)(B).</w:t>
      </w:r>
    </w:p>
    <w:p>
      <w:pPr>
        <w:spacing w:after="0" w:line="347" w:lineRule="exact"/>
        <w:rPr>
          <w:sz w:val="20"/>
          <w:szCs w:val="20"/>
          <w:color w:val="auto"/>
        </w:rPr>
      </w:pPr>
    </w:p>
    <w:p>
      <w:pPr>
        <w:spacing w:after="0" w:line="307" w:lineRule="auto"/>
        <w:rPr>
          <w:sz w:val="20"/>
          <w:szCs w:val="20"/>
          <w:color w:val="auto"/>
        </w:rPr>
      </w:pPr>
      <w:r>
        <w:rPr>
          <w:rFonts w:ascii="Arial" w:cs="Arial" w:eastAsia="Arial" w:hAnsi="Arial"/>
          <w:sz w:val="22"/>
          <w:szCs w:val="22"/>
          <w:color w:val="auto"/>
        </w:rPr>
        <w:t>The Borrower’s obligations under clause 5.4 are absolute and unconditional. They are not affected by any reduction, termination or other impairment by set-off, deduction, abatement, counterclaim, agreement, defence, suspension, deferment or otherwise.</w:t>
      </w:r>
    </w:p>
    <w:p>
      <w:pPr>
        <w:spacing w:after="0" w:line="349" w:lineRule="exact"/>
        <w:rPr>
          <w:sz w:val="20"/>
          <w:szCs w:val="20"/>
          <w:color w:val="auto"/>
        </w:rPr>
      </w:pPr>
    </w:p>
    <w:p>
      <w:pPr>
        <w:ind w:right="280"/>
        <w:spacing w:after="0" w:line="302" w:lineRule="auto"/>
        <w:rPr>
          <w:sz w:val="20"/>
          <w:szCs w:val="20"/>
          <w:color w:val="auto"/>
        </w:rPr>
      </w:pPr>
      <w:r>
        <w:rPr>
          <w:rFonts w:ascii="Arial" w:cs="Arial" w:eastAsia="Arial" w:hAnsi="Arial"/>
          <w:sz w:val="22"/>
          <w:szCs w:val="22"/>
          <w:color w:val="auto"/>
        </w:rPr>
        <w:t>The Borrower is not released, relieved or discharged from any obligation under this document, nor will such obligation be prejudiced or affected for any reason, including:</w:t>
      </w:r>
    </w:p>
    <w:p>
      <w:pPr>
        <w:spacing w:after="0" w:line="353" w:lineRule="exact"/>
        <w:rPr>
          <w:sz w:val="20"/>
          <w:szCs w:val="20"/>
          <w:color w:val="auto"/>
        </w:rPr>
      </w:pPr>
    </w:p>
    <w:p>
      <w:pPr>
        <w:ind w:right="360"/>
        <w:spacing w:after="0" w:line="328" w:lineRule="auto"/>
        <w:rPr>
          <w:sz w:val="20"/>
          <w:szCs w:val="20"/>
          <w:color w:val="auto"/>
        </w:rPr>
      </w:pPr>
      <w:r>
        <w:rPr>
          <w:rFonts w:ascii="Arial" w:cs="Arial" w:eastAsia="Arial" w:hAnsi="Arial"/>
          <w:sz w:val="21"/>
          <w:szCs w:val="21"/>
          <w:color w:val="auto"/>
        </w:rPr>
        <w:t>any falsity, inaccuracy, insufficiency or forgery of or in any demand, certificate or declaration or other document which on its face purports to be signed or authorised under a Bank Guarantee;</w:t>
      </w:r>
    </w:p>
    <w:p>
      <w:pPr>
        <w:spacing w:after="0" w:line="330" w:lineRule="exact"/>
        <w:rPr>
          <w:sz w:val="20"/>
          <w:szCs w:val="20"/>
          <w:color w:val="auto"/>
        </w:rPr>
      </w:pPr>
    </w:p>
    <w:p>
      <w:pPr>
        <w:ind w:right="100"/>
        <w:spacing w:after="0" w:line="307" w:lineRule="auto"/>
        <w:rPr>
          <w:sz w:val="20"/>
          <w:szCs w:val="20"/>
          <w:color w:val="auto"/>
        </w:rPr>
      </w:pPr>
      <w:r>
        <w:rPr>
          <w:rFonts w:ascii="Arial" w:cs="Arial" w:eastAsia="Arial" w:hAnsi="Arial"/>
          <w:sz w:val="22"/>
          <w:szCs w:val="22"/>
          <w:color w:val="auto"/>
        </w:rPr>
        <w:t>any failure by the Bank to enquire whether a cable, telex or other notification was inaccurately transmitted, received or given by an unauthorised person (other than where such failure occurs due to the wilful default or fraud of the Bank);</w:t>
      </w:r>
    </w:p>
    <w:p>
      <w:pPr>
        <w:spacing w:after="0" w:line="349" w:lineRule="exact"/>
        <w:rPr>
          <w:sz w:val="20"/>
          <w:szCs w:val="20"/>
          <w:color w:val="auto"/>
        </w:rPr>
      </w:pPr>
    </w:p>
    <w:p>
      <w:pPr>
        <w:ind w:right="780"/>
        <w:spacing w:after="0" w:line="302" w:lineRule="auto"/>
        <w:rPr>
          <w:sz w:val="20"/>
          <w:szCs w:val="20"/>
          <w:color w:val="auto"/>
        </w:rPr>
      </w:pPr>
      <w:r>
        <w:rPr>
          <w:rFonts w:ascii="Arial" w:cs="Arial" w:eastAsia="Arial" w:hAnsi="Arial"/>
          <w:sz w:val="22"/>
          <w:szCs w:val="22"/>
          <w:color w:val="auto"/>
        </w:rPr>
        <w:t>the impossibility or illegality of performance of, or any invalidity of or affecting, any Transaction Document or Bank Guarantee or any other document;</w:t>
      </w:r>
    </w:p>
    <w:p>
      <w:pPr>
        <w:spacing w:after="0" w:line="353"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any act of any Government Body or arbitrator including any law, judgment, decree or order at any time in effect in any jurisdiction affecting any Transaction Document or Bank Guarantee or any document delivered under a Transaction Document;</w:t>
      </w:r>
    </w:p>
    <w:p>
      <w:pPr>
        <w:spacing w:after="0" w:line="349" w:lineRule="exact"/>
        <w:rPr>
          <w:sz w:val="20"/>
          <w:szCs w:val="20"/>
          <w:color w:val="auto"/>
        </w:rPr>
      </w:pPr>
    </w:p>
    <w:p>
      <w:pPr>
        <w:ind w:right="100"/>
        <w:spacing w:after="0" w:line="302" w:lineRule="auto"/>
        <w:rPr>
          <w:sz w:val="20"/>
          <w:szCs w:val="20"/>
          <w:color w:val="auto"/>
        </w:rPr>
      </w:pPr>
      <w:r>
        <w:rPr>
          <w:rFonts w:ascii="Arial" w:cs="Arial" w:eastAsia="Arial" w:hAnsi="Arial"/>
          <w:sz w:val="22"/>
          <w:szCs w:val="22"/>
          <w:color w:val="auto"/>
        </w:rPr>
        <w:t>any failure to obtain any consent, license or other authorisation necessary or desirable in connection with any Transaction Document or any Bank Guarantee; or</w:t>
      </w:r>
    </w:p>
    <w:p>
      <w:pPr>
        <w:spacing w:after="0" w:line="353"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any other cause or circumstance, foreseen or unforeseen, whether or not similar to any of the above, affecting any Transaction Document or Bank Guarantee or any transaction under a Transaction Document or Bank Guarantee,</w:t>
      </w:r>
    </w:p>
    <w:p>
      <w:pPr>
        <w:sectPr>
          <w:pgSz w:w="11900" w:h="16838" w:orient="portrait"/>
          <w:cols w:equalWidth="0" w:num="1">
            <w:col w:w="9340"/>
          </w:cols>
          <w:pgMar w:left="1260" w:top="1177" w:right="130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98</w:t>
      </w:r>
    </w:p>
    <w:p>
      <w:pPr>
        <w:sectPr>
          <w:pgSz w:w="11900" w:h="16838" w:orient="portrait"/>
          <w:cols w:equalWidth="0" w:num="1">
            <w:col w:w="9340"/>
          </w:cols>
          <w:pgMar w:left="1260" w:top="1177" w:right="1306" w:bottom="0" w:gutter="0" w:footer="0" w:header="0"/>
          <w:type w:val="continuous"/>
        </w:sectPr>
      </w:pPr>
    </w:p>
    <w:bookmarkStart w:id="208" w:name="page209"/>
    <w:bookmarkEnd w:id="208"/>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the Bank need not inquire into any of these matters.</w:t>
      </w:r>
    </w:p>
    <w:p>
      <w:pPr>
        <w:spacing w:after="0" w:line="200" w:lineRule="exact"/>
        <w:rPr>
          <w:sz w:val="20"/>
          <w:szCs w:val="20"/>
          <w:color w:val="auto"/>
        </w:rPr>
      </w:pPr>
    </w:p>
    <w:p>
      <w:pPr>
        <w:spacing w:after="0" w:line="218" w:lineRule="exact"/>
        <w:rPr>
          <w:sz w:val="20"/>
          <w:szCs w:val="20"/>
          <w:color w:val="auto"/>
        </w:rPr>
      </w:pPr>
    </w:p>
    <w:p>
      <w:pPr>
        <w:ind w:right="260"/>
        <w:spacing w:after="0" w:line="310" w:lineRule="auto"/>
        <w:rPr>
          <w:sz w:val="20"/>
          <w:szCs w:val="20"/>
          <w:color w:val="auto"/>
        </w:rPr>
      </w:pPr>
      <w:r>
        <w:rPr>
          <w:rFonts w:ascii="Arial" w:cs="Arial" w:eastAsia="Arial" w:hAnsi="Arial"/>
          <w:sz w:val="22"/>
          <w:szCs w:val="22"/>
          <w:color w:val="auto"/>
        </w:rPr>
        <w:t>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w:t>
      </w:r>
    </w:p>
    <w:p>
      <w:pPr>
        <w:spacing w:after="0" w:line="346" w:lineRule="exact"/>
        <w:rPr>
          <w:sz w:val="20"/>
          <w:szCs w:val="20"/>
          <w:color w:val="auto"/>
        </w:rPr>
      </w:pPr>
    </w:p>
    <w:p>
      <w:pPr>
        <w:spacing w:after="0" w:line="310" w:lineRule="auto"/>
        <w:rPr>
          <w:sz w:val="20"/>
          <w:szCs w:val="20"/>
          <w:color w:val="auto"/>
        </w:rPr>
      </w:pPr>
      <w:r>
        <w:rPr>
          <w:rFonts w:ascii="Arial" w:cs="Arial" w:eastAsia="Arial" w:hAnsi="Arial"/>
          <w:sz w:val="22"/>
          <w:szCs w:val="22"/>
          <w:color w:val="auto"/>
        </w:rPr>
        <w:t>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prepayments</w:t>
      </w:r>
    </w:p>
    <w:p>
      <w:pPr>
        <w:spacing w:after="0" w:line="88" w:lineRule="exact"/>
        <w:rPr>
          <w:sz w:val="20"/>
          <w:szCs w:val="20"/>
          <w:color w:val="auto"/>
        </w:rPr>
      </w:pPr>
    </w:p>
    <w:p>
      <w:pPr>
        <w:spacing w:after="0" w:line="311" w:lineRule="auto"/>
        <w:rPr>
          <w:sz w:val="20"/>
          <w:szCs w:val="20"/>
          <w:color w:val="auto"/>
        </w:rPr>
      </w:pPr>
      <w:r>
        <w:rPr>
          <w:rFonts w:ascii="Arial" w:cs="Arial" w:eastAsia="Arial" w:hAnsi="Arial"/>
          <w:sz w:val="22"/>
          <w:szCs w:val="22"/>
          <w:color w:val="auto"/>
        </w:rPr>
        <w:t>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 .</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Repayment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Subject to clause 10.2 and clause 10.3, each Borrower must: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pay instalments, in permanent reduction of the Outstanding Accommodation and the Facility Limit for the</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Corporate Markets Loan Facility, of:</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$500,000 on the last Business Day of the Quarter ending on 31 December 2025;</w:t>
      </w:r>
    </w:p>
    <w:p>
      <w:pPr>
        <w:spacing w:after="0" w:line="200" w:lineRule="exact"/>
        <w:rPr>
          <w:sz w:val="20"/>
          <w:szCs w:val="20"/>
          <w:color w:val="auto"/>
        </w:rPr>
      </w:pPr>
    </w:p>
    <w:p>
      <w:pPr>
        <w:spacing w:after="0" w:line="218" w:lineRule="exact"/>
        <w:rPr>
          <w:sz w:val="20"/>
          <w:szCs w:val="20"/>
          <w:color w:val="auto"/>
        </w:rPr>
      </w:pPr>
    </w:p>
    <w:p>
      <w:pPr>
        <w:ind w:right="120"/>
        <w:spacing w:after="0" w:line="302" w:lineRule="auto"/>
        <w:rPr>
          <w:sz w:val="20"/>
          <w:szCs w:val="20"/>
          <w:color w:val="auto"/>
        </w:rPr>
      </w:pPr>
      <w:r>
        <w:rPr>
          <w:rFonts w:ascii="Arial" w:cs="Arial" w:eastAsia="Arial" w:hAnsi="Arial"/>
          <w:sz w:val="22"/>
          <w:szCs w:val="22"/>
          <w:color w:val="auto"/>
        </w:rPr>
        <w:t>$1,700,000 on the last Business Day of each of the Quarters ending on 31 March 2026 and 30 June 2026; and</w:t>
      </w:r>
    </w:p>
    <w:p>
      <w:pPr>
        <w:spacing w:after="0" w:line="353" w:lineRule="exact"/>
        <w:rPr>
          <w:sz w:val="20"/>
          <w:szCs w:val="20"/>
          <w:color w:val="auto"/>
        </w:rPr>
      </w:pPr>
    </w:p>
    <w:p>
      <w:pPr>
        <w:ind w:right="200"/>
        <w:spacing w:after="0" w:line="302" w:lineRule="auto"/>
        <w:rPr>
          <w:sz w:val="20"/>
          <w:szCs w:val="20"/>
          <w:color w:val="auto"/>
        </w:rPr>
      </w:pPr>
      <w:r>
        <w:rPr>
          <w:rFonts w:ascii="Arial" w:cs="Arial" w:eastAsia="Arial" w:hAnsi="Arial"/>
          <w:sz w:val="22"/>
          <w:szCs w:val="22"/>
          <w:color w:val="auto"/>
        </w:rPr>
        <w:t>$1,100,000 on the last Business Day of each Quarter thereafter until the Outstanding Accommodation in respect of the Corporate Markets Loan Facility is $80,000,000.</w:t>
      </w:r>
    </w:p>
    <w:p>
      <w:pPr>
        <w:spacing w:after="0" w:line="353" w:lineRule="exact"/>
        <w:rPr>
          <w:sz w:val="20"/>
          <w:szCs w:val="20"/>
          <w:color w:val="auto"/>
        </w:rPr>
      </w:pPr>
    </w:p>
    <w:p>
      <w:pPr>
        <w:ind w:right="260"/>
        <w:spacing w:after="0" w:line="302" w:lineRule="auto"/>
        <w:rPr>
          <w:sz w:val="20"/>
          <w:szCs w:val="20"/>
          <w:color w:val="auto"/>
        </w:rPr>
      </w:pPr>
      <w:r>
        <w:rPr>
          <w:rFonts w:ascii="Arial" w:cs="Arial" w:eastAsia="Arial" w:hAnsi="Arial"/>
          <w:sz w:val="22"/>
          <w:szCs w:val="22"/>
          <w:color w:val="auto"/>
        </w:rPr>
        <w:t>repay the Outstanding Accommodation in respect of each Facility on the Termination Date in respect of that Facility; and</w:t>
      </w:r>
    </w:p>
    <w:p>
      <w:pPr>
        <w:spacing w:after="0" w:line="353" w:lineRule="exact"/>
        <w:rPr>
          <w:sz w:val="20"/>
          <w:szCs w:val="20"/>
          <w:color w:val="auto"/>
        </w:rPr>
      </w:pPr>
    </w:p>
    <w:p>
      <w:pPr>
        <w:ind w:right="60"/>
        <w:spacing w:after="0" w:line="356" w:lineRule="auto"/>
        <w:rPr>
          <w:sz w:val="20"/>
          <w:szCs w:val="20"/>
          <w:color w:val="auto"/>
        </w:rPr>
      </w:pPr>
      <w:r>
        <w:rPr>
          <w:rFonts w:ascii="Arial" w:cs="Arial" w:eastAsia="Arial" w:hAnsi="Arial"/>
          <w:sz w:val="20"/>
          <w:szCs w:val="20"/>
          <w:color w:val="auto"/>
        </w:rPr>
        <w:t>subject to clause 5.8, and any other provision in a Transaction Document that provides otherwise, pay any other amounts payable in connection with the Transaction Documents, to the Bank on demand.</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Release of Waurn Ponds Property on Waurn Ponds Property Release Date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98</w:t>
      </w:r>
    </w:p>
    <w:p>
      <w:pPr>
        <w:sectPr>
          <w:pgSz w:w="11900" w:h="16838" w:orient="portrait"/>
          <w:cols w:equalWidth="0" w:num="1">
            <w:col w:w="9380"/>
          </w:cols>
          <w:pgMar w:left="1260" w:top="1440" w:right="1266" w:bottom="0" w:gutter="0" w:footer="0" w:header="0"/>
          <w:type w:val="continuous"/>
        </w:sectPr>
      </w:pPr>
    </w:p>
    <w:bookmarkStart w:id="209" w:name="page210"/>
    <w:bookmarkEnd w:id="209"/>
    <w:p>
      <w:pPr>
        <w:ind w:right="200"/>
        <w:spacing w:after="0" w:line="328" w:lineRule="auto"/>
        <w:rPr>
          <w:sz w:val="20"/>
          <w:szCs w:val="20"/>
          <w:color w:val="auto"/>
        </w:rPr>
      </w:pPr>
      <w:r>
        <w:rPr>
          <w:rFonts w:ascii="Arial" w:cs="Arial" w:eastAsia="Arial" w:hAnsi="Arial"/>
          <w:sz w:val="21"/>
          <w:szCs w:val="21"/>
          <w:color w:val="auto"/>
        </w:rPr>
        <w:t>On the Waurn Ponds Property Release Date, the Bank releases and discharges the registered caveat AJ188641H with respect to the leasehold mortgage over the Waurn Ponds Property dated 12 September 2011 granted by Reading Cinemas Pty Ltd, in favour of the Bank.</w:t>
      </w:r>
    </w:p>
    <w:p>
      <w:pPr>
        <w:spacing w:after="0" w:line="330" w:lineRule="exact"/>
        <w:rPr>
          <w:sz w:val="20"/>
          <w:szCs w:val="20"/>
          <w:color w:val="auto"/>
        </w:rPr>
      </w:pPr>
    </w:p>
    <w:p>
      <w:pPr>
        <w:ind w:right="620"/>
        <w:spacing w:after="0" w:line="350" w:lineRule="auto"/>
        <w:rPr>
          <w:sz w:val="20"/>
          <w:szCs w:val="20"/>
          <w:color w:val="auto"/>
        </w:rPr>
      </w:pPr>
      <w:r>
        <w:rPr>
          <w:rFonts w:ascii="Arial" w:cs="Arial" w:eastAsia="Arial" w:hAnsi="Arial"/>
          <w:sz w:val="20"/>
          <w:szCs w:val="20"/>
          <w:color w:val="auto"/>
        </w:rPr>
        <w:t>Subject to this clause 5.8, each Transaction Party acknowledges and agrees that nothing else in this document or any other Transaction Document terminates, releases or otherwise affects any other Collateral Security granted by a Transaction Party under a Transaction Document.</w:t>
      </w: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Interest and fees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Pricing Periods</w:t>
      </w:r>
    </w:p>
    <w:p>
      <w:pPr>
        <w:spacing w:after="0" w:line="88" w:lineRule="exact"/>
        <w:rPr>
          <w:sz w:val="20"/>
          <w:szCs w:val="20"/>
          <w:color w:val="auto"/>
        </w:rPr>
      </w:pPr>
    </w:p>
    <w:p>
      <w:pPr>
        <w:ind w:right="80"/>
        <w:spacing w:after="0" w:line="302" w:lineRule="auto"/>
        <w:rPr>
          <w:sz w:val="20"/>
          <w:szCs w:val="20"/>
          <w:color w:val="auto"/>
        </w:rPr>
      </w:pPr>
      <w:r>
        <w:rPr>
          <w:rFonts w:ascii="Arial" w:cs="Arial" w:eastAsia="Arial" w:hAnsi="Arial"/>
          <w:sz w:val="22"/>
          <w:szCs w:val="22"/>
          <w:color w:val="auto"/>
        </w:rPr>
        <w:t>Subject to clause 6.1(c), the Pricing Period for each Advance must be a period of 30, 60 or 90 days or six Months or another period agreed by the Bank.</w:t>
      </w:r>
    </w:p>
    <w:p>
      <w:pPr>
        <w:spacing w:after="0" w:line="353" w:lineRule="exact"/>
        <w:rPr>
          <w:sz w:val="20"/>
          <w:szCs w:val="20"/>
          <w:color w:val="auto"/>
        </w:rPr>
      </w:pPr>
    </w:p>
    <w:p>
      <w:pPr>
        <w:ind w:right="100"/>
        <w:spacing w:after="0" w:line="307" w:lineRule="auto"/>
        <w:rPr>
          <w:sz w:val="20"/>
          <w:szCs w:val="20"/>
          <w:color w:val="auto"/>
        </w:rPr>
      </w:pPr>
      <w:r>
        <w:rPr>
          <w:rFonts w:ascii="Arial" w:cs="Arial" w:eastAsia="Arial" w:hAnsi="Arial"/>
          <w:sz w:val="22"/>
          <w:szCs w:val="22"/>
          <w:color w:val="auto"/>
        </w:rPr>
        <w:t>Subject to clause 6.1(c), the first Pricing Period for an Advance commences on its Funding Date and will have the duration specified in the relevant Funding Notice. Each subsequent Pricing Period for the Advance: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commences on the day after the preceding Pricing Period for the Advance expires; and</w:t>
      </w:r>
    </w:p>
    <w:p>
      <w:pPr>
        <w:spacing w:after="0" w:line="200" w:lineRule="exact"/>
        <w:rPr>
          <w:sz w:val="20"/>
          <w:szCs w:val="20"/>
          <w:color w:val="auto"/>
        </w:rPr>
      </w:pPr>
    </w:p>
    <w:p>
      <w:pPr>
        <w:spacing w:after="0" w:line="218" w:lineRule="exact"/>
        <w:rPr>
          <w:sz w:val="20"/>
          <w:szCs w:val="20"/>
          <w:color w:val="auto"/>
        </w:rPr>
      </w:pPr>
    </w:p>
    <w:p>
      <w:pPr>
        <w:jc w:val="both"/>
        <w:ind w:right="400"/>
        <w:spacing w:after="0" w:line="307" w:lineRule="auto"/>
        <w:rPr>
          <w:sz w:val="20"/>
          <w:szCs w:val="20"/>
          <w:color w:val="auto"/>
        </w:rPr>
      </w:pPr>
      <w:r>
        <w:rPr>
          <w:rFonts w:ascii="Arial" w:cs="Arial" w:eastAsia="Arial" w:hAnsi="Arial"/>
          <w:sz w:val="22"/>
          <w:szCs w:val="22"/>
          <w:color w:val="auto"/>
        </w:rPr>
        <w:t>is a period notified by the Borrower to the Bank at least two Business Days before the last day of the current Pricing Period, but if the Borrower does not give notice, is of the same duration as the Pricing Period which immediately precedes it.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Pricing Period:</w:t>
      </w:r>
    </w:p>
    <w:p>
      <w:pPr>
        <w:spacing w:after="0" w:line="200" w:lineRule="exact"/>
        <w:rPr>
          <w:sz w:val="20"/>
          <w:szCs w:val="20"/>
          <w:color w:val="auto"/>
        </w:rPr>
      </w:pPr>
    </w:p>
    <w:p>
      <w:pPr>
        <w:spacing w:after="0" w:line="218" w:lineRule="exact"/>
        <w:rPr>
          <w:sz w:val="20"/>
          <w:szCs w:val="20"/>
          <w:color w:val="auto"/>
        </w:rPr>
      </w:pPr>
    </w:p>
    <w:p>
      <w:pPr>
        <w:ind w:right="20"/>
        <w:spacing w:after="0" w:line="328" w:lineRule="auto"/>
        <w:rPr>
          <w:sz w:val="20"/>
          <w:szCs w:val="20"/>
          <w:color w:val="auto"/>
        </w:rPr>
      </w:pPr>
      <w:r>
        <w:rPr>
          <w:rFonts w:ascii="Arial" w:cs="Arial" w:eastAsia="Arial" w:hAnsi="Arial"/>
          <w:sz w:val="21"/>
          <w:szCs w:val="21"/>
          <w:color w:val="auto"/>
        </w:rPr>
        <w:t>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clause 6.1(c)(ii), in which case the Bank may shorten the Pricing Period); and</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May be adjusted by the Bank where necessary so that:</w:t>
      </w: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a Pricing Period starts on a Business Day;</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all Advances will have the same Pricing Period;</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a Pricing Period does not end after the Termination Date; and</w:t>
      </w:r>
    </w:p>
    <w:p>
      <w:pPr>
        <w:spacing w:after="0" w:line="88" w:lineRule="exact"/>
        <w:rPr>
          <w:sz w:val="20"/>
          <w:szCs w:val="20"/>
          <w:color w:val="auto"/>
        </w:rPr>
      </w:pPr>
    </w:p>
    <w:p>
      <w:pPr>
        <w:ind w:left="720"/>
        <w:spacing w:after="0" w:line="356" w:lineRule="auto"/>
        <w:rPr>
          <w:sz w:val="20"/>
          <w:szCs w:val="20"/>
          <w:color w:val="auto"/>
        </w:rPr>
      </w:pPr>
      <w:r>
        <w:rPr>
          <w:rFonts w:ascii="Arial" w:cs="Arial" w:eastAsia="Arial" w:hAnsi="Arial"/>
          <w:sz w:val="20"/>
          <w:szCs w:val="20"/>
          <w:i w:val="1"/>
          <w:iCs w:val="1"/>
          <w:color w:val="auto"/>
        </w:rPr>
        <w:t xml:space="preserve">if a new Advance is made during a Pricing Period for an existing Advance, the first Pricing Period for that new Advance ends </w:t>
      </w:r>
      <w:r>
        <w:rPr>
          <w:rFonts w:ascii="Arial" w:cs="Arial" w:eastAsia="Arial" w:hAnsi="Arial"/>
          <w:sz w:val="20"/>
          <w:szCs w:val="20"/>
          <w:color w:val="auto"/>
        </w:rPr>
        <w:t>on the same day as the Pricing Period for the existing Advance.</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and rate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In respect of the Corporate Markets Loan Facility:</w:t>
      </w:r>
    </w:p>
    <w:p>
      <w:pPr>
        <w:sectPr>
          <w:pgSz w:w="11900" w:h="16838" w:orient="portrait"/>
          <w:cols w:equalWidth="0" w:num="1">
            <w:col w:w="9320"/>
          </w:cols>
          <w:pgMar w:left="1260" w:top="117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28 / 98</w:t>
      </w:r>
    </w:p>
    <w:p>
      <w:pPr>
        <w:sectPr>
          <w:pgSz w:w="11900" w:h="16838" w:orient="portrait"/>
          <w:cols w:equalWidth="0" w:num="1">
            <w:col w:w="9320"/>
          </w:cols>
          <w:pgMar w:left="1260" w:top="1177" w:right="1326" w:bottom="0" w:gutter="0" w:footer="0" w:header="0"/>
          <w:type w:val="continuous"/>
        </w:sectPr>
      </w:pPr>
    </w:p>
    <w:bookmarkStart w:id="210" w:name="page211"/>
    <w:bookmarkEnd w:id="210"/>
    <w:p>
      <w:pPr>
        <w:ind w:right="20"/>
        <w:spacing w:after="0" w:line="302" w:lineRule="auto"/>
        <w:rPr>
          <w:sz w:val="20"/>
          <w:szCs w:val="20"/>
          <w:color w:val="auto"/>
        </w:rPr>
      </w:pPr>
      <w:r>
        <w:rPr>
          <w:rFonts w:ascii="Arial" w:cs="Arial" w:eastAsia="Arial" w:hAnsi="Arial"/>
          <w:sz w:val="22"/>
          <w:szCs w:val="22"/>
          <w:color w:val="auto"/>
        </w:rPr>
        <w:t>interest for each day is calculated by applying the Daily Interest Rate to the Advance at the end of that day (excluding any amount to which the Overdue Rate applies); and</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pay accrued interest in respect of:</w:t>
      </w: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each Pricing Period, on the First Business Day after the expiry of that Pricing Period; and</w:t>
      </w:r>
    </w:p>
    <w:p>
      <w:pPr>
        <w:spacing w:after="0" w:line="200" w:lineRule="exact"/>
        <w:rPr>
          <w:sz w:val="20"/>
          <w:szCs w:val="20"/>
          <w:color w:val="auto"/>
        </w:rPr>
      </w:pPr>
    </w:p>
    <w:p>
      <w:pPr>
        <w:spacing w:after="0" w:line="218" w:lineRule="exact"/>
        <w:rPr>
          <w:sz w:val="20"/>
          <w:szCs w:val="20"/>
          <w:color w:val="auto"/>
        </w:rPr>
      </w:pPr>
    </w:p>
    <w:p>
      <w:pPr>
        <w:ind w:left="720" w:right="980"/>
        <w:spacing w:after="0" w:line="302" w:lineRule="auto"/>
        <w:rPr>
          <w:sz w:val="20"/>
          <w:szCs w:val="20"/>
          <w:color w:val="auto"/>
        </w:rPr>
      </w:pPr>
      <w:r>
        <w:rPr>
          <w:rFonts w:ascii="Arial" w:cs="Arial" w:eastAsia="Arial" w:hAnsi="Arial"/>
          <w:sz w:val="22"/>
          <w:szCs w:val="22"/>
          <w:i w:val="1"/>
          <w:iCs w:val="1"/>
          <w:color w:val="auto"/>
        </w:rPr>
        <w:t>the last Pricing Period, for the period up to and including the Termination Date, on the Termination Date.</w:t>
      </w:r>
    </w:p>
    <w:p>
      <w:pPr>
        <w:spacing w:after="0" w:line="353" w:lineRule="exact"/>
        <w:rPr>
          <w:sz w:val="20"/>
          <w:szCs w:val="20"/>
          <w:color w:val="auto"/>
        </w:rPr>
      </w:pPr>
    </w:p>
    <w:p>
      <w:pPr>
        <w:ind w:right="440"/>
        <w:spacing w:after="0" w:line="302" w:lineRule="auto"/>
        <w:rPr>
          <w:sz w:val="20"/>
          <w:szCs w:val="20"/>
          <w:color w:val="auto"/>
        </w:rPr>
      </w:pPr>
      <w:r>
        <w:rPr>
          <w:rFonts w:ascii="Arial" w:cs="Arial" w:eastAsia="Arial" w:hAnsi="Arial"/>
          <w:sz w:val="22"/>
          <w:szCs w:val="22"/>
          <w:color w:val="auto"/>
        </w:rPr>
        <w:t>The Borrower must pay interest on Overdue Money, and such interest must be paid on demand by the Bank.</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The interest rate on Overdue Money will be the Overdue Rate.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Computation of interest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Interest will:</w:t>
      </w:r>
    </w:p>
    <w:p>
      <w:pPr>
        <w:spacing w:after="0" w:line="200" w:lineRule="exact"/>
        <w:rPr>
          <w:sz w:val="20"/>
          <w:szCs w:val="20"/>
          <w:color w:val="auto"/>
        </w:rPr>
      </w:pPr>
    </w:p>
    <w:p>
      <w:pPr>
        <w:spacing w:after="0" w:line="218" w:lineRule="exact"/>
        <w:rPr>
          <w:sz w:val="20"/>
          <w:szCs w:val="20"/>
          <w:color w:val="auto"/>
        </w:rPr>
      </w:pPr>
    </w:p>
    <w:p>
      <w:pPr>
        <w:ind w:right="400"/>
        <w:spacing w:after="0" w:line="350" w:lineRule="auto"/>
        <w:rPr>
          <w:sz w:val="20"/>
          <w:szCs w:val="20"/>
          <w:color w:val="auto"/>
        </w:rPr>
      </w:pPr>
      <w:r>
        <w:rPr>
          <w:rFonts w:ascii="Arial" w:cs="Arial" w:eastAsia="Arial" w:hAnsi="Arial"/>
          <w:sz w:val="20"/>
          <w:szCs w:val="20"/>
          <w:color w:val="auto"/>
        </w:rPr>
        <w:t>accrue from day to day; be computed from and including the day when the money on which interest is payable becomes owing to the Bank by the Borrower until but excluding the day of payment of that money; and be calculated on the actual number of days elapsed on the basis of a 365 day year.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Capitalisation of interest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Bank may:</w:t>
      </w:r>
    </w:p>
    <w:p>
      <w:pPr>
        <w:spacing w:after="0" w:line="200" w:lineRule="exact"/>
        <w:rPr>
          <w:sz w:val="20"/>
          <w:szCs w:val="20"/>
          <w:color w:val="auto"/>
        </w:rPr>
      </w:pPr>
    </w:p>
    <w:p>
      <w:pPr>
        <w:spacing w:after="0" w:line="218" w:lineRule="exact"/>
        <w:rPr>
          <w:sz w:val="20"/>
          <w:szCs w:val="20"/>
          <w:color w:val="auto"/>
        </w:rPr>
      </w:pPr>
    </w:p>
    <w:p>
      <w:pPr>
        <w:ind w:right="60"/>
        <w:spacing w:after="0" w:line="310" w:lineRule="auto"/>
        <w:rPr>
          <w:sz w:val="20"/>
          <w:szCs w:val="20"/>
          <w:color w:val="auto"/>
        </w:rPr>
      </w:pPr>
      <w:r>
        <w:rPr>
          <w:rFonts w:ascii="Arial" w:cs="Arial" w:eastAsia="Arial" w:hAnsi="Arial"/>
          <w:sz w:val="22"/>
          <w:szCs w:val="22"/>
          <w:color w:val="auto"/>
        </w:rPr>
        <w:t>capitalise, on a monthly or other periodical basis as the Bank determines, any part of any interest which becomes due and payable and interest is payable in accordance with this document on capitalised interest; and continue to capitalise interest despite: that as between the Bank and the Borrower the relationship of Bank and customer has ceased; any composition agreed to by the Bank; any judgment or order against the Borrower; or any other thing.</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w:t>
      </w:r>
    </w:p>
    <w:p>
      <w:pPr>
        <w:spacing w:after="0" w:line="88" w:lineRule="exact"/>
        <w:rPr>
          <w:sz w:val="20"/>
          <w:szCs w:val="20"/>
          <w:color w:val="auto"/>
        </w:rPr>
      </w:pPr>
    </w:p>
    <w:p>
      <w:pPr>
        <w:spacing w:after="0" w:line="310" w:lineRule="auto"/>
        <w:rPr>
          <w:sz w:val="20"/>
          <w:szCs w:val="20"/>
          <w:color w:val="auto"/>
        </w:rPr>
      </w:pPr>
      <w:r>
        <w:rPr>
          <w:rFonts w:ascii="Arial" w:cs="Arial" w:eastAsia="Arial" w:hAnsi="Arial"/>
          <w:sz w:val="22"/>
          <w:szCs w:val="22"/>
          <w:color w:val="auto"/>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Reset Margin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The Borrower must pay a Reset Margin where a Pricing Period is, or becomes, shorter than 3 months.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The Reset Margin (if any) for a Pricing Period:</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98</w:t>
      </w:r>
    </w:p>
    <w:p>
      <w:pPr>
        <w:sectPr>
          <w:pgSz w:w="11900" w:h="16838" w:orient="portrait"/>
          <w:cols w:equalWidth="0" w:num="1">
            <w:col w:w="9380"/>
          </w:cols>
          <w:pgMar w:left="1260" w:top="1177" w:right="1266" w:bottom="0" w:gutter="0" w:footer="0" w:header="0"/>
          <w:type w:val="continuous"/>
        </w:sectPr>
      </w:pPr>
    </w:p>
    <w:bookmarkStart w:id="211" w:name="page212"/>
    <w:bookmarkEnd w:id="211"/>
    <w:p>
      <w:pPr>
        <w:ind w:right="60"/>
        <w:spacing w:after="0" w:line="328" w:lineRule="auto"/>
        <w:rPr>
          <w:sz w:val="20"/>
          <w:szCs w:val="20"/>
          <w:color w:val="auto"/>
        </w:rPr>
      </w:pPr>
      <w:r>
        <w:rPr>
          <w:rFonts w:ascii="Arial" w:cs="Arial" w:eastAsia="Arial" w:hAnsi="Arial"/>
          <w:sz w:val="21"/>
          <w:szCs w:val="21"/>
          <w:color w:val="auto"/>
        </w:rPr>
        <w:t>will be determined by the Bank on the commencement of that period; will be advised to the Borrower in writing shortly after the commencement of that period; and will be fixed for that period.</w:t>
      </w:r>
    </w:p>
    <w:p>
      <w:pPr>
        <w:spacing w:after="0" w:line="330" w:lineRule="exact"/>
        <w:rPr>
          <w:sz w:val="20"/>
          <w:szCs w:val="20"/>
          <w:color w:val="auto"/>
        </w:rPr>
      </w:pPr>
    </w:p>
    <w:p>
      <w:pPr>
        <w:ind w:right="200"/>
        <w:spacing w:after="0" w:line="307" w:lineRule="auto"/>
        <w:rPr>
          <w:sz w:val="20"/>
          <w:szCs w:val="20"/>
          <w:color w:val="auto"/>
        </w:rPr>
      </w:pPr>
      <w:r>
        <w:rPr>
          <w:rFonts w:ascii="Arial" w:cs="Arial" w:eastAsia="Arial" w:hAnsi="Arial"/>
          <w:sz w:val="22"/>
          <w:szCs w:val="22"/>
          <w:color w:val="auto"/>
        </w:rPr>
        <w:t>Subject to clause 6.6(b), if a Reset Margin is applicable to a Facility, the Bank may vary the rate of the Reset Margin from time to time (and any rate set out in this document is indicative only). The Bank publishes Reset Margin rates periodically on nab.com.au.</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The Reset Margin will be payable in arrears:</w:t>
      </w:r>
    </w:p>
    <w:p>
      <w:pPr>
        <w:spacing w:after="0" w:line="200" w:lineRule="exact"/>
        <w:rPr>
          <w:sz w:val="20"/>
          <w:szCs w:val="20"/>
          <w:color w:val="auto"/>
        </w:rPr>
      </w:pPr>
    </w:p>
    <w:p>
      <w:pPr>
        <w:spacing w:after="0" w:line="218" w:lineRule="exact"/>
        <w:rPr>
          <w:sz w:val="20"/>
          <w:szCs w:val="20"/>
          <w:color w:val="auto"/>
        </w:rPr>
      </w:pPr>
    </w:p>
    <w:p>
      <w:pPr>
        <w:ind w:right="600"/>
        <w:spacing w:after="0" w:line="307" w:lineRule="auto"/>
        <w:rPr>
          <w:sz w:val="20"/>
          <w:szCs w:val="20"/>
          <w:color w:val="auto"/>
        </w:rPr>
      </w:pPr>
      <w:r>
        <w:rPr>
          <w:rFonts w:ascii="Arial" w:cs="Arial" w:eastAsia="Arial" w:hAnsi="Arial"/>
          <w:sz w:val="22"/>
          <w:szCs w:val="22"/>
          <w:color w:val="auto"/>
        </w:rPr>
        <w:t>on the first Business Day following the end of each Pricing Period that is shorter than 3 months; on the Termination Date of the relevant Facility; and upon the early repayment or all or part of the relevant Advance.</w:t>
      </w:r>
    </w:p>
    <w:p>
      <w:pPr>
        <w:spacing w:after="0" w:line="349" w:lineRule="exact"/>
        <w:rPr>
          <w:sz w:val="20"/>
          <w:szCs w:val="20"/>
          <w:color w:val="auto"/>
        </w:rPr>
      </w:pPr>
    </w:p>
    <w:p>
      <w:pPr>
        <w:ind w:right="520"/>
        <w:spacing w:after="0" w:line="328" w:lineRule="auto"/>
        <w:rPr>
          <w:sz w:val="20"/>
          <w:szCs w:val="20"/>
          <w:color w:val="auto"/>
        </w:rPr>
      </w:pPr>
      <w:r>
        <w:rPr>
          <w:rFonts w:ascii="Arial" w:cs="Arial" w:eastAsia="Arial" w:hAnsi="Arial"/>
          <w:sz w:val="21"/>
          <w:szCs w:val="21"/>
          <w:color w:val="auto"/>
        </w:rPr>
        <w:t>The Reset Margin is calculated on a daily basis on the outstanding principal amount of the relevant Advance on the basis of a 365 day year and the actual number of days elapsed.</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Margin adjustments by reference to the Leverage Ratio</w:t>
      </w:r>
    </w:p>
    <w:p>
      <w:pPr>
        <w:spacing w:after="0" w:line="88"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color w:val="auto"/>
        </w:rPr>
        <w:t>Subject to paragraph (b) below, any Margin adjustment will take effect on the first day of the Pricing Period commencing after receipt by the Bank of the Compliance Certificate.</w:t>
      </w:r>
    </w:p>
    <w:p>
      <w:pPr>
        <w:spacing w:after="0" w:line="353" w:lineRule="exact"/>
        <w:rPr>
          <w:sz w:val="20"/>
          <w:szCs w:val="20"/>
          <w:color w:val="auto"/>
        </w:rPr>
      </w:pPr>
    </w:p>
    <w:p>
      <w:pPr>
        <w:ind w:right="360"/>
        <w:spacing w:after="0" w:line="309" w:lineRule="auto"/>
        <w:rPr>
          <w:sz w:val="20"/>
          <w:szCs w:val="20"/>
          <w:color w:val="auto"/>
        </w:rPr>
      </w:pPr>
      <w:r>
        <w:rPr>
          <w:rFonts w:ascii="Arial" w:cs="Arial" w:eastAsia="Arial" w:hAnsi="Arial"/>
          <w:sz w:val="22"/>
          <w:szCs w:val="22"/>
          <w:color w:val="auto"/>
        </w:rPr>
        <w:t>If Compliance Certificate is not delivered within 30 Business Days of the required date under clause 9.5(a) or (c) (as applicable), then the Margin will be the highest Margin as set out in the definition of Margin until such time as the applicable Compliance Certificate evidencing the Leverage Ratio is delivered.</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Payments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Place, manner and time of payment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Each Transaction Party must make payments to the Bank under the Transaction Documents: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at the address specified in clause 19.3 or at such other place reasonably required by the Bank;</w:t>
      </w:r>
    </w:p>
    <w:p>
      <w:pPr>
        <w:spacing w:after="0" w:line="88" w:lineRule="exact"/>
        <w:rPr>
          <w:sz w:val="20"/>
          <w:szCs w:val="20"/>
          <w:color w:val="auto"/>
        </w:rPr>
      </w:pPr>
    </w:p>
    <w:p>
      <w:pPr>
        <w:spacing w:after="0" w:line="307" w:lineRule="auto"/>
        <w:rPr>
          <w:sz w:val="20"/>
          <w:szCs w:val="20"/>
          <w:color w:val="auto"/>
        </w:rPr>
      </w:pPr>
      <w:r>
        <w:rPr>
          <w:rFonts w:ascii="Arial" w:cs="Arial" w:eastAsia="Arial" w:hAnsi="Arial"/>
          <w:sz w:val="22"/>
          <w:szCs w:val="22"/>
          <w:color w:val="auto"/>
        </w:rPr>
        <w:t>in a manner reasonably required by the Bank; by 11.00 am local time in the place where payment is required to be made; and in immediately available funds and without set-off, counter claim, condition or, unless required by law, deduction or withholding.</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Gross-up</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a Transaction Party is required by law to deduct or withhold Taxes from any payment it must: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make the required deduction and withholding;</w:t>
      </w:r>
    </w:p>
    <w:p>
      <w:pPr>
        <w:spacing w:after="0" w:line="200" w:lineRule="exact"/>
        <w:rPr>
          <w:sz w:val="20"/>
          <w:szCs w:val="20"/>
          <w:color w:val="auto"/>
        </w:rPr>
      </w:pPr>
    </w:p>
    <w:p>
      <w:pPr>
        <w:spacing w:after="0" w:line="218" w:lineRule="exact"/>
        <w:rPr>
          <w:sz w:val="20"/>
          <w:szCs w:val="20"/>
          <w:color w:val="auto"/>
        </w:rPr>
      </w:pPr>
    </w:p>
    <w:p>
      <w:pPr>
        <w:jc w:val="both"/>
        <w:ind w:right="360"/>
        <w:spacing w:after="0" w:line="348" w:lineRule="auto"/>
        <w:rPr>
          <w:sz w:val="20"/>
          <w:szCs w:val="20"/>
          <w:color w:val="auto"/>
        </w:rPr>
      </w:pPr>
      <w:r>
        <w:rPr>
          <w:rFonts w:ascii="Arial" w:cs="Arial" w:eastAsia="Arial" w:hAnsi="Arial"/>
          <w:sz w:val="20"/>
          <w:szCs w:val="20"/>
          <w:color w:val="auto"/>
        </w:rPr>
        <w:t>pay the full amount deducted or withheld in accordance with the relevant law; deliver to the Bank an original receipt for each payment; and pay an additional amount with such payment so that, after all applicable deductions or withholdings, the Bank actually receives for its own benefit the full amount which would have been payable to the Bank if no deduction or withholding had been required.</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Appropriation</w:t>
      </w:r>
    </w:p>
    <w:p>
      <w:pPr>
        <w:sectPr>
          <w:pgSz w:w="11900" w:h="16838" w:orient="portrait"/>
          <w:cols w:equalWidth="0" w:num="1">
            <w:col w:w="9220"/>
          </w:cols>
          <w:pgMar w:left="1260" w:top="1177" w:right="1426"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30 / 98</w:t>
      </w:r>
    </w:p>
    <w:p>
      <w:pPr>
        <w:sectPr>
          <w:pgSz w:w="11900" w:h="16838" w:orient="portrait"/>
          <w:cols w:equalWidth="0" w:num="1">
            <w:col w:w="9220"/>
          </w:cols>
          <w:pgMar w:left="1260" w:top="1177" w:right="1426" w:bottom="0" w:gutter="0" w:footer="0" w:header="0"/>
          <w:type w:val="continuous"/>
        </w:sectPr>
      </w:pPr>
    </w:p>
    <w:bookmarkStart w:id="212" w:name="page213"/>
    <w:bookmarkEnd w:id="212"/>
    <w:p>
      <w:pPr>
        <w:jc w:val="both"/>
        <w:spacing w:after="0" w:line="309" w:lineRule="auto"/>
        <w:rPr>
          <w:sz w:val="20"/>
          <w:szCs w:val="20"/>
          <w:color w:val="auto"/>
        </w:rPr>
      </w:pPr>
      <w:r>
        <w:rPr>
          <w:rFonts w:ascii="Arial" w:cs="Arial" w:eastAsia="Arial" w:hAnsi="Arial"/>
          <w:sz w:val="22"/>
          <w:szCs w:val="22"/>
          <w:color w:val="auto"/>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p>
    <w:p>
      <w:pPr>
        <w:spacing w:after="0" w:line="3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Representations and warranties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Each Transaction Party represents and warrants that:</w:t>
      </w:r>
    </w:p>
    <w:p>
      <w:pPr>
        <w:spacing w:after="0" w:line="200" w:lineRule="exact"/>
        <w:rPr>
          <w:sz w:val="20"/>
          <w:szCs w:val="20"/>
          <w:color w:val="auto"/>
        </w:rPr>
      </w:pPr>
    </w:p>
    <w:p>
      <w:pPr>
        <w:spacing w:after="0" w:line="218" w:lineRule="exact"/>
        <w:rPr>
          <w:sz w:val="20"/>
          <w:szCs w:val="20"/>
          <w:color w:val="auto"/>
        </w:rPr>
      </w:pPr>
    </w:p>
    <w:p>
      <w:pPr>
        <w:ind w:right="180"/>
        <w:spacing w:after="0" w:line="328" w:lineRule="auto"/>
        <w:rPr>
          <w:sz w:val="20"/>
          <w:szCs w:val="20"/>
          <w:color w:val="auto"/>
        </w:rPr>
      </w:pPr>
      <w:r>
        <w:rPr>
          <w:rFonts w:ascii="Arial" w:cs="Arial" w:eastAsia="Arial" w:hAnsi="Arial"/>
          <w:sz w:val="21"/>
          <w:szCs w:val="21"/>
          <w:b w:val="1"/>
          <w:bCs w:val="1"/>
          <w:color w:val="auto"/>
        </w:rPr>
        <w:t xml:space="preserve">duly incorporated: </w:t>
      </w:r>
      <w:r>
        <w:rPr>
          <w:rFonts w:ascii="Arial" w:cs="Arial" w:eastAsia="Arial" w:hAnsi="Arial"/>
          <w:sz w:val="21"/>
          <w:szCs w:val="21"/>
          <w:color w:val="auto"/>
        </w:rPr>
        <w:t>if it purports to be a corporation, it is duly incorporated in accordance with the laws</w:t>
      </w:r>
      <w:r>
        <w:rPr>
          <w:rFonts w:ascii="Arial" w:cs="Arial" w:eastAsia="Arial" w:hAnsi="Arial"/>
          <w:sz w:val="21"/>
          <w:szCs w:val="21"/>
          <w:b w:val="1"/>
          <w:bCs w:val="1"/>
          <w:color w:val="auto"/>
        </w:rPr>
        <w:t xml:space="preserve"> </w:t>
      </w:r>
      <w:r>
        <w:rPr>
          <w:rFonts w:ascii="Arial" w:cs="Arial" w:eastAsia="Arial" w:hAnsi="Arial"/>
          <w:sz w:val="21"/>
          <w:szCs w:val="21"/>
          <w:color w:val="auto"/>
        </w:rPr>
        <w:t>of its place of incorporation, validly exists under those laws and has the capacity to sue or be sued in its own name and to own its property and conduct its business as it is being conducted;</w:t>
      </w:r>
    </w:p>
    <w:p>
      <w:pPr>
        <w:spacing w:after="0" w:line="330" w:lineRule="exact"/>
        <w:rPr>
          <w:sz w:val="20"/>
          <w:szCs w:val="20"/>
          <w:color w:val="auto"/>
        </w:rPr>
      </w:pPr>
    </w:p>
    <w:p>
      <w:pPr>
        <w:ind w:right="40"/>
        <w:spacing w:after="0" w:line="302" w:lineRule="auto"/>
        <w:rPr>
          <w:sz w:val="20"/>
          <w:szCs w:val="20"/>
          <w:color w:val="auto"/>
        </w:rPr>
      </w:pPr>
      <w:r>
        <w:rPr>
          <w:rFonts w:ascii="Arial" w:cs="Arial" w:eastAsia="Arial" w:hAnsi="Arial"/>
          <w:sz w:val="22"/>
          <w:szCs w:val="22"/>
          <w:b w:val="1"/>
          <w:bCs w:val="1"/>
          <w:color w:val="auto"/>
        </w:rPr>
        <w:t xml:space="preserve">capacity: </w:t>
      </w:r>
      <w:r>
        <w:rPr>
          <w:rFonts w:ascii="Arial" w:cs="Arial" w:eastAsia="Arial" w:hAnsi="Arial"/>
          <w:sz w:val="22"/>
          <w:szCs w:val="22"/>
          <w:color w:val="auto"/>
        </w:rPr>
        <w:t>it has capacity unconditionally to execute and deliver and comply with its obligations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Documents;</w:t>
      </w:r>
    </w:p>
    <w:p>
      <w:pPr>
        <w:spacing w:after="0" w:line="353" w:lineRule="exact"/>
        <w:rPr>
          <w:sz w:val="20"/>
          <w:szCs w:val="20"/>
          <w:color w:val="auto"/>
        </w:rPr>
      </w:pPr>
    </w:p>
    <w:p>
      <w:pPr>
        <w:ind w:right="260"/>
        <w:spacing w:after="0" w:line="356" w:lineRule="auto"/>
        <w:rPr>
          <w:sz w:val="20"/>
          <w:szCs w:val="20"/>
          <w:color w:val="auto"/>
        </w:rPr>
      </w:pPr>
      <w:r>
        <w:rPr>
          <w:rFonts w:ascii="Arial" w:cs="Arial" w:eastAsia="Arial" w:hAnsi="Arial"/>
          <w:sz w:val="20"/>
          <w:szCs w:val="20"/>
          <w:b w:val="1"/>
          <w:bCs w:val="1"/>
          <w:color w:val="auto"/>
        </w:rPr>
        <w:t xml:space="preserve">action taken: </w:t>
      </w:r>
      <w:r>
        <w:rPr>
          <w:rFonts w:ascii="Arial" w:cs="Arial" w:eastAsia="Arial" w:hAnsi="Arial"/>
          <w:sz w:val="20"/>
          <w:szCs w:val="20"/>
          <w:color w:val="auto"/>
        </w:rPr>
        <w:t>it has taken all necessary action to authorise the unconditional execution and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compliance with its obligations under, the Transaction Documents to which it is a party;</w:t>
      </w:r>
    </w:p>
    <w:p>
      <w:pPr>
        <w:spacing w:after="0" w:line="308" w:lineRule="exact"/>
        <w:rPr>
          <w:sz w:val="20"/>
          <w:szCs w:val="20"/>
          <w:color w:val="auto"/>
        </w:rPr>
      </w:pPr>
    </w:p>
    <w:p>
      <w:pPr>
        <w:ind w:right="60"/>
        <w:spacing w:after="0" w:line="307" w:lineRule="auto"/>
        <w:rPr>
          <w:sz w:val="20"/>
          <w:szCs w:val="20"/>
          <w:color w:val="auto"/>
        </w:rPr>
      </w:pPr>
      <w:r>
        <w:rPr>
          <w:rFonts w:ascii="Arial" w:cs="Arial" w:eastAsia="Arial" w:hAnsi="Arial"/>
          <w:sz w:val="22"/>
          <w:szCs w:val="22"/>
          <w:b w:val="1"/>
          <w:bCs w:val="1"/>
          <w:color w:val="auto"/>
        </w:rPr>
        <w:t xml:space="preserve">binding obligations: </w:t>
      </w:r>
      <w:r>
        <w:rPr>
          <w:rFonts w:ascii="Arial" w:cs="Arial" w:eastAsia="Arial" w:hAnsi="Arial"/>
          <w:sz w:val="22"/>
          <w:szCs w:val="22"/>
          <w:color w:val="auto"/>
        </w:rPr>
        <w:t>each Transaction Document constitutes the valid and legally binding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and is enforceable against it by the Bank in accordance with its terms (subject to any necessary stamping or registration and to equitable principles and insolvency laws);</w:t>
      </w:r>
    </w:p>
    <w:p>
      <w:pPr>
        <w:spacing w:after="0" w:line="349" w:lineRule="exact"/>
        <w:rPr>
          <w:sz w:val="20"/>
          <w:szCs w:val="20"/>
          <w:color w:val="auto"/>
        </w:rPr>
      </w:pPr>
    </w:p>
    <w:p>
      <w:pPr>
        <w:ind w:right="280"/>
        <w:spacing w:after="0" w:line="356" w:lineRule="auto"/>
        <w:rPr>
          <w:sz w:val="20"/>
          <w:szCs w:val="20"/>
          <w:color w:val="auto"/>
        </w:rPr>
      </w:pPr>
      <w:r>
        <w:rPr>
          <w:rFonts w:ascii="Arial" w:cs="Arial" w:eastAsia="Arial" w:hAnsi="Arial"/>
          <w:sz w:val="20"/>
          <w:szCs w:val="20"/>
          <w:b w:val="1"/>
          <w:bCs w:val="1"/>
          <w:color w:val="auto"/>
        </w:rPr>
        <w:t xml:space="preserve">priority: </w:t>
      </w:r>
      <w:r>
        <w:rPr>
          <w:rFonts w:ascii="Arial" w:cs="Arial" w:eastAsia="Arial" w:hAnsi="Arial"/>
          <w:sz w:val="20"/>
          <w:szCs w:val="20"/>
          <w:color w:val="auto"/>
        </w:rPr>
        <w:t>each Security Interest which each Transaction Document purports to create exists and has the</w:t>
      </w:r>
      <w:r>
        <w:rPr>
          <w:rFonts w:ascii="Arial" w:cs="Arial" w:eastAsia="Arial" w:hAnsi="Arial"/>
          <w:sz w:val="20"/>
          <w:szCs w:val="20"/>
          <w:b w:val="1"/>
          <w:bCs w:val="1"/>
          <w:color w:val="auto"/>
        </w:rPr>
        <w:t xml:space="preserve"> </w:t>
      </w:r>
      <w:r>
        <w:rPr>
          <w:rFonts w:ascii="Arial" w:cs="Arial" w:eastAsia="Arial" w:hAnsi="Arial"/>
          <w:sz w:val="20"/>
          <w:szCs w:val="20"/>
          <w:color w:val="auto"/>
        </w:rPr>
        <w:t>priority which the Bank has agreed to (subject to any necessary stamping and registration);</w:t>
      </w:r>
    </w:p>
    <w:p>
      <w:pPr>
        <w:spacing w:after="0" w:line="308" w:lineRule="exact"/>
        <w:rPr>
          <w:sz w:val="20"/>
          <w:szCs w:val="20"/>
          <w:color w:val="auto"/>
        </w:rPr>
      </w:pPr>
    </w:p>
    <w:p>
      <w:pPr>
        <w:jc w:val="both"/>
        <w:ind w:right="140"/>
        <w:spacing w:after="0" w:line="328" w:lineRule="auto"/>
        <w:rPr>
          <w:sz w:val="20"/>
          <w:szCs w:val="20"/>
          <w:color w:val="auto"/>
        </w:rPr>
      </w:pPr>
      <w:r>
        <w:rPr>
          <w:rFonts w:ascii="Arial" w:cs="Arial" w:eastAsia="Arial" w:hAnsi="Arial"/>
          <w:sz w:val="21"/>
          <w:szCs w:val="21"/>
          <w:b w:val="1"/>
          <w:bCs w:val="1"/>
          <w:color w:val="auto"/>
        </w:rPr>
        <w:t xml:space="preserve">authorisations: </w:t>
      </w:r>
      <w:r>
        <w:rPr>
          <w:rFonts w:ascii="Arial" w:cs="Arial" w:eastAsia="Arial" w:hAnsi="Arial"/>
          <w:sz w:val="21"/>
          <w:szCs w:val="21"/>
          <w:color w:val="auto"/>
        </w:rPr>
        <w:t>each authorisation from, and filing and registration with, a Government Body necessary</w:t>
      </w:r>
      <w:r>
        <w:rPr>
          <w:rFonts w:ascii="Arial" w:cs="Arial" w:eastAsia="Arial" w:hAnsi="Arial"/>
          <w:sz w:val="21"/>
          <w:szCs w:val="21"/>
          <w:b w:val="1"/>
          <w:bCs w:val="1"/>
          <w:color w:val="auto"/>
        </w:rPr>
        <w:t xml:space="preserve"> </w:t>
      </w:r>
      <w:r>
        <w:rPr>
          <w:rFonts w:ascii="Arial" w:cs="Arial" w:eastAsia="Arial" w:hAnsi="Arial"/>
          <w:sz w:val="21"/>
          <w:szCs w:val="21"/>
          <w:color w:val="auto"/>
        </w:rPr>
        <w:t>to enable it to unconditionally execute and deliver and comply with its obligations under the Transaction Documents to which it is a party has been obtained, effected and complied with;</w:t>
      </w:r>
    </w:p>
    <w:p>
      <w:pPr>
        <w:spacing w:after="0" w:line="330" w:lineRule="exact"/>
        <w:rPr>
          <w:sz w:val="20"/>
          <w:szCs w:val="20"/>
          <w:color w:val="auto"/>
        </w:rPr>
      </w:pPr>
    </w:p>
    <w:p>
      <w:pPr>
        <w:ind w:right="100"/>
        <w:spacing w:after="0" w:line="302" w:lineRule="auto"/>
        <w:rPr>
          <w:sz w:val="20"/>
          <w:szCs w:val="20"/>
          <w:color w:val="auto"/>
        </w:rPr>
      </w:pPr>
      <w:r>
        <w:rPr>
          <w:rFonts w:ascii="Arial" w:cs="Arial" w:eastAsia="Arial" w:hAnsi="Arial"/>
          <w:sz w:val="22"/>
          <w:szCs w:val="22"/>
          <w:b w:val="1"/>
          <w:bCs w:val="1"/>
          <w:color w:val="auto"/>
        </w:rPr>
        <w:t xml:space="preserve">no contravention: </w:t>
      </w:r>
      <w:r>
        <w:rPr>
          <w:rFonts w:ascii="Arial" w:cs="Arial" w:eastAsia="Arial" w:hAnsi="Arial"/>
          <w:sz w:val="22"/>
          <w:szCs w:val="22"/>
          <w:color w:val="auto"/>
        </w:rPr>
        <w:t>the unconditional execution and delivery of, and compliance with its obligations by it</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Transaction Documents to which it is a party do not:</w:t>
      </w:r>
    </w:p>
    <w:p>
      <w:pPr>
        <w:spacing w:after="0" w:line="353" w:lineRule="exact"/>
        <w:rPr>
          <w:sz w:val="20"/>
          <w:szCs w:val="20"/>
          <w:color w:val="auto"/>
        </w:rPr>
      </w:pPr>
    </w:p>
    <w:p>
      <w:pPr>
        <w:ind w:right="220"/>
        <w:spacing w:after="0" w:line="347" w:lineRule="auto"/>
        <w:rPr>
          <w:sz w:val="20"/>
          <w:szCs w:val="20"/>
          <w:color w:val="auto"/>
        </w:rPr>
      </w:pPr>
      <w:r>
        <w:rPr>
          <w:rFonts w:ascii="Arial" w:cs="Arial" w:eastAsia="Arial" w:hAnsi="Arial"/>
          <w:sz w:val="20"/>
          <w:szCs w:val="20"/>
          <w:color w:val="auto"/>
        </w:rPr>
        <w:t>contravene any law to which it or any of its property is subject or any order or directive from a Government Body binding on it or any of its property; contravene its constituent documents; contravene any agreement or instrument to which it is a party; contravene any obligation it has to any other person; or require it to make any payment or delivery in relation to any Financial Indebtedness (other than Excluded Financial Indebtedness) before the scheduled date for that payment or delivery;</w:t>
      </w:r>
    </w:p>
    <w:p>
      <w:pPr>
        <w:spacing w:after="0" w:line="317" w:lineRule="exact"/>
        <w:rPr>
          <w:sz w:val="20"/>
          <w:szCs w:val="20"/>
          <w:color w:val="auto"/>
        </w:rPr>
      </w:pPr>
    </w:p>
    <w:p>
      <w:pPr>
        <w:ind w:right="140"/>
        <w:spacing w:after="0" w:line="302" w:lineRule="auto"/>
        <w:rPr>
          <w:sz w:val="20"/>
          <w:szCs w:val="20"/>
          <w:color w:val="auto"/>
        </w:rPr>
      </w:pPr>
      <w:r>
        <w:rPr>
          <w:rFonts w:ascii="Arial" w:cs="Arial" w:eastAsia="Arial" w:hAnsi="Arial"/>
          <w:sz w:val="22"/>
          <w:szCs w:val="22"/>
          <w:b w:val="1"/>
          <w:bCs w:val="1"/>
          <w:color w:val="auto"/>
        </w:rPr>
        <w:t xml:space="preserve">correct information: </w:t>
      </w:r>
      <w:r>
        <w:rPr>
          <w:rFonts w:ascii="Arial" w:cs="Arial" w:eastAsia="Arial" w:hAnsi="Arial"/>
          <w:sz w:val="22"/>
          <w:szCs w:val="22"/>
          <w:color w:val="auto"/>
        </w:rPr>
        <w:t>all information given and each statement made to any Bank by it or at its direction</w:t>
      </w:r>
      <w:r>
        <w:rPr>
          <w:rFonts w:ascii="Arial" w:cs="Arial" w:eastAsia="Arial" w:hAnsi="Arial"/>
          <w:sz w:val="22"/>
          <w:szCs w:val="22"/>
          <w:b w:val="1"/>
          <w:bCs w:val="1"/>
          <w:color w:val="auto"/>
        </w:rPr>
        <w:t xml:space="preserve"> </w:t>
      </w:r>
      <w:r>
        <w:rPr>
          <w:rFonts w:ascii="Arial" w:cs="Arial" w:eastAsia="Arial" w:hAnsi="Arial"/>
          <w:sz w:val="22"/>
          <w:szCs w:val="22"/>
          <w:color w:val="auto"/>
        </w:rPr>
        <w:t>in relation to the Transaction Documents, is correct, complete and not misleading;</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98</w:t>
      </w:r>
    </w:p>
    <w:p>
      <w:pPr>
        <w:sectPr>
          <w:pgSz w:w="11900" w:h="16838" w:orient="portrait"/>
          <w:cols w:equalWidth="0" w:num="1">
            <w:col w:w="9400"/>
          </w:cols>
          <w:pgMar w:left="1260" w:top="1177" w:right="1246" w:bottom="0" w:gutter="0" w:footer="0" w:header="0"/>
          <w:type w:val="continuous"/>
        </w:sectPr>
      </w:pPr>
    </w:p>
    <w:bookmarkStart w:id="213" w:name="page214"/>
    <w:bookmarkEnd w:id="213"/>
    <w:p>
      <w:pPr>
        <w:ind w:right="140"/>
        <w:spacing w:after="0" w:line="307" w:lineRule="auto"/>
        <w:rPr>
          <w:sz w:val="20"/>
          <w:szCs w:val="20"/>
          <w:color w:val="auto"/>
        </w:rPr>
      </w:pPr>
      <w:r>
        <w:rPr>
          <w:rFonts w:ascii="Arial" w:cs="Arial" w:eastAsia="Arial" w:hAnsi="Arial"/>
          <w:sz w:val="22"/>
          <w:szCs w:val="22"/>
          <w:b w:val="1"/>
          <w:bCs w:val="1"/>
          <w:color w:val="auto"/>
        </w:rPr>
        <w:t xml:space="preserve">full disclosure: </w:t>
      </w:r>
      <w:r>
        <w:rPr>
          <w:rFonts w:ascii="Arial" w:cs="Arial" w:eastAsia="Arial" w:hAnsi="Arial"/>
          <w:sz w:val="22"/>
          <w:szCs w:val="22"/>
          <w:color w:val="auto"/>
        </w:rPr>
        <w:t>it has disclosed to the Bank all information which the Borrower has or has access to and</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relevant to the assessment by the Bank of the nature and amount of the risks undertaken by the Bank becoming a creditor of or taking a Security from it;</w:t>
      </w:r>
    </w:p>
    <w:p>
      <w:pPr>
        <w:spacing w:after="0" w:line="349"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b w:val="1"/>
          <w:bCs w:val="1"/>
          <w:color w:val="auto"/>
        </w:rPr>
        <w:t xml:space="preserve">Financial Statements: </w:t>
      </w:r>
      <w:r>
        <w:rPr>
          <w:rFonts w:ascii="Arial" w:cs="Arial" w:eastAsia="Arial" w:hAnsi="Arial"/>
          <w:sz w:val="22"/>
          <w:szCs w:val="22"/>
          <w:color w:val="auto"/>
        </w:rPr>
        <w:t>the Financial Statements of each of Transaction Party given to the Bank under</w:t>
      </w:r>
      <w:r>
        <w:rPr>
          <w:rFonts w:ascii="Arial" w:cs="Arial" w:eastAsia="Arial" w:hAnsi="Arial"/>
          <w:sz w:val="22"/>
          <w:szCs w:val="22"/>
          <w:b w:val="1"/>
          <w:bCs w:val="1"/>
          <w:color w:val="auto"/>
        </w:rPr>
        <w:t xml:space="preserve"> </w:t>
      </w:r>
      <w:r>
        <w:rPr>
          <w:rFonts w:ascii="Arial" w:cs="Arial" w:eastAsia="Arial" w:hAnsi="Arial"/>
          <w:sz w:val="22"/>
          <w:szCs w:val="22"/>
          <w:color w:val="auto"/>
        </w:rPr>
        <w:t>clause 9.3:</w:t>
      </w:r>
    </w:p>
    <w:p>
      <w:pPr>
        <w:spacing w:after="0" w:line="353" w:lineRule="exact"/>
        <w:rPr>
          <w:sz w:val="20"/>
          <w:szCs w:val="20"/>
          <w:color w:val="auto"/>
        </w:rPr>
      </w:pPr>
    </w:p>
    <w:p>
      <w:pPr>
        <w:ind w:right="140"/>
        <w:spacing w:after="0" w:line="309" w:lineRule="auto"/>
        <w:rPr>
          <w:sz w:val="20"/>
          <w:szCs w:val="20"/>
          <w:color w:val="auto"/>
        </w:rPr>
      </w:pPr>
      <w:r>
        <w:rPr>
          <w:rFonts w:ascii="Arial" w:cs="Arial" w:eastAsia="Arial" w:hAnsi="Arial"/>
          <w:sz w:val="22"/>
          <w:szCs w:val="22"/>
          <w:color w:val="auto"/>
        </w:rPr>
        <w:t>are a true, fair and accurate statement of their respective financial performance and position and their respective consolidated financial performance and position at the date to which they are prepared; and have been prepared in accordance with clause 9.2 and 9.3, except for such departures expressly disclosed in those Financial Statements;</w:t>
      </w:r>
    </w:p>
    <w:p>
      <w:pPr>
        <w:spacing w:after="0" w:line="347" w:lineRule="exact"/>
        <w:rPr>
          <w:sz w:val="20"/>
          <w:szCs w:val="20"/>
          <w:color w:val="auto"/>
        </w:rPr>
      </w:pPr>
    </w:p>
    <w:p>
      <w:pPr>
        <w:jc w:val="both"/>
        <w:ind w:right="80"/>
        <w:spacing w:after="0" w:line="307" w:lineRule="auto"/>
        <w:rPr>
          <w:sz w:val="20"/>
          <w:szCs w:val="20"/>
          <w:color w:val="auto"/>
        </w:rPr>
      </w:pPr>
      <w:r>
        <w:rPr>
          <w:rFonts w:ascii="Arial" w:cs="Arial" w:eastAsia="Arial" w:hAnsi="Arial"/>
          <w:sz w:val="22"/>
          <w:szCs w:val="22"/>
          <w:b w:val="1"/>
          <w:bCs w:val="1"/>
          <w:color w:val="auto"/>
        </w:rPr>
        <w:t xml:space="preserve">no change in financial position: </w:t>
      </w:r>
      <w:r>
        <w:rPr>
          <w:rFonts w:ascii="Arial" w:cs="Arial" w:eastAsia="Arial" w:hAnsi="Arial"/>
          <w:sz w:val="22"/>
          <w:szCs w:val="22"/>
          <w:color w:val="auto"/>
        </w:rPr>
        <w:t>there has been no change in the financial performance or position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Party since the date to which the last Financial Statements given to the Bank under clause 9.3 were prepared, which has a Material Adverse Effect;</w:t>
      </w:r>
    </w:p>
    <w:p>
      <w:pPr>
        <w:spacing w:after="0" w:line="349" w:lineRule="exact"/>
        <w:rPr>
          <w:sz w:val="20"/>
          <w:szCs w:val="20"/>
          <w:color w:val="auto"/>
        </w:rPr>
      </w:pPr>
    </w:p>
    <w:p>
      <w:pPr>
        <w:ind w:right="240"/>
        <w:spacing w:after="0" w:line="307" w:lineRule="auto"/>
        <w:rPr>
          <w:sz w:val="20"/>
          <w:szCs w:val="20"/>
          <w:color w:val="auto"/>
        </w:rPr>
      </w:pPr>
      <w:r>
        <w:rPr>
          <w:rFonts w:ascii="Arial" w:cs="Arial" w:eastAsia="Arial" w:hAnsi="Arial"/>
          <w:sz w:val="22"/>
          <w:szCs w:val="22"/>
          <w:b w:val="1"/>
          <w:bCs w:val="1"/>
          <w:color w:val="auto"/>
        </w:rPr>
        <w:t xml:space="preserve">no related party transaction: </w:t>
      </w:r>
      <w:r>
        <w:rPr>
          <w:rFonts w:ascii="Arial" w:cs="Arial" w:eastAsia="Arial" w:hAnsi="Arial"/>
          <w:sz w:val="22"/>
          <w:szCs w:val="22"/>
          <w:color w:val="auto"/>
        </w:rPr>
        <w:t>no person has contravened or will contravene sections 208 or 209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Corporations Act due to a Transaction Party entering into or performing its obligations under a Transaction Document;</w:t>
      </w:r>
    </w:p>
    <w:p>
      <w:pPr>
        <w:spacing w:after="0" w:line="349" w:lineRule="exact"/>
        <w:rPr>
          <w:sz w:val="20"/>
          <w:szCs w:val="20"/>
          <w:color w:val="auto"/>
        </w:rPr>
      </w:pPr>
    </w:p>
    <w:p>
      <w:pPr>
        <w:ind w:right="120"/>
        <w:spacing w:after="0" w:line="309" w:lineRule="auto"/>
        <w:rPr>
          <w:sz w:val="20"/>
          <w:szCs w:val="20"/>
          <w:color w:val="auto"/>
        </w:rPr>
      </w:pPr>
      <w:r>
        <w:rPr>
          <w:rFonts w:ascii="Arial" w:cs="Arial" w:eastAsia="Arial" w:hAnsi="Arial"/>
          <w:sz w:val="22"/>
          <w:szCs w:val="22"/>
          <w:b w:val="1"/>
          <w:bCs w:val="1"/>
          <w:color w:val="auto"/>
        </w:rPr>
        <w:t xml:space="preserve">no proceeding: </w:t>
      </w:r>
      <w:r>
        <w:rPr>
          <w:rFonts w:ascii="Arial" w:cs="Arial" w:eastAsia="Arial" w:hAnsi="Arial"/>
          <w:sz w:val="22"/>
          <w:szCs w:val="22"/>
          <w:color w:val="auto"/>
        </w:rPr>
        <w:t>except as notified to the Bank in writing before the date of this document, no litigation,</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arbitration or administrative proceeding is current, pending or, to the knowledge of the Borrower, threatened, which has, or the adverse determination of which would be likely to have, a Material Adverse Effect;</w:t>
      </w:r>
    </w:p>
    <w:p>
      <w:pPr>
        <w:spacing w:after="0" w:line="347" w:lineRule="exact"/>
        <w:rPr>
          <w:sz w:val="20"/>
          <w:szCs w:val="20"/>
          <w:color w:val="auto"/>
        </w:rPr>
      </w:pPr>
    </w:p>
    <w:p>
      <w:pPr>
        <w:ind w:right="100"/>
        <w:spacing w:after="0" w:line="302" w:lineRule="auto"/>
        <w:rPr>
          <w:sz w:val="20"/>
          <w:szCs w:val="20"/>
          <w:color w:val="auto"/>
        </w:rPr>
      </w:pPr>
      <w:r>
        <w:rPr>
          <w:rFonts w:ascii="Arial" w:cs="Arial" w:eastAsia="Arial" w:hAnsi="Arial"/>
          <w:sz w:val="22"/>
          <w:szCs w:val="22"/>
          <w:b w:val="1"/>
          <w:bCs w:val="1"/>
          <w:color w:val="auto"/>
        </w:rPr>
        <w:t xml:space="preserve">no trust: </w:t>
      </w:r>
      <w:r>
        <w:rPr>
          <w:rFonts w:ascii="Arial" w:cs="Arial" w:eastAsia="Arial" w:hAnsi="Arial"/>
          <w:sz w:val="22"/>
          <w:szCs w:val="22"/>
          <w:color w:val="auto"/>
        </w:rPr>
        <w:t>except as notified to the Bank in writing before the date of this document, no Transaction Party</w:t>
      </w:r>
      <w:r>
        <w:rPr>
          <w:rFonts w:ascii="Arial" w:cs="Arial" w:eastAsia="Arial" w:hAnsi="Arial"/>
          <w:sz w:val="22"/>
          <w:szCs w:val="22"/>
          <w:b w:val="1"/>
          <w:bCs w:val="1"/>
          <w:color w:val="auto"/>
        </w:rPr>
        <w:t xml:space="preserve"> </w:t>
      </w:r>
      <w:r>
        <w:rPr>
          <w:rFonts w:ascii="Arial" w:cs="Arial" w:eastAsia="Arial" w:hAnsi="Arial"/>
          <w:sz w:val="22"/>
          <w:szCs w:val="22"/>
          <w:color w:val="auto"/>
        </w:rPr>
        <w:t>enters into a Transaction Document as trustee of any trust;</w:t>
      </w:r>
    </w:p>
    <w:p>
      <w:pPr>
        <w:spacing w:after="0" w:line="353" w:lineRule="exact"/>
        <w:rPr>
          <w:sz w:val="20"/>
          <w:szCs w:val="20"/>
          <w:color w:val="auto"/>
        </w:rPr>
      </w:pPr>
    </w:p>
    <w:p>
      <w:pPr>
        <w:ind w:right="540"/>
        <w:spacing w:after="0" w:line="302" w:lineRule="auto"/>
        <w:rPr>
          <w:sz w:val="20"/>
          <w:szCs w:val="20"/>
          <w:color w:val="auto"/>
        </w:rPr>
      </w:pPr>
      <w:r>
        <w:rPr>
          <w:rFonts w:ascii="Arial" w:cs="Arial" w:eastAsia="Arial" w:hAnsi="Arial"/>
          <w:sz w:val="22"/>
          <w:szCs w:val="22"/>
          <w:b w:val="1"/>
          <w:bCs w:val="1"/>
          <w:color w:val="auto"/>
        </w:rPr>
        <w:t xml:space="preserve">sole owner and no Encumbrances: </w:t>
      </w:r>
      <w:r>
        <w:rPr>
          <w:rFonts w:ascii="Arial" w:cs="Arial" w:eastAsia="Arial" w:hAnsi="Arial"/>
          <w:sz w:val="22"/>
          <w:szCs w:val="22"/>
          <w:color w:val="auto"/>
        </w:rPr>
        <w:t>except as notified to the Bank in writing before the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w:t>
      </w:r>
    </w:p>
    <w:p>
      <w:pPr>
        <w:spacing w:after="0" w:line="353" w:lineRule="exact"/>
        <w:rPr>
          <w:sz w:val="20"/>
          <w:szCs w:val="20"/>
          <w:color w:val="auto"/>
        </w:rPr>
      </w:pPr>
    </w:p>
    <w:p>
      <w:pPr>
        <w:ind w:right="640"/>
        <w:spacing w:after="0" w:line="307" w:lineRule="auto"/>
        <w:rPr>
          <w:sz w:val="20"/>
          <w:szCs w:val="20"/>
          <w:color w:val="auto"/>
        </w:rPr>
      </w:pPr>
      <w:r>
        <w:rPr>
          <w:rFonts w:ascii="Arial" w:cs="Arial" w:eastAsia="Arial" w:hAnsi="Arial"/>
          <w:sz w:val="22"/>
          <w:szCs w:val="22"/>
          <w:color w:val="auto"/>
        </w:rPr>
        <w:t>each Transaction Party is the sole legal and beneficial owner of the property it purports to own; and there are no Encumbrances over the property of any Transaction Party other than Permitted Encumbrances;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 existing default: </w:t>
      </w:r>
      <w:r>
        <w:rPr>
          <w:rFonts w:ascii="Arial" w:cs="Arial" w:eastAsia="Arial" w:hAnsi="Arial"/>
          <w:sz w:val="22"/>
          <w:szCs w:val="22"/>
          <w:color w:val="auto"/>
        </w:rPr>
        <w:t>no Event of Default, Review Event or Potential Event of Default subsists;</w:t>
      </w:r>
    </w:p>
    <w:p>
      <w:pPr>
        <w:spacing w:after="0" w:line="200" w:lineRule="exact"/>
        <w:rPr>
          <w:sz w:val="20"/>
          <w:szCs w:val="20"/>
          <w:color w:val="auto"/>
        </w:rPr>
      </w:pPr>
    </w:p>
    <w:p>
      <w:pPr>
        <w:spacing w:after="0" w:line="218" w:lineRule="exact"/>
        <w:rPr>
          <w:sz w:val="20"/>
          <w:szCs w:val="20"/>
          <w:color w:val="auto"/>
        </w:rPr>
      </w:pPr>
    </w:p>
    <w:p>
      <w:pPr>
        <w:ind w:right="340"/>
        <w:spacing w:after="0" w:line="307" w:lineRule="auto"/>
        <w:rPr>
          <w:sz w:val="20"/>
          <w:szCs w:val="20"/>
          <w:color w:val="auto"/>
        </w:rPr>
      </w:pPr>
      <w:r>
        <w:rPr>
          <w:rFonts w:ascii="Arial" w:cs="Arial" w:eastAsia="Arial" w:hAnsi="Arial"/>
          <w:sz w:val="22"/>
          <w:szCs w:val="22"/>
          <w:b w:val="1"/>
          <w:bCs w:val="1"/>
          <w:color w:val="auto"/>
        </w:rPr>
        <w:t xml:space="preserve">ranking of obligations: </w:t>
      </w:r>
      <w:r>
        <w:rPr>
          <w:rFonts w:ascii="Arial" w:cs="Arial" w:eastAsia="Arial" w:hAnsi="Arial"/>
          <w:sz w:val="22"/>
          <w:szCs w:val="22"/>
          <w:color w:val="auto"/>
        </w:rPr>
        <w:t>each obligation of the Borrower under this document ranks at least pari passu</w:t>
      </w:r>
      <w:r>
        <w:rPr>
          <w:rFonts w:ascii="Arial" w:cs="Arial" w:eastAsia="Arial" w:hAnsi="Arial"/>
          <w:sz w:val="22"/>
          <w:szCs w:val="22"/>
          <w:b w:val="1"/>
          <w:bCs w:val="1"/>
          <w:color w:val="auto"/>
        </w:rPr>
        <w:t xml:space="preserve"> </w:t>
      </w:r>
      <w:r>
        <w:rPr>
          <w:rFonts w:ascii="Arial" w:cs="Arial" w:eastAsia="Arial" w:hAnsi="Arial"/>
          <w:sz w:val="22"/>
          <w:szCs w:val="22"/>
          <w:color w:val="auto"/>
        </w:rPr>
        <w:t>with all unsecured and unsubordinated obligations of the Borrower except obligations mandatorily preferred by law;</w:t>
      </w:r>
    </w:p>
    <w:p>
      <w:pPr>
        <w:spacing w:after="0" w:line="349"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warranties correct: </w:t>
      </w:r>
      <w:r>
        <w:rPr>
          <w:rFonts w:ascii="Arial" w:cs="Arial" w:eastAsia="Arial" w:hAnsi="Arial"/>
          <w:sz w:val="22"/>
          <w:szCs w:val="22"/>
          <w:color w:val="auto"/>
        </w:rPr>
        <w:t>the representations and warranties given by any Transaction Party in any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are correct in all material respects and not misleading in any material respect and will be when given or repeated;</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98</w:t>
      </w:r>
    </w:p>
    <w:p>
      <w:pPr>
        <w:sectPr>
          <w:pgSz w:w="11900" w:h="16838" w:orient="portrait"/>
          <w:cols w:equalWidth="0" w:num="1">
            <w:col w:w="9380"/>
          </w:cols>
          <w:pgMar w:left="1260" w:top="1177" w:right="1266" w:bottom="0" w:gutter="0" w:footer="0" w:header="0"/>
          <w:type w:val="continuous"/>
        </w:sectPr>
      </w:pPr>
    </w:p>
    <w:bookmarkStart w:id="214" w:name="page215"/>
    <w:bookmarkEnd w:id="214"/>
    <w:p>
      <w:pPr>
        <w:spacing w:after="0" w:line="67" w:lineRule="exact"/>
        <w:rPr>
          <w:sz w:val="20"/>
          <w:szCs w:val="20"/>
          <w:color w:val="auto"/>
        </w:rPr>
      </w:pPr>
    </w:p>
    <w:p>
      <w:pPr>
        <w:ind w:left="6" w:right="440"/>
        <w:spacing w:after="0" w:line="328" w:lineRule="auto"/>
        <w:rPr>
          <w:sz w:val="20"/>
          <w:szCs w:val="20"/>
          <w:color w:val="auto"/>
        </w:rPr>
      </w:pPr>
      <w:r>
        <w:rPr>
          <w:rFonts w:ascii="Arial" w:cs="Arial" w:eastAsia="Arial" w:hAnsi="Arial"/>
          <w:sz w:val="21"/>
          <w:szCs w:val="21"/>
          <w:b w:val="1"/>
          <w:bCs w:val="1"/>
          <w:color w:val="auto"/>
        </w:rPr>
        <w:t xml:space="preserve">no immunity: </w:t>
      </w:r>
      <w:r>
        <w:rPr>
          <w:rFonts w:ascii="Arial" w:cs="Arial" w:eastAsia="Arial" w:hAnsi="Arial"/>
          <w:sz w:val="21"/>
          <w:szCs w:val="21"/>
          <w:color w:val="auto"/>
        </w:rPr>
        <w:t>each Transaction Party and its property are free of any right of immunity from set-off,</w:t>
      </w:r>
      <w:r>
        <w:rPr>
          <w:rFonts w:ascii="Arial" w:cs="Arial" w:eastAsia="Arial" w:hAnsi="Arial"/>
          <w:sz w:val="21"/>
          <w:szCs w:val="21"/>
          <w:b w:val="1"/>
          <w:bCs w:val="1"/>
          <w:color w:val="auto"/>
        </w:rPr>
        <w:t xml:space="preserve"> </w:t>
      </w:r>
      <w:r>
        <w:rPr>
          <w:rFonts w:ascii="Arial" w:cs="Arial" w:eastAsia="Arial" w:hAnsi="Arial"/>
          <w:sz w:val="21"/>
          <w:szCs w:val="21"/>
          <w:color w:val="auto"/>
        </w:rPr>
        <w:t>proceedings or execution in relation to its obligations under any Transaction Document;</w:t>
      </w:r>
    </w:p>
    <w:p>
      <w:pPr>
        <w:spacing w:after="0" w:line="330" w:lineRule="exact"/>
        <w:rPr>
          <w:sz w:val="20"/>
          <w:szCs w:val="20"/>
          <w:color w:val="auto"/>
        </w:rPr>
      </w:pPr>
    </w:p>
    <w:p>
      <w:pPr>
        <w:ind w:left="6" w:right="100"/>
        <w:spacing w:after="0" w:line="302" w:lineRule="auto"/>
        <w:rPr>
          <w:sz w:val="20"/>
          <w:szCs w:val="20"/>
          <w:color w:val="auto"/>
        </w:rPr>
      </w:pPr>
      <w:r>
        <w:rPr>
          <w:rFonts w:ascii="Arial" w:cs="Arial" w:eastAsia="Arial" w:hAnsi="Arial"/>
          <w:sz w:val="22"/>
          <w:szCs w:val="22"/>
          <w:b w:val="1"/>
          <w:bCs w:val="1"/>
          <w:color w:val="auto"/>
        </w:rPr>
        <w:t xml:space="preserve">insurance: </w:t>
      </w:r>
      <w:r>
        <w:rPr>
          <w:rFonts w:ascii="Arial" w:cs="Arial" w:eastAsia="Arial" w:hAnsi="Arial"/>
          <w:sz w:val="22"/>
          <w:szCs w:val="22"/>
          <w:color w:val="auto"/>
        </w:rPr>
        <w:t>the Insurances are enforceable against the relevant insurer in accordance with their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are not void or voidable;</w:t>
      </w:r>
    </w:p>
    <w:p>
      <w:pPr>
        <w:spacing w:after="0" w:line="353" w:lineRule="exact"/>
        <w:rPr>
          <w:sz w:val="20"/>
          <w:szCs w:val="20"/>
          <w:color w:val="auto"/>
        </w:rPr>
      </w:pPr>
    </w:p>
    <w:p>
      <w:pPr>
        <w:ind w:left="6" w:right="320"/>
        <w:spacing w:after="0" w:line="302" w:lineRule="auto"/>
        <w:rPr>
          <w:sz w:val="20"/>
          <w:szCs w:val="20"/>
          <w:color w:val="auto"/>
        </w:rPr>
      </w:pPr>
      <w:r>
        <w:rPr>
          <w:rFonts w:ascii="Arial" w:cs="Arial" w:eastAsia="Arial" w:hAnsi="Arial"/>
          <w:sz w:val="22"/>
          <w:szCs w:val="22"/>
          <w:b w:val="1"/>
          <w:bCs w:val="1"/>
          <w:color w:val="auto"/>
        </w:rPr>
        <w:t xml:space="preserve">trust provisions: </w:t>
      </w:r>
      <w:r>
        <w:rPr>
          <w:rFonts w:ascii="Arial" w:cs="Arial" w:eastAsia="Arial" w:hAnsi="Arial"/>
          <w:sz w:val="22"/>
          <w:szCs w:val="22"/>
          <w:color w:val="auto"/>
        </w:rPr>
        <w:t>in relation to each Transaction Party which enters into any Transaction Document as</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of a Trust:</w:t>
      </w:r>
    </w:p>
    <w:p>
      <w:pPr>
        <w:spacing w:after="0" w:line="353" w:lineRule="exact"/>
        <w:rPr>
          <w:sz w:val="20"/>
          <w:szCs w:val="20"/>
          <w:color w:val="auto"/>
        </w:rPr>
      </w:pPr>
    </w:p>
    <w:p>
      <w:pPr>
        <w:ind w:left="6"/>
        <w:spacing w:after="0" w:line="311" w:lineRule="auto"/>
        <w:rPr>
          <w:sz w:val="20"/>
          <w:szCs w:val="20"/>
          <w:color w:val="auto"/>
        </w:rPr>
      </w:pPr>
      <w:r>
        <w:rPr>
          <w:rFonts w:ascii="Arial" w:cs="Arial" w:eastAsia="Arial" w:hAnsi="Arial"/>
          <w:sz w:val="22"/>
          <w:szCs w:val="22"/>
          <w:color w:val="auto"/>
        </w:rPr>
        <w:t>the Trustee has power as trustee of the Trust to execute and perform its obligations under the Transaction Documents; the Trustee, in executing the Transaction Documents and entering into those transactions, have properly performed their obligations to the beneficiaries of the Trust; all necessary action required by the Trust Deed to authorise the unconditional execution and delivery of, and compliance with its obligations under, the Transaction Documents has been taken; the Trustee is the only trustee of the Trust; no effective action has been taken to remove the Trustee as trustee of the Trust or to appoint an additional trustee of the Trust;</w:t>
      </w:r>
    </w:p>
    <w:p>
      <w:pPr>
        <w:spacing w:after="0" w:line="345" w:lineRule="exact"/>
        <w:rPr>
          <w:sz w:val="20"/>
          <w:szCs w:val="20"/>
          <w:color w:val="auto"/>
        </w:rPr>
      </w:pPr>
    </w:p>
    <w:p>
      <w:pPr>
        <w:ind w:left="6" w:right="100" w:hanging="6"/>
        <w:spacing w:after="0" w:line="344" w:lineRule="auto"/>
        <w:tabs>
          <w:tab w:leader="none" w:pos="93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Trustee has a right to be fully indemnified out of the property of the Trust in relation to all of its obligations under the Transaction Documents; the Trustee has not released or disposed of its equitable lien over the property of the Trust which secures that indemnity; and the property of the Trust is sufficient to satisfy that indemnity; the Trustee has complied with all of its obligations as trustee of the Trust in relation to execution of the Transaction Documents; no effective action has been taken or, so far as the Trustee is aware, is contemplated by the beneficiaries of the Trust to terminate the Trust;</w:t>
      </w:r>
    </w:p>
    <w:p>
      <w:pPr>
        <w:spacing w:after="0" w:line="2" w:lineRule="exact"/>
        <w:rPr>
          <w:rFonts w:ascii="Arial" w:cs="Arial" w:eastAsia="Arial" w:hAnsi="Arial"/>
          <w:sz w:val="20"/>
          <w:szCs w:val="20"/>
          <w:color w:val="auto"/>
        </w:rPr>
      </w:pPr>
    </w:p>
    <w:p>
      <w:pPr>
        <w:ind w:left="6" w:right="20"/>
        <w:spacing w:after="0" w:line="327" w:lineRule="auto"/>
        <w:rPr>
          <w:rFonts w:ascii="Arial" w:cs="Arial" w:eastAsia="Arial" w:hAnsi="Arial"/>
          <w:sz w:val="20"/>
          <w:szCs w:val="20"/>
          <w:color w:val="auto"/>
        </w:rPr>
      </w:pPr>
      <w:r>
        <w:rPr>
          <w:rFonts w:ascii="Arial" w:cs="Arial" w:eastAsia="Arial" w:hAnsi="Arial"/>
          <w:sz w:val="21"/>
          <w:szCs w:val="21"/>
          <w:color w:val="auto"/>
        </w:rPr>
        <w:t>the Trustee has disclosed to the Bank full details of: the Trust and any other trust or fiduciary relationship affecting the property of the Trust and, without limitation, has given to the Bank copies of any instruments creating or evidencing the Trust; and the Trustee’s other trusteeships (if any);</w:t>
      </w:r>
    </w:p>
    <w:p>
      <w:pPr>
        <w:spacing w:after="0" w:line="2" w:lineRule="exact"/>
        <w:rPr>
          <w:rFonts w:ascii="Arial" w:cs="Arial" w:eastAsia="Arial" w:hAnsi="Arial"/>
          <w:sz w:val="20"/>
          <w:szCs w:val="20"/>
          <w:color w:val="auto"/>
        </w:rPr>
      </w:pPr>
    </w:p>
    <w:p>
      <w:pPr>
        <w:ind w:left="6" w:right="180"/>
        <w:spacing w:after="0" w:line="311" w:lineRule="auto"/>
        <w:rPr>
          <w:rFonts w:ascii="Arial" w:cs="Arial" w:eastAsia="Arial" w:hAnsi="Arial"/>
          <w:sz w:val="20"/>
          <w:szCs w:val="20"/>
          <w:color w:val="auto"/>
        </w:rPr>
      </w:pPr>
      <w:r>
        <w:rPr>
          <w:rFonts w:ascii="Arial" w:cs="Arial" w:eastAsia="Arial" w:hAnsi="Arial"/>
          <w:sz w:val="22"/>
          <w:szCs w:val="22"/>
          <w:color w:val="auto"/>
        </w:rPr>
        <w:t>the Trust is properly constituted and the Trust Deed is not void, voidable or otherwise unenforceable; the rights of the beneficiaries of the Trust in relation to, and their interest in, the property of the Trust are subject to: the rights of the Bank in relation to, and their respective interests in, the property of the Trust; and any rights or interests in the property of the Trust to which the Bank may from time to time be subrogated; and the Trustee: if it is a corporation, is duly incorporated in accordance with the laws of its place of incorporation, validly exists under those laws and has the capacity to sue and be sued in its own name, to own property and to act as trustee of the Trust; if it is natural person, has the capacity to be trustee of the Trust;</w:t>
      </w:r>
    </w:p>
    <w:p>
      <w:pPr>
        <w:spacing w:after="0" w:line="348" w:lineRule="exact"/>
        <w:rPr>
          <w:sz w:val="20"/>
          <w:szCs w:val="20"/>
          <w:color w:val="auto"/>
        </w:rPr>
      </w:pPr>
    </w:p>
    <w:p>
      <w:pPr>
        <w:ind w:left="6" w:right="240"/>
        <w:spacing w:after="0" w:line="356" w:lineRule="auto"/>
        <w:rPr>
          <w:sz w:val="20"/>
          <w:szCs w:val="20"/>
          <w:color w:val="auto"/>
        </w:rPr>
      </w:pPr>
      <w:r>
        <w:rPr>
          <w:rFonts w:ascii="Arial" w:cs="Arial" w:eastAsia="Arial" w:hAnsi="Arial"/>
          <w:sz w:val="20"/>
          <w:szCs w:val="20"/>
          <w:b w:val="1"/>
          <w:bCs w:val="1"/>
          <w:color w:val="auto"/>
        </w:rPr>
        <w:t xml:space="preserve">solvency: </w:t>
      </w:r>
      <w:r>
        <w:rPr>
          <w:rFonts w:ascii="Arial" w:cs="Arial" w:eastAsia="Arial" w:hAnsi="Arial"/>
          <w:sz w:val="20"/>
          <w:szCs w:val="20"/>
          <w:color w:val="auto"/>
        </w:rPr>
        <w:t>each Transaction party is not insolvent; corporate benefit: each of the Transaction Parties will</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corporate benefit by entering into the Transaction Documents to which they are a party.</w:t>
      </w:r>
    </w:p>
    <w:p>
      <w:pPr>
        <w:spacing w:after="0" w:line="29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General</w:t>
      </w:r>
    </w:p>
    <w:p>
      <w:pPr>
        <w:spacing w:after="0" w:line="88" w:lineRule="exact"/>
        <w:rPr>
          <w:sz w:val="20"/>
          <w:szCs w:val="20"/>
          <w:color w:val="auto"/>
        </w:rPr>
      </w:pPr>
    </w:p>
    <w:p>
      <w:pPr>
        <w:ind w:left="6" w:right="260"/>
        <w:spacing w:after="0" w:line="309" w:lineRule="auto"/>
        <w:rPr>
          <w:sz w:val="20"/>
          <w:szCs w:val="20"/>
          <w:color w:val="auto"/>
        </w:rPr>
      </w:pPr>
      <w:r>
        <w:rPr>
          <w:rFonts w:ascii="Arial" w:cs="Arial" w:eastAsia="Arial" w:hAnsi="Arial"/>
          <w:sz w:val="22"/>
          <w:szCs w:val="22"/>
          <w:color w:val="auto"/>
        </w:rPr>
        <w:t>The interpretation of any statement contained in any representation or warranty will not be restricted by reference to or inference from any other statement contained in any other representation or warranty. The Borrower acknowledges that the Bank enters into the Transaction Documents in reliance on each representation and warranty.</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33 / 98</w:t>
      </w:r>
    </w:p>
    <w:p>
      <w:pPr>
        <w:sectPr>
          <w:pgSz w:w="11900" w:h="16838" w:orient="portrait"/>
          <w:cols w:equalWidth="0" w:num="1">
            <w:col w:w="9386"/>
          </w:cols>
          <w:pgMar w:left="1254" w:top="1440" w:right="1266" w:bottom="0" w:gutter="0" w:footer="0" w:header="0"/>
          <w:type w:val="continuous"/>
        </w:sectPr>
      </w:pPr>
    </w:p>
    <w:bookmarkStart w:id="215" w:name="page216"/>
    <w:bookmarkEnd w:id="215"/>
    <w:p>
      <w:pPr>
        <w:spacing w:after="0" w:line="67" w:lineRule="exact"/>
        <w:rPr>
          <w:sz w:val="20"/>
          <w:szCs w:val="20"/>
          <w:color w:val="auto"/>
        </w:rPr>
      </w:pPr>
    </w:p>
    <w:p>
      <w:pPr>
        <w:spacing w:after="0" w:line="328" w:lineRule="auto"/>
        <w:rPr>
          <w:sz w:val="20"/>
          <w:szCs w:val="20"/>
          <w:color w:val="auto"/>
        </w:rPr>
      </w:pPr>
      <w:r>
        <w:rPr>
          <w:rFonts w:ascii="Arial" w:cs="Arial" w:eastAsia="Arial" w:hAnsi="Arial"/>
          <w:sz w:val="21"/>
          <w:szCs w:val="21"/>
          <w:color w:val="auto"/>
        </w:rPr>
        <w:t>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p>
    <w:p>
      <w:pPr>
        <w:spacing w:after="0" w:line="232" w:lineRule="auto"/>
        <w:rPr>
          <w:sz w:val="20"/>
          <w:szCs w:val="20"/>
          <w:color w:val="auto"/>
        </w:rPr>
      </w:pPr>
      <w:r>
        <w:rPr>
          <w:rFonts w:ascii="Arial" w:cs="Arial" w:eastAsia="Arial" w:hAnsi="Arial"/>
          <w:sz w:val="24"/>
          <w:szCs w:val="24"/>
          <w:b w:val="1"/>
          <w:bCs w:val="1"/>
          <w:color w:val="auto"/>
        </w:rPr>
        <w:t>General obligations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pay to the Bank:</w:t>
      </w:r>
    </w:p>
    <w:p>
      <w:pPr>
        <w:spacing w:after="0" w:line="200" w:lineRule="exact"/>
        <w:rPr>
          <w:sz w:val="20"/>
          <w:szCs w:val="20"/>
          <w:color w:val="auto"/>
        </w:rPr>
      </w:pPr>
    </w:p>
    <w:p>
      <w:pPr>
        <w:spacing w:after="0" w:line="207" w:lineRule="exact"/>
        <w:rPr>
          <w:sz w:val="20"/>
          <w:szCs w:val="20"/>
          <w:color w:val="auto"/>
        </w:rPr>
      </w:pPr>
    </w:p>
    <w:p>
      <w:pPr>
        <w:ind w:left="1480" w:hanging="766"/>
        <w:spacing w:after="0"/>
        <w:tabs>
          <w:tab w:leader="none" w:pos="1480"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87" w:lineRule="exact"/>
        <w:rPr>
          <w:rFonts w:ascii="Arial" w:cs="Arial" w:eastAsia="Arial" w:hAnsi="Arial"/>
          <w:sz w:val="22"/>
          <w:szCs w:val="22"/>
          <w:color w:val="auto"/>
        </w:rPr>
      </w:pPr>
    </w:p>
    <w:p>
      <w:pPr>
        <w:ind w:left="1440" w:right="20" w:hanging="726"/>
        <w:spacing w:after="0" w:line="311" w:lineRule="auto"/>
        <w:tabs>
          <w:tab w:leader="none" w:pos="1486"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 xml:space="preserve">Corporate Markets Loan Facility fee: </w:t>
      </w:r>
      <w:r>
        <w:rPr>
          <w:rFonts w:ascii="Arial" w:cs="Arial" w:eastAsia="Arial" w:hAnsi="Arial"/>
          <w:sz w:val="22"/>
          <w:szCs w:val="22"/>
          <w:color w:val="auto"/>
        </w:rPr>
        <w:t>a non-refundable facility fee on the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Limit in respect of the Corporate Markets Loan Facility [***] from the October 2025 Amendment Date, which will: accrue from day to day from the date of this document up to and including the Termination Date; be payable quarterly in arrears, on the first Business Day of each Quarter; be calculated on the actual number of days elapsed and on the basis of a 365 day year;</w:t>
      </w:r>
    </w:p>
    <w:p>
      <w:pPr>
        <w:spacing w:after="0" w:line="2" w:lineRule="exact"/>
        <w:rPr>
          <w:rFonts w:ascii="Arial" w:cs="Arial" w:eastAsia="Arial" w:hAnsi="Arial"/>
          <w:sz w:val="22"/>
          <w:szCs w:val="22"/>
          <w:color w:val="auto"/>
        </w:rPr>
      </w:pPr>
    </w:p>
    <w:p>
      <w:pPr>
        <w:ind w:left="1500" w:hanging="786"/>
        <w:spacing w:after="0"/>
        <w:tabs>
          <w:tab w:leader="none" w:pos="1500"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87" w:lineRule="exact"/>
        <w:rPr>
          <w:rFonts w:ascii="Arial" w:cs="Arial" w:eastAsia="Arial" w:hAnsi="Arial"/>
          <w:sz w:val="22"/>
          <w:szCs w:val="22"/>
          <w:color w:val="auto"/>
        </w:rPr>
      </w:pPr>
    </w:p>
    <w:p>
      <w:pPr>
        <w:ind w:left="1440" w:right="40" w:hanging="726"/>
        <w:spacing w:after="0" w:line="327" w:lineRule="auto"/>
        <w:tabs>
          <w:tab w:leader="none" w:pos="1486"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 xml:space="preserve">Bank Guarantee service fee: </w:t>
      </w:r>
      <w:r>
        <w:rPr>
          <w:rFonts w:ascii="Arial" w:cs="Arial" w:eastAsia="Arial" w:hAnsi="Arial"/>
          <w:sz w:val="21"/>
          <w:szCs w:val="21"/>
          <w:color w:val="auto"/>
        </w:rPr>
        <w:t>on and from the first services fee charge date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the August 2023 Amendment Date, a non-refundable fee of [***] calculated on the Face Value of the Bank Guarantee, payable on a pro-rata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 and</w:t>
      </w:r>
    </w:p>
    <w:p>
      <w:pPr>
        <w:ind w:left="1460" w:hanging="746"/>
        <w:spacing w:after="0"/>
        <w:tabs>
          <w:tab w:leader="none" w:pos="1460"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 xml:space="preserve">Bank Guarantee issuance fee: </w:t>
      </w:r>
      <w:r>
        <w:rPr>
          <w:rFonts w:ascii="Arial" w:cs="Arial" w:eastAsia="Arial" w:hAnsi="Arial"/>
          <w:sz w:val="22"/>
          <w:szCs w:val="22"/>
          <w:color w:val="auto"/>
        </w:rPr>
        <w:t>a non-refundable fee in respect of each Bank</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Guarantee [***]), payable on the relevant Funding Date of the Bank Guarantee.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ensure that each Transaction Party:</w:t>
      </w:r>
    </w:p>
    <w:p>
      <w:pPr>
        <w:spacing w:after="0" w:line="200" w:lineRule="exact"/>
        <w:rPr>
          <w:sz w:val="20"/>
          <w:szCs w:val="20"/>
          <w:color w:val="auto"/>
        </w:rPr>
      </w:pPr>
    </w:p>
    <w:p>
      <w:pPr>
        <w:spacing w:after="0" w:line="218" w:lineRule="exact"/>
        <w:rPr>
          <w:sz w:val="20"/>
          <w:szCs w:val="20"/>
          <w:color w:val="auto"/>
        </w:rPr>
      </w:pPr>
    </w:p>
    <w:p>
      <w:pPr>
        <w:ind w:right="760"/>
        <w:spacing w:after="0" w:line="388" w:lineRule="auto"/>
        <w:rPr>
          <w:sz w:val="20"/>
          <w:szCs w:val="20"/>
          <w:color w:val="auto"/>
        </w:rPr>
      </w:pPr>
      <w:r>
        <w:rPr>
          <w:rFonts w:ascii="Arial" w:cs="Arial" w:eastAsia="Arial" w:hAnsi="Arial"/>
          <w:sz w:val="19"/>
          <w:szCs w:val="19"/>
          <w:color w:val="auto"/>
        </w:rPr>
        <w:t>prepares and keeps books, accounts and other records in accordance with the law and Accounting Standards; and on demand, makes the same available for inspection and copying by the Bank.</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Statements and other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give to the Bank:</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Annual Financial Statements: </w:t>
      </w:r>
      <w:r>
        <w:rPr>
          <w:rFonts w:ascii="Arial" w:cs="Arial" w:eastAsia="Arial" w:hAnsi="Arial"/>
          <w:sz w:val="22"/>
          <w:szCs w:val="22"/>
          <w:color w:val="auto"/>
        </w:rPr>
        <w:t>as soon as practicable, and in any event within 120 days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Financial Year the consolidated audited Financial Statements of the Reading Entertainment Australia Group for that Financial Year;</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34 / 98</w:t>
      </w:r>
    </w:p>
    <w:p>
      <w:pPr>
        <w:sectPr>
          <w:pgSz w:w="11900" w:h="16838" w:orient="portrait"/>
          <w:cols w:equalWidth="0" w:num="1">
            <w:col w:w="9320"/>
          </w:cols>
          <w:pgMar w:left="1260" w:top="1440" w:right="1326" w:bottom="0" w:gutter="0" w:footer="0" w:header="0"/>
          <w:type w:val="continuous"/>
        </w:sectPr>
      </w:pPr>
    </w:p>
    <w:bookmarkStart w:id="216" w:name="page217"/>
    <w:bookmarkEnd w:id="216"/>
    <w:p>
      <w:pPr>
        <w:ind w:right="40"/>
        <w:spacing w:after="0" w:line="310" w:lineRule="auto"/>
        <w:rPr>
          <w:sz w:val="20"/>
          <w:szCs w:val="20"/>
          <w:color w:val="auto"/>
        </w:rPr>
      </w:pPr>
      <w:r>
        <w:rPr>
          <w:rFonts w:ascii="Arial" w:cs="Arial" w:eastAsia="Arial" w:hAnsi="Arial"/>
          <w:sz w:val="22"/>
          <w:szCs w:val="22"/>
          <w:b w:val="1"/>
          <w:bCs w:val="1"/>
          <w:color w:val="auto"/>
        </w:rPr>
        <w:t xml:space="preserve">Quarterly Financial Statements: </w:t>
      </w:r>
      <w:r>
        <w:rPr>
          <w:rFonts w:ascii="Arial" w:cs="Arial" w:eastAsia="Arial" w:hAnsi="Arial"/>
          <w:sz w:val="22"/>
          <w:szCs w:val="22"/>
          <w:color w:val="auto"/>
        </w:rPr>
        <w:t>as soon as practicable, and in any event within 45 days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Quarter (other than the Quarter ending 31 December</w:t>
      </w:r>
      <w:r>
        <w:rPr>
          <w:rFonts w:ascii="Arial" w:cs="Arial" w:eastAsia="Arial" w:hAnsi="Arial"/>
          <w:sz w:val="22"/>
          <w:szCs w:val="22"/>
          <w:u w:val="single" w:color="auto"/>
          <w:color w:val="auto"/>
        </w:rPr>
        <w:t>)</w:t>
      </w:r>
      <w:r>
        <w:rPr>
          <w:rFonts w:ascii="Arial" w:cs="Arial" w:eastAsia="Arial" w:hAnsi="Arial"/>
          <w:sz w:val="22"/>
          <w:szCs w:val="22"/>
          <w:color w:val="auto"/>
        </w:rPr>
        <w:t xml:space="preserve"> the consolidated unaudited Financial Statements of the Reading Entertainment Australia Group for that Quarter (showing both actual and budget figures and any information regarding the effect of AASB 16 on EBITDA, including but limited to, AASB 16 interest expense and AASB 16 depreciation);</w:t>
      </w:r>
    </w:p>
    <w:p>
      <w:pPr>
        <w:spacing w:after="0" w:line="346" w:lineRule="exact"/>
        <w:rPr>
          <w:sz w:val="20"/>
          <w:szCs w:val="20"/>
          <w:color w:val="auto"/>
        </w:rPr>
      </w:pPr>
    </w:p>
    <w:p>
      <w:pPr>
        <w:ind w:right="80"/>
        <w:spacing w:after="0" w:line="310" w:lineRule="auto"/>
        <w:rPr>
          <w:sz w:val="20"/>
          <w:szCs w:val="20"/>
          <w:color w:val="auto"/>
        </w:rPr>
      </w:pPr>
      <w:r>
        <w:rPr>
          <w:rFonts w:ascii="Arial" w:cs="Arial" w:eastAsia="Arial" w:hAnsi="Arial"/>
          <w:sz w:val="22"/>
          <w:szCs w:val="22"/>
          <w:b w:val="1"/>
          <w:bCs w:val="1"/>
          <w:color w:val="auto"/>
        </w:rPr>
        <w:t xml:space="preserve">group structure diagram: </w:t>
      </w:r>
      <w:r>
        <w:rPr>
          <w:rFonts w:ascii="Arial" w:cs="Arial" w:eastAsia="Arial" w:hAnsi="Arial"/>
          <w:sz w:val="22"/>
          <w:szCs w:val="22"/>
          <w:color w:val="auto"/>
        </w:rPr>
        <w:t>within 120 days after the end of each Financial Year, a group structure</w:t>
      </w:r>
      <w:r>
        <w:rPr>
          <w:rFonts w:ascii="Arial" w:cs="Arial" w:eastAsia="Arial" w:hAnsi="Arial"/>
          <w:sz w:val="22"/>
          <w:szCs w:val="22"/>
          <w:b w:val="1"/>
          <w:bCs w:val="1"/>
          <w:color w:val="auto"/>
        </w:rPr>
        <w:t xml:space="preserve"> </w:t>
      </w:r>
      <w:r>
        <w:rPr>
          <w:rFonts w:ascii="Arial" w:cs="Arial" w:eastAsia="Arial" w:hAnsi="Arial"/>
          <w:sz w:val="22"/>
          <w:szCs w:val="22"/>
          <w:color w:val="auto"/>
        </w:rPr>
        <w:t>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w:t>
      </w:r>
    </w:p>
    <w:p>
      <w:pPr>
        <w:spacing w:after="0" w:line="346" w:lineRule="exact"/>
        <w:rPr>
          <w:sz w:val="20"/>
          <w:szCs w:val="20"/>
          <w:color w:val="auto"/>
        </w:rPr>
      </w:pPr>
    </w:p>
    <w:p>
      <w:pPr>
        <w:ind w:right="160"/>
        <w:spacing w:after="0" w:line="309" w:lineRule="auto"/>
        <w:rPr>
          <w:sz w:val="20"/>
          <w:szCs w:val="20"/>
          <w:color w:val="auto"/>
        </w:rPr>
      </w:pPr>
      <w:r>
        <w:rPr>
          <w:rFonts w:ascii="Arial" w:cs="Arial" w:eastAsia="Arial" w:hAnsi="Arial"/>
          <w:sz w:val="22"/>
          <w:szCs w:val="22"/>
          <w:b w:val="1"/>
          <w:bCs w:val="1"/>
          <w:color w:val="auto"/>
        </w:rPr>
        <w:t xml:space="preserve">budget: </w:t>
      </w:r>
      <w:r>
        <w:rPr>
          <w:rFonts w:ascii="Arial" w:cs="Arial" w:eastAsia="Arial" w:hAnsi="Arial"/>
          <w:sz w:val="22"/>
          <w:szCs w:val="22"/>
          <w:color w:val="auto"/>
        </w:rPr>
        <w:t>as soon as practicable, and in any event before 31 March for each Financial Year, a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budget for the Reading Entertainment Australia Group for the current Financial Year showing the budgeted profit and loss, balance sheet and cash flow for the Reading Entertainment Australia Group and such other matters customarily dealt with in such budgets;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18" w:lineRule="exact"/>
        <w:rPr>
          <w:sz w:val="20"/>
          <w:szCs w:val="20"/>
          <w:color w:val="auto"/>
        </w:rPr>
      </w:pPr>
    </w:p>
    <w:p>
      <w:pPr>
        <w:jc w:val="both"/>
        <w:ind w:right="140"/>
        <w:spacing w:after="0" w:line="307" w:lineRule="auto"/>
        <w:rPr>
          <w:sz w:val="20"/>
          <w:szCs w:val="20"/>
          <w:color w:val="auto"/>
        </w:rPr>
      </w:pPr>
      <w:r>
        <w:rPr>
          <w:rFonts w:ascii="Arial" w:cs="Arial" w:eastAsia="Arial" w:hAnsi="Arial"/>
          <w:sz w:val="22"/>
          <w:szCs w:val="22"/>
          <w:b w:val="1"/>
          <w:bCs w:val="1"/>
          <w:color w:val="auto"/>
        </w:rPr>
        <w:t xml:space="preserve">other financial information: </w:t>
      </w:r>
      <w:r>
        <w:rPr>
          <w:rFonts w:ascii="Arial" w:cs="Arial" w:eastAsia="Arial" w:hAnsi="Arial"/>
          <w:sz w:val="22"/>
          <w:szCs w:val="22"/>
          <w:color w:val="auto"/>
        </w:rPr>
        <w:t>promptly on reasonable notice from the Bank, such additional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relation to the financial condition and the operations of the Borrower and each other Transaction Party as the Bank reasonably requests from time to time.</w:t>
      </w:r>
    </w:p>
    <w:p>
      <w:pPr>
        <w:spacing w:after="0" w:line="349"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The Borrower must ensure that all Financial Statements given to the Bank under the Transaction Documents are prepared in accordance with the Corporations Act and the Accounting Standards.</w:t>
      </w:r>
    </w:p>
    <w:p>
      <w:pPr>
        <w:spacing w:after="0" w:line="330"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cs="Arial" w:eastAsia="Arial" w:hAnsi="Arial"/>
          <w:sz w:val="21"/>
          <w:szCs w:val="21"/>
          <w:b w:val="1"/>
          <w:bCs w:val="1"/>
          <w:color w:val="auto"/>
        </w:rPr>
        <w:t>clause 9.8</w:t>
      </w:r>
      <w:r>
        <w:rPr>
          <w:rFonts w:ascii="Arial" w:cs="Arial" w:eastAsia="Arial" w:hAnsi="Arial"/>
          <w:sz w:val="21"/>
          <w:szCs w:val="21"/>
          <w:color w:val="auto"/>
        </w:rPr>
        <w:t>, the Bank and the Borrower shall endeavour to agree mutually acceptable changes to this document so that the accounting change can be adopted for the purposes of this document.</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Adjustments for AASB 16</w:t>
      </w:r>
    </w:p>
    <w:p>
      <w:pPr>
        <w:spacing w:after="0" w:line="88" w:lineRule="exact"/>
        <w:rPr>
          <w:sz w:val="20"/>
          <w:szCs w:val="20"/>
          <w:color w:val="auto"/>
        </w:rPr>
      </w:pPr>
    </w:p>
    <w:p>
      <w:pPr>
        <w:ind w:right="320"/>
        <w:spacing w:after="0" w:line="309" w:lineRule="auto"/>
        <w:rPr>
          <w:sz w:val="20"/>
          <w:szCs w:val="20"/>
          <w:color w:val="auto"/>
        </w:rPr>
      </w:pPr>
      <w:r>
        <w:rPr>
          <w:rFonts w:ascii="Arial" w:cs="Arial" w:eastAsia="Arial" w:hAnsi="Arial"/>
          <w:sz w:val="22"/>
          <w:szCs w:val="22"/>
          <w:color w:val="auto"/>
        </w:rPr>
        <w:t>The parties acknowledge that: AASB 16 took effect on and from 1 January 2019, which changed or eliminated the distinction between operating leases and finance leases; and the parties are continuing to assess the potential effect of AASB 16 on the calculation of the financial ratios referred to in clause 9.8 and the related definitions.</w:t>
      </w:r>
    </w:p>
    <w:p>
      <w:pPr>
        <w:spacing w:after="0" w:line="347" w:lineRule="exact"/>
        <w:rPr>
          <w:sz w:val="20"/>
          <w:szCs w:val="20"/>
          <w:color w:val="auto"/>
        </w:rPr>
      </w:pPr>
    </w:p>
    <w:p>
      <w:pPr>
        <w:ind w:right="40"/>
        <w:spacing w:after="0" w:line="368" w:lineRule="auto"/>
        <w:rPr>
          <w:sz w:val="20"/>
          <w:szCs w:val="20"/>
          <w:color w:val="auto"/>
        </w:rPr>
      </w:pPr>
      <w:r>
        <w:rPr>
          <w:rFonts w:ascii="Arial" w:cs="Arial" w:eastAsia="Arial" w:hAnsi="Arial"/>
          <w:sz w:val="19"/>
          <w:szCs w:val="19"/>
          <w:color w:val="auto"/>
        </w:rPr>
        <w:t>For each Calculation Date occurring on or prior to 31 December 2021: the financial ratios referred to in clause 9.8 and the related definitions will be calculated ignoring any changes following AASB 16 taking effect on 1 January 2019; and the Company must provide with its Financial Statements and other financial information any reconciliation statements (audited, where applicable) necessary to enable the financial ratios in clause 9.8 and the related definitions to be calculated in accordance with clause 9.4(b)(i).</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98</w:t>
      </w:r>
    </w:p>
    <w:p>
      <w:pPr>
        <w:sectPr>
          <w:pgSz w:w="11900" w:h="16838" w:orient="portrait"/>
          <w:cols w:equalWidth="0" w:num="1">
            <w:col w:w="9400"/>
          </w:cols>
          <w:pgMar w:left="1260" w:top="1177" w:right="1246" w:bottom="0" w:gutter="0" w:footer="0" w:header="0"/>
          <w:type w:val="continuous"/>
        </w:sectPr>
      </w:pPr>
    </w:p>
    <w:bookmarkStart w:id="217" w:name="page218"/>
    <w:bookmarkEnd w:id="217"/>
    <w:p>
      <w:pPr>
        <w:ind w:right="40"/>
        <w:spacing w:after="0" w:line="311" w:lineRule="auto"/>
        <w:rPr>
          <w:sz w:val="20"/>
          <w:szCs w:val="20"/>
          <w:color w:val="auto"/>
        </w:rPr>
      </w:pPr>
      <w:r>
        <w:rPr>
          <w:rFonts w:ascii="Arial" w:cs="Arial" w:eastAsia="Arial" w:hAnsi="Arial"/>
          <w:sz w:val="22"/>
          <w:szCs w:val="22"/>
          <w:color w:val="auto"/>
        </w:rPr>
        <w:t>If, in the reasonable opinion of the Borrower or the Bank, at any time after 31 December 2021, taking into account the AASB 16 changes when calculating the financial ratios referred to in clause 9.8 and the related definitions would materially alter the effect of, or the calculation of, those financial ratios or related definitions, the Borrower and the Bank will negotiate in good faith to amend the relevant undertakings and definitions so that they have an effect comparable to that as if the AASB 16 changes did not apply.</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give to the Bank:</w:t>
      </w:r>
    </w:p>
    <w:p>
      <w:pPr>
        <w:spacing w:after="0" w:line="200" w:lineRule="exact"/>
        <w:rPr>
          <w:sz w:val="20"/>
          <w:szCs w:val="20"/>
          <w:color w:val="auto"/>
        </w:rPr>
      </w:pPr>
    </w:p>
    <w:p>
      <w:pPr>
        <w:spacing w:after="0" w:line="218" w:lineRule="exact"/>
        <w:rPr>
          <w:sz w:val="20"/>
          <w:szCs w:val="20"/>
          <w:color w:val="auto"/>
        </w:rPr>
      </w:pPr>
    </w:p>
    <w:p>
      <w:pPr>
        <w:ind w:right="20"/>
        <w:spacing w:after="0" w:line="307" w:lineRule="auto"/>
        <w:rPr>
          <w:sz w:val="20"/>
          <w:szCs w:val="20"/>
          <w:color w:val="auto"/>
        </w:rPr>
      </w:pPr>
      <w:r>
        <w:rPr>
          <w:rFonts w:ascii="Arial" w:cs="Arial" w:eastAsia="Arial" w:hAnsi="Arial"/>
          <w:sz w:val="22"/>
          <w:szCs w:val="22"/>
          <w:b w:val="1"/>
          <w:bCs w:val="1"/>
          <w:color w:val="auto"/>
        </w:rPr>
        <w:t xml:space="preserve">other information: </w:t>
      </w:r>
      <w:r>
        <w:rPr>
          <w:rFonts w:ascii="Arial" w:cs="Arial" w:eastAsia="Arial" w:hAnsi="Arial"/>
          <w:sz w:val="22"/>
          <w:szCs w:val="22"/>
          <w:color w:val="auto"/>
        </w:rPr>
        <w:t>on reasonable notice from the Bank, any other information in the possession or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control of a Transaction Party which in the Bank’s reasonable opinion is necessary to verify the Borrower’s compliance with any Transaction Document;</w:t>
      </w:r>
    </w:p>
    <w:p>
      <w:pPr>
        <w:spacing w:after="0" w:line="349" w:lineRule="exact"/>
        <w:rPr>
          <w:sz w:val="20"/>
          <w:szCs w:val="20"/>
          <w:color w:val="auto"/>
        </w:rPr>
      </w:pPr>
    </w:p>
    <w:p>
      <w:pPr>
        <w:spacing w:after="0" w:line="307" w:lineRule="auto"/>
        <w:rPr>
          <w:sz w:val="20"/>
          <w:szCs w:val="20"/>
          <w:color w:val="auto"/>
        </w:rPr>
      </w:pPr>
      <w:r>
        <w:rPr>
          <w:rFonts w:ascii="Arial" w:cs="Arial" w:eastAsia="Arial" w:hAnsi="Arial"/>
          <w:sz w:val="22"/>
          <w:szCs w:val="22"/>
          <w:b w:val="1"/>
          <w:bCs w:val="1"/>
          <w:color w:val="auto"/>
        </w:rPr>
        <w:t xml:space="preserve">Annual Compliance Certificate: </w:t>
      </w:r>
      <w:r>
        <w:rPr>
          <w:rFonts w:ascii="Arial" w:cs="Arial" w:eastAsia="Arial" w:hAnsi="Arial"/>
          <w:sz w:val="22"/>
          <w:szCs w:val="22"/>
          <w:color w:val="auto"/>
        </w:rPr>
        <w:t>as soon as practicable, and in any event within 120 days after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Financial Year, an Annual Compliance Certificate for that Financial Year signed by at least one director of the Borrower;</w:t>
      </w:r>
    </w:p>
    <w:p>
      <w:pPr>
        <w:spacing w:after="0" w:line="349" w:lineRule="exact"/>
        <w:rPr>
          <w:sz w:val="20"/>
          <w:szCs w:val="20"/>
          <w:color w:val="auto"/>
        </w:rPr>
      </w:pPr>
    </w:p>
    <w:p>
      <w:pPr>
        <w:ind w:right="160"/>
        <w:spacing w:after="0" w:line="307" w:lineRule="auto"/>
        <w:rPr>
          <w:sz w:val="20"/>
          <w:szCs w:val="20"/>
          <w:color w:val="auto"/>
        </w:rPr>
      </w:pPr>
      <w:r>
        <w:rPr>
          <w:rFonts w:ascii="Arial" w:cs="Arial" w:eastAsia="Arial" w:hAnsi="Arial"/>
          <w:sz w:val="22"/>
          <w:szCs w:val="22"/>
          <w:b w:val="1"/>
          <w:bCs w:val="1"/>
          <w:color w:val="auto"/>
        </w:rPr>
        <w:t xml:space="preserve">Interim Compliance Certificate: </w:t>
      </w:r>
      <w:r>
        <w:rPr>
          <w:rFonts w:ascii="Arial" w:cs="Arial" w:eastAsia="Arial" w:hAnsi="Arial"/>
          <w:sz w:val="22"/>
          <w:szCs w:val="22"/>
          <w:color w:val="auto"/>
        </w:rPr>
        <w:t>as soon as practicable, and in any event within 45 days after the end</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Quarter (other than the Quarter ending 31 December) an Interim Compliance Certificate for the previous 12 months signed by at least one director of the Borrower;</w:t>
      </w:r>
    </w:p>
    <w:p>
      <w:pPr>
        <w:spacing w:after="0" w:line="19"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tenancy schedule: as soon as practicable, and in any event within 120 days of the end of each Financial Year an updated tenancy schedule for each Freehold Property, including (without limitation) the following details:</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the name of each tenant;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area let by each tenant;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current passing rent paid by each tenant;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the lease start date;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the lease term;</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the lease maturity date;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the option term (if any);</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rent review details; and</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any other material or special clauses or conditions;</w:t>
      </w:r>
    </w:p>
    <w:p>
      <w:pPr>
        <w:spacing w:after="0" w:line="200" w:lineRule="exact"/>
        <w:rPr>
          <w:sz w:val="20"/>
          <w:szCs w:val="20"/>
          <w:color w:val="auto"/>
        </w:rPr>
      </w:pPr>
    </w:p>
    <w:p>
      <w:pPr>
        <w:spacing w:after="0" w:line="218" w:lineRule="exact"/>
        <w:rPr>
          <w:sz w:val="20"/>
          <w:szCs w:val="20"/>
          <w:color w:val="auto"/>
        </w:rPr>
      </w:pPr>
    </w:p>
    <w:p>
      <w:pPr>
        <w:spacing w:after="0" w:line="311" w:lineRule="auto"/>
        <w:rPr>
          <w:sz w:val="20"/>
          <w:szCs w:val="20"/>
          <w:color w:val="auto"/>
        </w:rPr>
      </w:pPr>
      <w:r>
        <w:rPr>
          <w:rFonts w:ascii="Arial" w:cs="Arial" w:eastAsia="Arial" w:hAnsi="Arial"/>
          <w:sz w:val="22"/>
          <w:szCs w:val="22"/>
          <w:b w:val="1"/>
          <w:bCs w:val="1"/>
          <w:color w:val="auto"/>
        </w:rPr>
        <w:t xml:space="preserve">Valuations: </w:t>
      </w:r>
      <w:r>
        <w:rPr>
          <w:rFonts w:ascii="Arial" w:cs="Arial" w:eastAsia="Arial" w:hAnsi="Arial"/>
          <w:sz w:val="22"/>
          <w:szCs w:val="22"/>
          <w:color w:val="auto"/>
        </w:rPr>
        <w:t>on demand (provided that no more than one demand is made in a Financial Year and the Bank</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considers that there has been a material devaluation of the freehold and leasehold interests subject to the Collateral Security), a Valuation in respect of each Freehold Property and leasehold interest that is subject to the Collateral Security. Each Valuation is to be at the Borrower’s expense, addressed to the Bank, conducted by an Approved Valuer and in a form and substance (other than as to value) reasonably satisfactory to the Bank;</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 / 98</w:t>
      </w:r>
    </w:p>
    <w:p>
      <w:pPr>
        <w:sectPr>
          <w:pgSz w:w="11900" w:h="16838" w:orient="portrait"/>
          <w:cols w:equalWidth="0" w:num="1">
            <w:col w:w="9380"/>
          </w:cols>
          <w:pgMar w:left="1260" w:top="1177" w:right="1266" w:bottom="0" w:gutter="0" w:footer="0" w:header="0"/>
          <w:type w:val="continuous"/>
        </w:sectPr>
      </w:pPr>
    </w:p>
    <w:bookmarkStart w:id="218" w:name="page219"/>
    <w:bookmarkEnd w:id="218"/>
    <w:p>
      <w:pPr>
        <w:ind w:right="140"/>
        <w:spacing w:after="0" w:line="309" w:lineRule="auto"/>
        <w:rPr>
          <w:sz w:val="20"/>
          <w:szCs w:val="20"/>
          <w:color w:val="auto"/>
        </w:rPr>
      </w:pPr>
      <w:r>
        <w:rPr>
          <w:rFonts w:ascii="Arial" w:cs="Arial" w:eastAsia="Arial" w:hAnsi="Arial"/>
          <w:sz w:val="22"/>
          <w:szCs w:val="22"/>
          <w:b w:val="1"/>
          <w:bCs w:val="1"/>
          <w:color w:val="auto"/>
        </w:rPr>
        <w:t xml:space="preserve">details of any proceeding: </w:t>
      </w:r>
      <w:r>
        <w:rPr>
          <w:rFonts w:ascii="Arial" w:cs="Arial" w:eastAsia="Arial" w:hAnsi="Arial"/>
          <w:sz w:val="22"/>
          <w:szCs w:val="22"/>
          <w:color w:val="auto"/>
        </w:rPr>
        <w:t>full details of any litigation, arbitration, administrative proceeding or native</w:t>
      </w:r>
      <w:r>
        <w:rPr>
          <w:rFonts w:ascii="Arial" w:cs="Arial" w:eastAsia="Arial" w:hAnsi="Arial"/>
          <w:sz w:val="22"/>
          <w:szCs w:val="22"/>
          <w:b w:val="1"/>
          <w:bCs w:val="1"/>
          <w:color w:val="auto"/>
        </w:rPr>
        <w:t xml:space="preserve"> </w:t>
      </w:r>
      <w:r>
        <w:rPr>
          <w:rFonts w:ascii="Arial" w:cs="Arial" w:eastAsia="Arial" w:hAnsi="Arial"/>
          <w:sz w:val="22"/>
          <w:szCs w:val="22"/>
          <w:color w:val="auto"/>
        </w:rPr>
        <w:t>title claim which affects a Transaction Party and which has or the adverse determination of which would be likely to have a Material Adverse Effect, as soon as it is commenced or to the knowledge of the Borrower is threatened; and</w:t>
      </w:r>
    </w:p>
    <w:p>
      <w:pPr>
        <w:spacing w:after="0" w:line="347" w:lineRule="exact"/>
        <w:rPr>
          <w:sz w:val="20"/>
          <w:szCs w:val="20"/>
          <w:color w:val="auto"/>
        </w:rPr>
      </w:pPr>
    </w:p>
    <w:p>
      <w:pPr>
        <w:ind w:right="140"/>
        <w:spacing w:after="0" w:line="302" w:lineRule="auto"/>
        <w:rPr>
          <w:sz w:val="20"/>
          <w:szCs w:val="20"/>
          <w:color w:val="auto"/>
        </w:rPr>
      </w:pPr>
      <w:r>
        <w:rPr>
          <w:rFonts w:ascii="Arial" w:cs="Arial" w:eastAsia="Arial" w:hAnsi="Arial"/>
          <w:sz w:val="22"/>
          <w:szCs w:val="22"/>
          <w:b w:val="1"/>
          <w:bCs w:val="1"/>
          <w:color w:val="auto"/>
        </w:rPr>
        <w:t xml:space="preserve">claims: </w:t>
      </w:r>
      <w:r>
        <w:rPr>
          <w:rFonts w:ascii="Arial" w:cs="Arial" w:eastAsia="Arial" w:hAnsi="Arial"/>
          <w:sz w:val="22"/>
          <w:szCs w:val="22"/>
          <w:color w:val="auto"/>
        </w:rPr>
        <w:t>on being notified of it, full details of any event which entitles the Borrower or the Bank to claim</w:t>
      </w:r>
      <w:r>
        <w:rPr>
          <w:rFonts w:ascii="Arial" w:cs="Arial" w:eastAsia="Arial" w:hAnsi="Arial"/>
          <w:sz w:val="22"/>
          <w:szCs w:val="22"/>
          <w:b w:val="1"/>
          <w:bCs w:val="1"/>
          <w:color w:val="auto"/>
        </w:rPr>
        <w:t xml:space="preserve"> </w:t>
      </w:r>
      <w:r>
        <w:rPr>
          <w:rFonts w:ascii="Arial" w:cs="Arial" w:eastAsia="Arial" w:hAnsi="Arial"/>
          <w:sz w:val="22"/>
          <w:szCs w:val="22"/>
          <w:color w:val="auto"/>
        </w:rPr>
        <w:t>more than $1,000,000 under the Insurances.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financial undertakings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Each Transaction Party must ensure that: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negative pledge: </w:t>
      </w:r>
      <w:r>
        <w:rPr>
          <w:rFonts w:ascii="Arial" w:cs="Arial" w:eastAsia="Arial" w:hAnsi="Arial"/>
          <w:sz w:val="22"/>
          <w:szCs w:val="22"/>
          <w:color w:val="auto"/>
        </w:rPr>
        <w:t>no Encumbrances exist on its property, except Permitted Encumbrances;</w:t>
      </w:r>
    </w:p>
    <w:p>
      <w:pPr>
        <w:spacing w:after="0" w:line="200" w:lineRule="exact"/>
        <w:rPr>
          <w:sz w:val="20"/>
          <w:szCs w:val="20"/>
          <w:color w:val="auto"/>
        </w:rPr>
      </w:pPr>
    </w:p>
    <w:p>
      <w:pPr>
        <w:spacing w:after="0" w:line="207"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b w:val="1"/>
          <w:bCs w:val="1"/>
          <w:color w:val="auto"/>
        </w:rPr>
        <w:t>permitted financial transactions:</w:t>
      </w:r>
      <w:r>
        <w:rPr>
          <w:sz w:val="20"/>
          <w:szCs w:val="20"/>
          <w:color w:val="auto"/>
        </w:rPr>
        <w:tab/>
      </w:r>
      <w:r>
        <w:rPr>
          <w:rFonts w:ascii="Arial" w:cs="Arial" w:eastAsia="Arial" w:hAnsi="Arial"/>
          <w:sz w:val="20"/>
          <w:szCs w:val="20"/>
          <w:color w:val="auto"/>
        </w:rPr>
        <w:t>it does not, without the prior written consent of the Bank:</w:t>
      </w:r>
    </w:p>
    <w:p>
      <w:pPr>
        <w:spacing w:after="0" w:line="200" w:lineRule="exact"/>
        <w:rPr>
          <w:sz w:val="20"/>
          <w:szCs w:val="20"/>
          <w:color w:val="auto"/>
        </w:rPr>
      </w:pPr>
    </w:p>
    <w:p>
      <w:pPr>
        <w:spacing w:after="0" w:line="218" w:lineRule="exact"/>
        <w:rPr>
          <w:sz w:val="20"/>
          <w:szCs w:val="20"/>
          <w:color w:val="auto"/>
        </w:rPr>
      </w:pPr>
    </w:p>
    <w:p>
      <w:pPr>
        <w:ind w:right="380"/>
        <w:spacing w:after="0" w:line="307" w:lineRule="auto"/>
        <w:rPr>
          <w:sz w:val="20"/>
          <w:szCs w:val="20"/>
          <w:color w:val="auto"/>
        </w:rPr>
      </w:pPr>
      <w:r>
        <w:rPr>
          <w:rFonts w:ascii="Arial" w:cs="Arial" w:eastAsia="Arial" w:hAnsi="Arial"/>
          <w:sz w:val="22"/>
          <w:szCs w:val="22"/>
          <w:color w:val="auto"/>
        </w:rPr>
        <w:t>incur any Financial Indebtedness except Permitted Financial Indebtedness; provide any financial accommodation (excluding trade credit in the ordinary course of business) except Permitted Financial Accommodation;</w:t>
      </w:r>
    </w:p>
    <w:p>
      <w:pPr>
        <w:spacing w:after="0" w:line="349" w:lineRule="exact"/>
        <w:rPr>
          <w:sz w:val="20"/>
          <w:szCs w:val="20"/>
          <w:color w:val="auto"/>
        </w:rPr>
      </w:pPr>
    </w:p>
    <w:p>
      <w:pPr>
        <w:ind w:right="40"/>
        <w:spacing w:after="0" w:line="356" w:lineRule="auto"/>
        <w:rPr>
          <w:sz w:val="20"/>
          <w:szCs w:val="20"/>
          <w:color w:val="auto"/>
        </w:rPr>
      </w:pPr>
      <w:r>
        <w:rPr>
          <w:rFonts w:ascii="Arial" w:cs="Arial" w:eastAsia="Arial" w:hAnsi="Arial"/>
          <w:sz w:val="20"/>
          <w:szCs w:val="20"/>
          <w:b w:val="1"/>
          <w:bCs w:val="1"/>
          <w:color w:val="auto"/>
        </w:rPr>
        <w:t xml:space="preserve">disposals: </w:t>
      </w:r>
      <w:r>
        <w:rPr>
          <w:rFonts w:ascii="Arial" w:cs="Arial" w:eastAsia="Arial" w:hAnsi="Arial"/>
          <w:sz w:val="20"/>
          <w:szCs w:val="20"/>
          <w:color w:val="auto"/>
        </w:rPr>
        <w:t>must not dispose of any of its assets, either in a single transaction or in a series of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related or not and whether voluntary or involuntary, except Permitted Disposals;</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mergers: </w:t>
      </w:r>
      <w:r>
        <w:rPr>
          <w:rFonts w:ascii="Arial" w:cs="Arial" w:eastAsia="Arial" w:hAnsi="Arial"/>
          <w:sz w:val="22"/>
          <w:szCs w:val="22"/>
          <w:color w:val="auto"/>
        </w:rPr>
        <w:t>a Transaction Party does not: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enter into any merger, reconstruction or amalgamation; or</w:t>
      </w:r>
    </w:p>
    <w:p>
      <w:pPr>
        <w:spacing w:after="0" w:line="88" w:lineRule="exact"/>
        <w:rPr>
          <w:sz w:val="20"/>
          <w:szCs w:val="20"/>
          <w:color w:val="auto"/>
        </w:rPr>
      </w:pPr>
    </w:p>
    <w:p>
      <w:pPr>
        <w:ind w:right="680"/>
        <w:spacing w:after="0" w:line="302" w:lineRule="auto"/>
        <w:rPr>
          <w:sz w:val="20"/>
          <w:szCs w:val="20"/>
          <w:color w:val="auto"/>
        </w:rPr>
      </w:pPr>
      <w:r>
        <w:rPr>
          <w:rFonts w:ascii="Arial" w:cs="Arial" w:eastAsia="Arial" w:hAnsi="Arial"/>
          <w:sz w:val="22"/>
          <w:szCs w:val="22"/>
          <w:color w:val="auto"/>
        </w:rPr>
        <w:t>acquire any property or business or make any investment if the property, business or investment is substantial in relation to the relevant Transaction Party,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if it would have or be likely to have a Material Adverse Effect;</w:t>
      </w:r>
    </w:p>
    <w:p>
      <w:pPr>
        <w:spacing w:after="0" w:line="200" w:lineRule="exact"/>
        <w:rPr>
          <w:sz w:val="20"/>
          <w:szCs w:val="20"/>
          <w:color w:val="auto"/>
        </w:rPr>
      </w:pPr>
    </w:p>
    <w:p>
      <w:pPr>
        <w:spacing w:after="0" w:line="218" w:lineRule="exact"/>
        <w:rPr>
          <w:sz w:val="20"/>
          <w:szCs w:val="20"/>
          <w:color w:val="auto"/>
        </w:rPr>
      </w:pPr>
    </w:p>
    <w:p>
      <w:pPr>
        <w:ind w:right="20"/>
        <w:spacing w:after="0" w:line="309" w:lineRule="auto"/>
        <w:rPr>
          <w:sz w:val="20"/>
          <w:szCs w:val="20"/>
          <w:color w:val="auto"/>
        </w:rPr>
      </w:pPr>
      <w:r>
        <w:rPr>
          <w:rFonts w:ascii="Arial" w:cs="Arial" w:eastAsia="Arial" w:hAnsi="Arial"/>
          <w:sz w:val="22"/>
          <w:szCs w:val="22"/>
          <w:b w:val="1"/>
          <w:bCs w:val="1"/>
          <w:color w:val="auto"/>
        </w:rPr>
        <w:t xml:space="preserve">maintain status: </w:t>
      </w:r>
      <w:r>
        <w:rPr>
          <w:rFonts w:ascii="Arial" w:cs="Arial" w:eastAsia="Arial" w:hAnsi="Arial"/>
          <w:sz w:val="22"/>
          <w:szCs w:val="22"/>
          <w:color w:val="auto"/>
        </w:rPr>
        <w:t>it does everything necessary to maintain its corporate existence in good standing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ensures that it has the right and is properly qualified to conduct its business in all relevant jurisdictions; and obtains and maintains all Authorisations necessary for the conduct of its business; and complies with all laws affecting it or its business in all relevant jurisdictions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Distributions: </w:t>
      </w:r>
      <w:r>
        <w:rPr>
          <w:rFonts w:ascii="Arial" w:cs="Arial" w:eastAsia="Arial" w:hAnsi="Arial"/>
          <w:sz w:val="22"/>
          <w:szCs w:val="22"/>
          <w:color w:val="auto"/>
        </w:rPr>
        <w:t>it must not make any Distribution except a Permitted Distribution;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Taxes: </w:t>
      </w:r>
      <w:r>
        <w:rPr>
          <w:rFonts w:ascii="Arial" w:cs="Arial" w:eastAsia="Arial" w:hAnsi="Arial"/>
          <w:sz w:val="22"/>
          <w:szCs w:val="22"/>
          <w:color w:val="auto"/>
        </w:rPr>
        <w:t>must</w:t>
      </w:r>
    </w:p>
    <w:p>
      <w:pPr>
        <w:spacing w:after="0" w:line="88" w:lineRule="exact"/>
        <w:rPr>
          <w:sz w:val="20"/>
          <w:szCs w:val="20"/>
          <w:color w:val="auto"/>
        </w:rPr>
      </w:pPr>
    </w:p>
    <w:p>
      <w:pPr>
        <w:spacing w:after="0" w:line="328" w:lineRule="auto"/>
        <w:rPr>
          <w:sz w:val="20"/>
          <w:szCs w:val="20"/>
          <w:color w:val="auto"/>
        </w:rPr>
      </w:pPr>
      <w:r>
        <w:rPr>
          <w:rFonts w:ascii="Arial" w:cs="Arial" w:eastAsia="Arial" w:hAnsi="Arial"/>
          <w:sz w:val="21"/>
          <w:szCs w:val="21"/>
          <w:color w:val="auto"/>
        </w:rPr>
        <w:t>promptly pay when they become due for payment (or reimburse the Bank on demand for) all Taxes payable by it from time to time other than Taxes being contested in good faith where it has made adequate provisioning; not transfer any Tax losses to any person other than to the Borrower in connection with the preparation of consolidated annual Financial Statements or in connection with the Reading Entertainment Australia Group's tax consolidation arrangements; and</w:t>
      </w:r>
    </w:p>
    <w:p>
      <w:pPr>
        <w:sectPr>
          <w:pgSz w:w="11900" w:h="16838" w:orient="portrait"/>
          <w:cols w:equalWidth="0" w:num="1">
            <w:col w:w="9320"/>
          </w:cols>
          <w:pgMar w:left="1260" w:top="117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37 / 98</w:t>
      </w:r>
    </w:p>
    <w:p>
      <w:pPr>
        <w:sectPr>
          <w:pgSz w:w="11900" w:h="16838" w:orient="portrait"/>
          <w:cols w:equalWidth="0" w:num="1">
            <w:col w:w="9320"/>
          </w:cols>
          <w:pgMar w:left="1260" w:top="1177" w:right="1326" w:bottom="0" w:gutter="0" w:footer="0" w:header="0"/>
          <w:type w:val="continuous"/>
        </w:sectPr>
      </w:pPr>
    </w:p>
    <w:bookmarkStart w:id="219" w:name="page220"/>
    <w:bookmarkEnd w:id="219"/>
    <w:p>
      <w:pPr>
        <w:ind w:left="6"/>
        <w:spacing w:after="0" w:line="328" w:lineRule="auto"/>
        <w:rPr>
          <w:sz w:val="20"/>
          <w:szCs w:val="20"/>
          <w:color w:val="auto"/>
        </w:rPr>
      </w:pPr>
      <w:r>
        <w:rPr>
          <w:rFonts w:ascii="Arial" w:cs="Arial" w:eastAsia="Arial" w:hAnsi="Arial"/>
          <w:sz w:val="21"/>
          <w:szCs w:val="21"/>
          <w:color w:val="auto"/>
        </w:rPr>
        <w:t xml:space="preserve">not become a member of a consolidated group for the purposes of Part 3-90 of the Income </w:t>
      </w:r>
      <w:r>
        <w:rPr>
          <w:rFonts w:ascii="Arial" w:cs="Arial" w:eastAsia="Arial" w:hAnsi="Arial"/>
          <w:sz w:val="21"/>
          <w:szCs w:val="21"/>
          <w:i w:val="1"/>
          <w:iCs w:val="1"/>
          <w:color w:val="auto"/>
        </w:rPr>
        <w:t>Tax Assessment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Act 1936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Income Tax Act 1997 </w:t>
      </w:r>
      <w:r>
        <w:rPr>
          <w:rFonts w:ascii="Arial" w:cs="Arial" w:eastAsia="Arial" w:hAnsi="Arial"/>
          <w:sz w:val="21"/>
          <w:szCs w:val="21"/>
          <w:color w:val="auto"/>
        </w:rPr>
        <w:t>including any amendments thereto (including any amendments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made by the </w:t>
      </w:r>
      <w:r>
        <w:rPr>
          <w:rFonts w:ascii="Arial" w:cs="Arial" w:eastAsia="Arial" w:hAnsi="Arial"/>
          <w:sz w:val="21"/>
          <w:szCs w:val="21"/>
          <w:i w:val="1"/>
          <w:iCs w:val="1"/>
          <w:color w:val="auto"/>
        </w:rPr>
        <w:t>New Business Tax (Consolidation Act (No. 1)) 2002</w:t>
      </w:r>
      <w:r>
        <w:rPr>
          <w:rFonts w:ascii="Arial" w:cs="Arial" w:eastAsia="Arial" w:hAnsi="Arial"/>
          <w:sz w:val="21"/>
          <w:szCs w:val="21"/>
          <w:color w:val="auto"/>
        </w:rPr>
        <w:t xml:space="preserve"> and the </w:t>
      </w:r>
      <w:r>
        <w:rPr>
          <w:rFonts w:ascii="Arial" w:cs="Arial" w:eastAsia="Arial" w:hAnsi="Arial"/>
          <w:sz w:val="21"/>
          <w:szCs w:val="21"/>
          <w:i w:val="1"/>
          <w:iCs w:val="1"/>
          <w:color w:val="auto"/>
        </w:rPr>
        <w:t>New Business Tax System</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(Consolidation, Value Shifting, Damages and other Measures) Act 2002) </w:t>
      </w:r>
      <w:r>
        <w:rPr>
          <w:rFonts w:ascii="Arial" w:cs="Arial" w:eastAsia="Arial" w:hAnsi="Arial"/>
          <w:sz w:val="21"/>
          <w:szCs w:val="21"/>
          <w:color w:val="auto"/>
        </w:rPr>
        <w:t>other than in accordance with a</w:t>
      </w:r>
      <w:r>
        <w:rPr>
          <w:rFonts w:ascii="Arial" w:cs="Arial" w:eastAsia="Arial" w:hAnsi="Arial"/>
          <w:sz w:val="21"/>
          <w:szCs w:val="21"/>
          <w:i w:val="1"/>
          <w:iCs w:val="1"/>
          <w:color w:val="auto"/>
        </w:rPr>
        <w:t xml:space="preserve"> </w:t>
      </w:r>
      <w:r>
        <w:rPr>
          <w:rFonts w:ascii="Arial" w:cs="Arial" w:eastAsia="Arial" w:hAnsi="Arial"/>
          <w:sz w:val="21"/>
          <w:szCs w:val="21"/>
          <w:color w:val="auto"/>
        </w:rPr>
        <w:t>Tax Sharing Agreement or otherwise on terms approved by the Bank;</w:t>
      </w:r>
    </w:p>
    <w:p>
      <w:pPr>
        <w:spacing w:after="0" w:line="3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Guarantor coverage:</w:t>
      </w:r>
    </w:p>
    <w:p>
      <w:pPr>
        <w:spacing w:after="0" w:line="77" w:lineRule="exact"/>
        <w:rPr>
          <w:sz w:val="20"/>
          <w:szCs w:val="20"/>
          <w:color w:val="auto"/>
        </w:rPr>
      </w:pPr>
    </w:p>
    <w:p>
      <w:pPr>
        <w:ind w:left="926" w:hanging="926"/>
        <w:spacing w:after="0"/>
        <w:tabs>
          <w:tab w:leader="none" w:pos="926" w:val="left"/>
        </w:tabs>
        <w:numPr>
          <w:ilvl w:val="0"/>
          <w:numId w:val="131"/>
        </w:numPr>
        <w:rPr>
          <w:rFonts w:ascii="Arial" w:cs="Arial" w:eastAsia="Arial" w:hAnsi="Arial"/>
          <w:sz w:val="22"/>
          <w:szCs w:val="22"/>
          <w:i w:val="1"/>
          <w:iCs w:val="1"/>
          <w:color w:val="auto"/>
        </w:rPr>
      </w:pPr>
      <w:r>
        <w:rPr>
          <w:rFonts w:ascii="Arial" w:cs="Arial" w:eastAsia="Arial" w:hAnsi="Arial"/>
          <w:sz w:val="22"/>
          <w:szCs w:val="22"/>
          <w:i w:val="1"/>
          <w:iCs w:val="1"/>
          <w:color w:val="auto"/>
        </w:rPr>
        <w:t>Subject to paragraph (ii), the Borrower shall ensure that at all times:</w:t>
      </w:r>
    </w:p>
    <w:p>
      <w:pPr>
        <w:spacing w:after="0" w:line="88" w:lineRule="exact"/>
        <w:rPr>
          <w:sz w:val="20"/>
          <w:szCs w:val="20"/>
          <w:color w:val="auto"/>
        </w:rPr>
      </w:pPr>
    </w:p>
    <w:p>
      <w:pPr>
        <w:ind w:left="6" w:right="280"/>
        <w:spacing w:after="0" w:line="307" w:lineRule="auto"/>
        <w:rPr>
          <w:sz w:val="20"/>
          <w:szCs w:val="20"/>
          <w:color w:val="auto"/>
        </w:rPr>
      </w:pPr>
      <w:r>
        <w:rPr>
          <w:rFonts w:ascii="Arial" w:cs="Arial" w:eastAsia="Arial" w:hAnsi="Arial"/>
          <w:sz w:val="22"/>
          <w:szCs w:val="22"/>
          <w:i w:val="1"/>
          <w:iCs w:val="1"/>
          <w:color w:val="auto"/>
        </w:rPr>
        <w:t>the aggregate of total assets (calculated on the same basis as total assets of the Reading Entertainment Australia Group) of the Guarantors represents at least 90 per cent of total assets of the Reading Entertainment Australia Group; and</w:t>
      </w:r>
    </w:p>
    <w:p>
      <w:pPr>
        <w:spacing w:after="0" w:line="349" w:lineRule="exact"/>
        <w:rPr>
          <w:sz w:val="20"/>
          <w:szCs w:val="20"/>
          <w:color w:val="auto"/>
        </w:rPr>
      </w:pPr>
    </w:p>
    <w:p>
      <w:pPr>
        <w:ind w:left="6" w:right="140"/>
        <w:spacing w:after="0" w:line="307" w:lineRule="auto"/>
        <w:rPr>
          <w:sz w:val="20"/>
          <w:szCs w:val="20"/>
          <w:color w:val="auto"/>
        </w:rPr>
      </w:pPr>
      <w:r>
        <w:rPr>
          <w:rFonts w:ascii="Arial" w:cs="Arial" w:eastAsia="Arial" w:hAnsi="Arial"/>
          <w:sz w:val="22"/>
          <w:szCs w:val="22"/>
          <w:i w:val="1"/>
          <w:iCs w:val="1"/>
          <w:color w:val="auto"/>
        </w:rPr>
        <w:t>the aggregate EBITDA of the Guarantors (calculated on the same basis as EBITDA of the Reading Entertainment Australia Group) represents at least 90 per cent of EBITDA of the Reading Entertainment Australia Group;</w:t>
      </w:r>
    </w:p>
    <w:p>
      <w:pPr>
        <w:spacing w:after="0" w:line="349" w:lineRule="exact"/>
        <w:rPr>
          <w:sz w:val="20"/>
          <w:szCs w:val="20"/>
          <w:color w:val="auto"/>
        </w:rPr>
      </w:pPr>
    </w:p>
    <w:p>
      <w:pPr>
        <w:ind w:left="6" w:right="40"/>
        <w:spacing w:after="0" w:line="328" w:lineRule="auto"/>
        <w:rPr>
          <w:sz w:val="20"/>
          <w:szCs w:val="20"/>
          <w:color w:val="auto"/>
        </w:rPr>
      </w:pPr>
      <w:r>
        <w:rPr>
          <w:rFonts w:ascii="Arial" w:cs="Arial" w:eastAsia="Arial" w:hAnsi="Arial"/>
          <w:sz w:val="21"/>
          <w:szCs w:val="21"/>
          <w:i w:val="1"/>
          <w:iCs w:val="1"/>
          <w:color w:val="auto"/>
        </w:rPr>
        <w:t>any member of the Reading Entertainment Australia Group which contributes 5 per cent of more of EBITDA of the Reading Entertainment Australia Group is a Guarantor; and any member of the Reading Entertainment Australia Group which holds intellectual property which the Bank considers to be material to the operations of the Reading Entertainment Australia Group is a Guarantor</w:t>
      </w:r>
    </w:p>
    <w:p>
      <w:pPr>
        <w:spacing w:after="0" w:line="330" w:lineRule="exact"/>
        <w:rPr>
          <w:sz w:val="20"/>
          <w:szCs w:val="20"/>
          <w:color w:val="auto"/>
        </w:rPr>
      </w:pPr>
    </w:p>
    <w:p>
      <w:pPr>
        <w:ind w:left="6" w:right="260"/>
        <w:spacing w:after="0" w:line="328" w:lineRule="auto"/>
        <w:rPr>
          <w:sz w:val="20"/>
          <w:szCs w:val="20"/>
          <w:color w:val="auto"/>
        </w:rPr>
      </w:pPr>
      <w:r>
        <w:rPr>
          <w:rFonts w:ascii="Arial" w:cs="Arial" w:eastAsia="Arial" w:hAnsi="Arial"/>
          <w:sz w:val="21"/>
          <w:szCs w:val="21"/>
          <w:color w:val="auto"/>
        </w:rPr>
        <w:t>(and in each case the figures for the Guarantors will be calculated on an unconsolidated basis and excluding all intra-Reading Entertainment Australia Group items and investments in Subsidiaries); and where an entity becomes a member of the Reading Entertainment Australia and is required to become a Guarantor to comply with paragraph (i), the Borrower shall ensure: the entity becomes an Additional Guarantor by executing a Guarantor Accession Deed;</w:t>
      </w:r>
    </w:p>
    <w:p>
      <w:pPr>
        <w:spacing w:after="0" w:line="330" w:lineRule="exact"/>
        <w:rPr>
          <w:sz w:val="20"/>
          <w:szCs w:val="20"/>
          <w:color w:val="auto"/>
        </w:rPr>
      </w:pPr>
    </w:p>
    <w:p>
      <w:pPr>
        <w:ind w:left="6" w:right="160"/>
        <w:spacing w:after="0" w:line="310" w:lineRule="auto"/>
        <w:rPr>
          <w:sz w:val="20"/>
          <w:szCs w:val="20"/>
          <w:color w:val="auto"/>
        </w:rPr>
      </w:pPr>
      <w:r>
        <w:rPr>
          <w:rFonts w:ascii="Arial" w:cs="Arial" w:eastAsia="Arial" w:hAnsi="Arial"/>
          <w:sz w:val="22"/>
          <w:szCs w:val="22"/>
          <w:color w:val="auto"/>
        </w:rPr>
        <w:t>the entity executes a general security agreement over all its assets in favour of the Bank, in form and substance consistent with the general security agreements previously executed by the other Guarantors; and provides the Bank with any documents or evidence in relation to the entity as the Bank may reasonably consider necessary in respect of the entering into, validity and enforceability of the accession documents,</w:t>
      </w:r>
    </w:p>
    <w:p>
      <w:pPr>
        <w:spacing w:after="0" w:line="5" w:lineRule="exact"/>
        <w:rPr>
          <w:sz w:val="20"/>
          <w:szCs w:val="20"/>
          <w:color w:val="auto"/>
        </w:rPr>
      </w:pPr>
    </w:p>
    <w:p>
      <w:pPr>
        <w:ind w:left="6"/>
        <w:spacing w:after="0"/>
        <w:rPr>
          <w:sz w:val="20"/>
          <w:szCs w:val="20"/>
          <w:color w:val="auto"/>
        </w:rPr>
      </w:pPr>
      <w:r>
        <w:rPr>
          <w:rFonts w:ascii="Arial" w:cs="Arial" w:eastAsia="Arial" w:hAnsi="Arial"/>
          <w:sz w:val="22"/>
          <w:szCs w:val="22"/>
          <w:color w:val="auto"/>
        </w:rPr>
        <w:t>as soon as reasonably practicable and in any event within 45 days.</w:t>
      </w:r>
    </w:p>
    <w:p>
      <w:pPr>
        <w:spacing w:after="0" w:line="200" w:lineRule="exact"/>
        <w:rPr>
          <w:sz w:val="20"/>
          <w:szCs w:val="20"/>
          <w:color w:val="auto"/>
        </w:rPr>
      </w:pPr>
    </w:p>
    <w:p>
      <w:pPr>
        <w:spacing w:after="0" w:line="218" w:lineRule="exact"/>
        <w:rPr>
          <w:sz w:val="20"/>
          <w:szCs w:val="20"/>
          <w:color w:val="auto"/>
        </w:rPr>
      </w:pPr>
    </w:p>
    <w:p>
      <w:pPr>
        <w:ind w:left="6" w:right="80"/>
        <w:spacing w:after="0" w:line="302" w:lineRule="auto"/>
        <w:rPr>
          <w:sz w:val="20"/>
          <w:szCs w:val="20"/>
          <w:color w:val="auto"/>
        </w:rPr>
      </w:pPr>
      <w:r>
        <w:rPr>
          <w:rFonts w:ascii="Arial" w:cs="Arial" w:eastAsia="Arial" w:hAnsi="Arial"/>
          <w:sz w:val="22"/>
          <w:szCs w:val="22"/>
          <w:color w:val="auto"/>
        </w:rPr>
        <w:t>Provided the Borrower complies with this paragraph (ii), the Borrower will not be in breach of paragraph (i) by reason only that the entity is not a Guarantor.</w:t>
      </w:r>
    </w:p>
    <w:p>
      <w:pPr>
        <w:spacing w:after="0" w:line="353" w:lineRule="exact"/>
        <w:rPr>
          <w:sz w:val="20"/>
          <w:szCs w:val="20"/>
          <w:color w:val="auto"/>
        </w:rPr>
      </w:pPr>
    </w:p>
    <w:p>
      <w:pPr>
        <w:ind w:left="6" w:right="120"/>
        <w:spacing w:after="0" w:line="362" w:lineRule="auto"/>
        <w:rPr>
          <w:sz w:val="20"/>
          <w:szCs w:val="20"/>
          <w:color w:val="auto"/>
        </w:rPr>
      </w:pPr>
      <w:r>
        <w:rPr>
          <w:rFonts w:ascii="Arial" w:cs="Arial" w:eastAsia="Arial" w:hAnsi="Arial"/>
          <w:sz w:val="19"/>
          <w:szCs w:val="19"/>
          <w:b w:val="1"/>
          <w:bCs w:val="1"/>
          <w:color w:val="auto"/>
        </w:rPr>
        <w:t xml:space="preserve">Major developments: </w:t>
      </w:r>
      <w:r>
        <w:rPr>
          <w:rFonts w:ascii="Arial" w:cs="Arial" w:eastAsia="Arial" w:hAnsi="Arial"/>
          <w:sz w:val="19"/>
          <w:szCs w:val="19"/>
          <w:color w:val="auto"/>
        </w:rPr>
        <w:t>in respect of any major development projects to be undertaken by the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(that are outside of the budgeted capital expenditure that has been disclosed to the Bank):</w:t>
      </w:r>
    </w:p>
    <w:p>
      <w:pPr>
        <w:spacing w:after="0" w:line="1" w:lineRule="exact"/>
        <w:rPr>
          <w:sz w:val="20"/>
          <w:szCs w:val="20"/>
          <w:color w:val="auto"/>
        </w:rPr>
      </w:pPr>
    </w:p>
    <w:p>
      <w:pPr>
        <w:ind w:left="6" w:right="80"/>
        <w:spacing w:after="0" w:line="302" w:lineRule="auto"/>
        <w:rPr>
          <w:sz w:val="20"/>
          <w:szCs w:val="20"/>
          <w:color w:val="auto"/>
        </w:rPr>
      </w:pPr>
      <w:r>
        <w:rPr>
          <w:rFonts w:ascii="Arial" w:cs="Arial" w:eastAsia="Arial" w:hAnsi="Arial"/>
          <w:sz w:val="22"/>
          <w:szCs w:val="22"/>
          <w:color w:val="auto"/>
        </w:rPr>
        <w:t>the Bank is provided with development budgets and other information reasonably requested by the Bank; and</w:t>
      </w:r>
    </w:p>
    <w:p>
      <w:pPr>
        <w:spacing w:after="0" w:line="353" w:lineRule="exact"/>
        <w:rPr>
          <w:sz w:val="20"/>
          <w:szCs w:val="20"/>
          <w:color w:val="auto"/>
        </w:rPr>
      </w:pPr>
    </w:p>
    <w:p>
      <w:pPr>
        <w:ind w:left="6"/>
        <w:spacing w:after="0"/>
        <w:rPr>
          <w:sz w:val="20"/>
          <w:szCs w:val="20"/>
          <w:color w:val="auto"/>
        </w:rPr>
      </w:pPr>
      <w:r>
        <w:rPr>
          <w:rFonts w:ascii="Arial" w:cs="Arial" w:eastAsia="Arial" w:hAnsi="Arial"/>
          <w:sz w:val="21"/>
          <w:szCs w:val="21"/>
          <w:b w:val="1"/>
          <w:bCs w:val="1"/>
          <w:color w:val="auto"/>
        </w:rPr>
        <w:t xml:space="preserve">Major acquisitions: </w:t>
      </w:r>
      <w:r>
        <w:rPr>
          <w:rFonts w:ascii="Arial" w:cs="Arial" w:eastAsia="Arial" w:hAnsi="Arial"/>
          <w:sz w:val="21"/>
          <w:szCs w:val="21"/>
          <w:color w:val="auto"/>
        </w:rPr>
        <w:t>in respect to any acquisitions or investments in assets to be undertaken by the</w:t>
      </w:r>
    </w:p>
    <w:p>
      <w:pPr>
        <w:spacing w:after="0" w:line="78" w:lineRule="exact"/>
        <w:rPr>
          <w:sz w:val="20"/>
          <w:szCs w:val="20"/>
          <w:color w:val="auto"/>
        </w:rPr>
      </w:pPr>
    </w:p>
    <w:p>
      <w:pPr>
        <w:ind w:left="6"/>
        <w:spacing w:after="0"/>
        <w:rPr>
          <w:sz w:val="20"/>
          <w:szCs w:val="20"/>
          <w:color w:val="auto"/>
        </w:rPr>
      </w:pPr>
      <w:r>
        <w:rPr>
          <w:rFonts w:ascii="Arial" w:cs="Arial" w:eastAsia="Arial" w:hAnsi="Arial"/>
          <w:sz w:val="22"/>
          <w:szCs w:val="22"/>
          <w:color w:val="auto"/>
        </w:rPr>
        <w:t>Transaction Parties, the Bank’s written consent is obtained for (and prior to) the purchase of:</w:t>
      </w:r>
    </w:p>
    <w:p>
      <w:pPr>
        <w:sectPr>
          <w:pgSz w:w="11900" w:h="16838" w:orient="portrait"/>
          <w:cols w:equalWidth="0" w:num="1">
            <w:col w:w="9346"/>
          </w:cols>
          <w:pgMar w:left="1254" w:top="1177" w:right="130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38 / 98</w:t>
      </w:r>
    </w:p>
    <w:p>
      <w:pPr>
        <w:sectPr>
          <w:pgSz w:w="11900" w:h="16838" w:orient="portrait"/>
          <w:cols w:equalWidth="0" w:num="1">
            <w:col w:w="9346"/>
          </w:cols>
          <w:pgMar w:left="1254" w:top="1177" w:right="1306" w:bottom="0" w:gutter="0" w:footer="0" w:header="0"/>
          <w:type w:val="continuous"/>
        </w:sectPr>
      </w:pPr>
    </w:p>
    <w:bookmarkStart w:id="220" w:name="page221"/>
    <w:bookmarkEnd w:id="220"/>
    <w:p>
      <w:pPr>
        <w:ind w:right="200"/>
        <w:spacing w:after="0" w:line="307" w:lineRule="auto"/>
        <w:rPr>
          <w:sz w:val="20"/>
          <w:szCs w:val="20"/>
          <w:color w:val="auto"/>
        </w:rPr>
      </w:pPr>
      <w:r>
        <w:rPr>
          <w:rFonts w:ascii="Arial" w:cs="Arial" w:eastAsia="Arial" w:hAnsi="Arial"/>
          <w:sz w:val="22"/>
          <w:szCs w:val="22"/>
          <w:color w:val="auto"/>
        </w:rPr>
        <w:t>any freehold title or ground lease with a remaining tenor of 25 years or more and a consideration greater than $50,000,000; and the purchase of any other operating business assets with a consideration greater than $25,000,000.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Management Fees: </w:t>
      </w:r>
      <w:r>
        <w:rPr>
          <w:rFonts w:ascii="Arial" w:cs="Arial" w:eastAsia="Arial" w:hAnsi="Arial"/>
          <w:sz w:val="22"/>
          <w:szCs w:val="22"/>
          <w:color w:val="auto"/>
        </w:rPr>
        <w:t>no Management Fees are paid except: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at any time on or prior to the Relevant Date, with the Bank’s prior written consent; and</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at any time after the Relevant Date, if no Event of Default subsists and provided that the aggregate amount of Management Fees paid per Financial Year does not exceed $5,000,000.</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Preservation and protection of Security: </w:t>
      </w:r>
      <w:r>
        <w:rPr>
          <w:rFonts w:ascii="Arial" w:cs="Arial" w:eastAsia="Arial" w:hAnsi="Arial"/>
          <w:sz w:val="20"/>
          <w:szCs w:val="20"/>
          <w:color w:val="auto"/>
        </w:rPr>
        <w:t>it does everything necessary or reasonably required by the</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Bank to: keep the Secured Property in good repair and in good working order;</w:t>
      </w:r>
    </w:p>
    <w:p>
      <w:pPr>
        <w:spacing w:after="0" w:line="88" w:lineRule="exact"/>
        <w:rPr>
          <w:sz w:val="20"/>
          <w:szCs w:val="20"/>
          <w:color w:val="auto"/>
        </w:rPr>
      </w:pPr>
    </w:p>
    <w:p>
      <w:pPr>
        <w:ind w:right="320"/>
        <w:spacing w:after="0" w:line="350" w:lineRule="auto"/>
        <w:rPr>
          <w:sz w:val="20"/>
          <w:szCs w:val="20"/>
          <w:color w:val="auto"/>
        </w:rPr>
      </w:pPr>
      <w:r>
        <w:rPr>
          <w:rFonts w:ascii="Arial" w:cs="Arial" w:eastAsia="Arial" w:hAnsi="Arial"/>
          <w:sz w:val="20"/>
          <w:szCs w:val="20"/>
          <w:color w:val="auto"/>
        </w:rPr>
        <w:t>promptly pay when they become due for payment (or reimburse the Bank on demand for) all Taxes payable in respect of the Secured Property; preserve and protect the value of the Secured Property as a whole; and protect and enforce its title and the Bank’s title as mortgagee to the Secured Property</w:t>
      </w:r>
    </w:p>
    <w:p>
      <w:pPr>
        <w:spacing w:after="0" w:line="314" w:lineRule="exact"/>
        <w:rPr>
          <w:sz w:val="20"/>
          <w:szCs w:val="20"/>
          <w:color w:val="auto"/>
        </w:rPr>
      </w:pPr>
    </w:p>
    <w:p>
      <w:pPr>
        <w:ind w:right="120"/>
        <w:spacing w:after="0" w:line="309" w:lineRule="auto"/>
        <w:rPr>
          <w:sz w:val="20"/>
          <w:szCs w:val="20"/>
          <w:color w:val="auto"/>
        </w:rPr>
      </w:pPr>
      <w:r>
        <w:rPr>
          <w:rFonts w:ascii="Arial" w:cs="Arial" w:eastAsia="Arial" w:hAnsi="Arial"/>
          <w:sz w:val="22"/>
          <w:szCs w:val="22"/>
          <w:b w:val="1"/>
          <w:bCs w:val="1"/>
          <w:color w:val="auto"/>
        </w:rPr>
        <w:t xml:space="preserve">mandatory hedging: </w:t>
      </w:r>
      <w:r>
        <w:rPr>
          <w:rFonts w:ascii="Arial" w:cs="Arial" w:eastAsia="Arial" w:hAnsi="Arial"/>
          <w:sz w:val="22"/>
          <w:szCs w:val="22"/>
          <w:color w:val="auto"/>
        </w:rPr>
        <w:t>in respect of the Borrower only, as soon as practicable, but in any event by 30 June</w:t>
      </w:r>
      <w:r>
        <w:rPr>
          <w:rFonts w:ascii="Arial" w:cs="Arial" w:eastAsia="Arial" w:hAnsi="Arial"/>
          <w:sz w:val="22"/>
          <w:szCs w:val="22"/>
          <w:b w:val="1"/>
          <w:bCs w:val="1"/>
          <w:color w:val="auto"/>
        </w:rPr>
        <w:t xml:space="preserve"> </w:t>
      </w:r>
      <w:r>
        <w:rPr>
          <w:rFonts w:ascii="Arial" w:cs="Arial" w:eastAsia="Arial" w:hAnsi="Arial"/>
          <w:sz w:val="22"/>
          <w:szCs w:val="22"/>
          <w:color w:val="auto"/>
        </w:rPr>
        <w:t>2024, it enters into an interest rate Hedging Transaction with the Bank in respect of at least 50% of the Facility Limit of the Corporate Markets Loan Facility on such terms in accordance with the Borrower’s hedging strategy.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w:t>
      </w:r>
    </w:p>
    <w:p>
      <w:pPr>
        <w:spacing w:after="0" w:line="200" w:lineRule="exact"/>
        <w:rPr>
          <w:sz w:val="20"/>
          <w:szCs w:val="20"/>
          <w:color w:val="auto"/>
        </w:rPr>
      </w:pPr>
    </w:p>
    <w:p>
      <w:pPr>
        <w:spacing w:after="0" w:line="218" w:lineRule="exact"/>
        <w:rPr>
          <w:sz w:val="20"/>
          <w:szCs w:val="20"/>
          <w:color w:val="auto"/>
        </w:rPr>
      </w:pPr>
    </w:p>
    <w:p>
      <w:pPr>
        <w:ind w:right="100"/>
        <w:spacing w:after="0" w:line="328" w:lineRule="auto"/>
        <w:rPr>
          <w:sz w:val="20"/>
          <w:szCs w:val="20"/>
          <w:color w:val="auto"/>
        </w:rPr>
      </w:pPr>
      <w:r>
        <w:rPr>
          <w:rFonts w:ascii="Arial" w:cs="Arial" w:eastAsia="Arial" w:hAnsi="Arial"/>
          <w:sz w:val="21"/>
          <w:szCs w:val="21"/>
          <w:color w:val="auto"/>
        </w:rPr>
        <w:t>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 that the Bank reasonably requires; or if the Bank does not notify the Borrower of its requirements, that a prudent and reasonable owner of the Secured Property would effect and maintain, including insurance for full replacement value on a reinstatement basis.</w:t>
      </w:r>
    </w:p>
    <w:p>
      <w:pPr>
        <w:spacing w:after="0" w:line="330" w:lineRule="exact"/>
        <w:rPr>
          <w:sz w:val="20"/>
          <w:szCs w:val="20"/>
          <w:color w:val="auto"/>
        </w:rPr>
      </w:pPr>
    </w:p>
    <w:p>
      <w:pPr>
        <w:ind w:right="60"/>
        <w:spacing w:after="0" w:line="307" w:lineRule="auto"/>
        <w:rPr>
          <w:sz w:val="20"/>
          <w:szCs w:val="20"/>
          <w:color w:val="auto"/>
        </w:rPr>
      </w:pPr>
      <w:r>
        <w:rPr>
          <w:rFonts w:ascii="Arial" w:cs="Arial" w:eastAsia="Arial" w:hAnsi="Arial"/>
          <w:sz w:val="22"/>
          <w:szCs w:val="22"/>
          <w:color w:val="auto"/>
        </w:rPr>
        <w:t>Subject to the provisions of the Transaction Documents, the Borrower must give to the Bank on demand a certificate in form and substance satisfactory to the Bank from the insurer to the effect that the required Insurances are current and no premium is overdue.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ratios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Borrower must ensure that: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Fixed Charges Cover Ratio:</w:t>
      </w:r>
    </w:p>
    <w:p>
      <w:pPr>
        <w:spacing w:after="0" w:line="88" w:lineRule="exact"/>
        <w:rPr>
          <w:sz w:val="20"/>
          <w:szCs w:val="20"/>
          <w:color w:val="auto"/>
        </w:rPr>
      </w:pPr>
    </w:p>
    <w:p>
      <w:pPr>
        <w:jc w:val="both"/>
        <w:ind w:left="1440" w:right="260" w:hanging="719"/>
        <w:spacing w:after="0" w:line="307" w:lineRule="auto"/>
        <w:rPr>
          <w:sz w:val="20"/>
          <w:szCs w:val="20"/>
          <w:color w:val="auto"/>
        </w:rPr>
      </w:pPr>
      <w:r>
        <w:rPr>
          <w:rFonts w:ascii="Arial" w:cs="Arial" w:eastAsia="Arial" w:hAnsi="Arial"/>
          <w:sz w:val="22"/>
          <w:szCs w:val="22"/>
          <w:i w:val="1"/>
          <w:iCs w:val="1"/>
          <w:color w:val="auto"/>
        </w:rPr>
        <w:t>at each Calculation Date from and including 30 September 2025 until 30 June 2027, the Fixed Charges Cover Ratio for the Calculation Period ending on that Calculation Date is not less than 1.40 times;</w:t>
      </w:r>
    </w:p>
    <w:p>
      <w:pPr>
        <w:spacing w:after="0" w:line="19" w:lineRule="exact"/>
        <w:rPr>
          <w:sz w:val="20"/>
          <w:szCs w:val="20"/>
          <w:color w:val="auto"/>
        </w:rPr>
      </w:pPr>
    </w:p>
    <w:p>
      <w:pPr>
        <w:jc w:val="both"/>
        <w:ind w:left="1440" w:right="260" w:hanging="719"/>
        <w:spacing w:after="0" w:line="307" w:lineRule="auto"/>
        <w:rPr>
          <w:sz w:val="20"/>
          <w:szCs w:val="20"/>
          <w:color w:val="auto"/>
        </w:rPr>
      </w:pPr>
      <w:r>
        <w:rPr>
          <w:rFonts w:ascii="Arial" w:cs="Arial" w:eastAsia="Arial" w:hAnsi="Arial"/>
          <w:sz w:val="22"/>
          <w:szCs w:val="22"/>
          <w:i w:val="1"/>
          <w:iCs w:val="1"/>
          <w:color w:val="auto"/>
        </w:rPr>
        <w:t>at each Calculation Date from and including 30 September 2027 until 30 June 2029, the Fixed Charges Cover Ratio for the Calculation Period ending on that Calculation Date is not less than 1.60 times; and</w:t>
      </w:r>
    </w:p>
    <w:p>
      <w:pPr>
        <w:spacing w:after="0" w:line="19" w:lineRule="exact"/>
        <w:rPr>
          <w:sz w:val="20"/>
          <w:szCs w:val="20"/>
          <w:color w:val="auto"/>
        </w:rPr>
      </w:pPr>
    </w:p>
    <w:p>
      <w:pPr>
        <w:jc w:val="both"/>
        <w:ind w:left="1440" w:right="220" w:hanging="719"/>
        <w:spacing w:after="0" w:line="307" w:lineRule="auto"/>
        <w:rPr>
          <w:sz w:val="20"/>
          <w:szCs w:val="20"/>
          <w:color w:val="auto"/>
        </w:rPr>
      </w:pPr>
      <w:r>
        <w:rPr>
          <w:rFonts w:ascii="Arial" w:cs="Arial" w:eastAsia="Arial" w:hAnsi="Arial"/>
          <w:sz w:val="22"/>
          <w:szCs w:val="22"/>
          <w:i w:val="1"/>
          <w:iCs w:val="1"/>
          <w:color w:val="auto"/>
        </w:rPr>
        <w:t>at each Calculation Date thereafter from and including 30 September 2029, the Fixed Charges Cover Ratio for the Calculation Period ending on that Calculation Date is not less than 1.70 times;</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 / 98</w:t>
      </w:r>
    </w:p>
    <w:p>
      <w:pPr>
        <w:sectPr>
          <w:pgSz w:w="11900" w:h="16838" w:orient="portrait"/>
          <w:cols w:equalWidth="0" w:num="1">
            <w:col w:w="9380"/>
          </w:cols>
          <w:pgMar w:left="1260" w:top="1177" w:right="1266" w:bottom="0" w:gutter="0" w:footer="0" w:header="0"/>
          <w:type w:val="continuous"/>
        </w:sectPr>
      </w:pPr>
    </w:p>
    <w:bookmarkStart w:id="221" w:name="page222"/>
    <w:bookmarkEnd w:id="221"/>
    <w:p>
      <w:pPr>
        <w:ind w:left="560"/>
        <w:spacing w:after="0"/>
        <w:rPr>
          <w:sz w:val="20"/>
          <w:szCs w:val="20"/>
          <w:color w:val="auto"/>
        </w:rPr>
      </w:pPr>
      <w:r>
        <w:rPr>
          <w:rFonts w:ascii="Arial" w:cs="Arial" w:eastAsia="Arial" w:hAnsi="Arial"/>
          <w:sz w:val="22"/>
          <w:szCs w:val="22"/>
          <w:b w:val="1"/>
          <w:bCs w:val="1"/>
          <w:color w:val="auto"/>
        </w:rPr>
        <w:t>Leverage Ratio:</w:t>
      </w:r>
    </w:p>
    <w:p>
      <w:pPr>
        <w:spacing w:after="0" w:line="88" w:lineRule="exact"/>
        <w:rPr>
          <w:sz w:val="20"/>
          <w:szCs w:val="20"/>
          <w:color w:val="auto"/>
        </w:rPr>
      </w:pPr>
    </w:p>
    <w:p>
      <w:pPr>
        <w:ind w:left="1440" w:right="140" w:hanging="719"/>
        <w:spacing w:after="0" w:line="307" w:lineRule="auto"/>
        <w:rPr>
          <w:sz w:val="20"/>
          <w:szCs w:val="20"/>
          <w:color w:val="auto"/>
        </w:rPr>
      </w:pPr>
      <w:r>
        <w:rPr>
          <w:rFonts w:ascii="Arial" w:cs="Arial" w:eastAsia="Arial" w:hAnsi="Arial"/>
          <w:sz w:val="22"/>
          <w:szCs w:val="22"/>
          <w:i w:val="1"/>
          <w:iCs w:val="1"/>
          <w:color w:val="auto"/>
        </w:rPr>
        <w:t>at each Calculation Date from and including 30 September 2025 to 30 June 2026, the Leverage Ratio for the Calculation Period ending on that Calculation Date is less than or equal to 5.00 times;</w:t>
      </w:r>
    </w:p>
    <w:p>
      <w:pPr>
        <w:spacing w:after="0" w:line="19" w:lineRule="exact"/>
        <w:rPr>
          <w:sz w:val="20"/>
          <w:szCs w:val="20"/>
          <w:color w:val="auto"/>
        </w:rPr>
      </w:pPr>
    </w:p>
    <w:p>
      <w:pPr>
        <w:ind w:left="1440" w:right="140" w:hanging="719"/>
        <w:spacing w:after="0" w:line="307" w:lineRule="auto"/>
        <w:rPr>
          <w:sz w:val="20"/>
          <w:szCs w:val="20"/>
          <w:color w:val="auto"/>
        </w:rPr>
      </w:pPr>
      <w:r>
        <w:rPr>
          <w:rFonts w:ascii="Arial" w:cs="Arial" w:eastAsia="Arial" w:hAnsi="Arial"/>
          <w:sz w:val="22"/>
          <w:szCs w:val="22"/>
          <w:i w:val="1"/>
          <w:iCs w:val="1"/>
          <w:color w:val="auto"/>
        </w:rPr>
        <w:t>at each Calculation Date from and including 30 September 2026 to 30 June 2027, the Leverage Ratio for the Calculation Period ending on that Calculation Date is less than or equal to 4.50 times; and</w:t>
      </w:r>
    </w:p>
    <w:p>
      <w:pPr>
        <w:spacing w:after="0" w:line="19" w:lineRule="exact"/>
        <w:rPr>
          <w:sz w:val="20"/>
          <w:szCs w:val="20"/>
          <w:color w:val="auto"/>
        </w:rPr>
      </w:pPr>
    </w:p>
    <w:p>
      <w:pPr>
        <w:jc w:val="both"/>
        <w:ind w:left="1440" w:right="240" w:hanging="719"/>
        <w:spacing w:after="0" w:line="307" w:lineRule="auto"/>
        <w:rPr>
          <w:sz w:val="20"/>
          <w:szCs w:val="20"/>
          <w:color w:val="auto"/>
        </w:rPr>
      </w:pPr>
      <w:r>
        <w:rPr>
          <w:rFonts w:ascii="Arial" w:cs="Arial" w:eastAsia="Arial" w:hAnsi="Arial"/>
          <w:sz w:val="22"/>
          <w:szCs w:val="22"/>
          <w:i w:val="1"/>
          <w:iCs w:val="1"/>
          <w:color w:val="auto"/>
        </w:rPr>
        <w:t>at each Calculation Date thereafter from and including 30 September 2027, the Leverage Ratio for the Calculation Period ending on that Calculation Date is less than or equal to 4.00 times;</w:t>
      </w:r>
    </w:p>
    <w:p>
      <w:pPr>
        <w:spacing w:after="0" w:line="349" w:lineRule="exact"/>
        <w:rPr>
          <w:sz w:val="20"/>
          <w:szCs w:val="20"/>
          <w:color w:val="auto"/>
        </w:rPr>
      </w:pPr>
    </w:p>
    <w:p>
      <w:pPr>
        <w:ind w:right="380"/>
        <w:spacing w:after="0" w:line="302" w:lineRule="auto"/>
        <w:rPr>
          <w:sz w:val="20"/>
          <w:szCs w:val="20"/>
          <w:color w:val="auto"/>
        </w:rPr>
      </w:pPr>
      <w:r>
        <w:rPr>
          <w:rFonts w:ascii="Arial" w:cs="Arial" w:eastAsia="Arial" w:hAnsi="Arial"/>
          <w:sz w:val="22"/>
          <w:szCs w:val="22"/>
          <w:color w:val="auto"/>
        </w:rPr>
        <w:t xml:space="preserve">Loan to Value Ratio: </w:t>
      </w:r>
      <w:r>
        <w:rPr>
          <w:rFonts w:ascii="Arial" w:cs="Arial" w:eastAsia="Arial" w:hAnsi="Arial"/>
          <w:sz w:val="22"/>
          <w:szCs w:val="22"/>
          <w:b w:val="1"/>
          <w:bCs w:val="1"/>
          <w:color w:val="auto"/>
        </w:rPr>
        <w:t>at each Calculation Date, the Loan to Value Ratio for the Calculation Period</w:t>
      </w:r>
      <w:r>
        <w:rPr>
          <w:rFonts w:ascii="Arial" w:cs="Arial" w:eastAsia="Arial" w:hAnsi="Arial"/>
          <w:sz w:val="22"/>
          <w:szCs w:val="22"/>
          <w:color w:val="auto"/>
        </w:rPr>
        <w:t xml:space="preserve"> </w:t>
      </w:r>
      <w:r>
        <w:rPr>
          <w:rFonts w:ascii="Arial" w:cs="Arial" w:eastAsia="Arial" w:hAnsi="Arial"/>
          <w:sz w:val="22"/>
          <w:szCs w:val="22"/>
          <w:b w:val="1"/>
          <w:bCs w:val="1"/>
          <w:color w:val="auto"/>
        </w:rPr>
        <w:t>ending on that date is less than or equal to 70%; and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Minimum Liquidity</w:t>
      </w:r>
      <w:r>
        <w:rPr>
          <w:rFonts w:ascii="Arial" w:cs="Arial" w:eastAsia="Arial" w:hAnsi="Arial"/>
          <w:sz w:val="22"/>
          <w:szCs w:val="22"/>
          <w:b w:val="1"/>
          <w:bCs w:val="1"/>
          <w:color w:val="auto"/>
        </w:rPr>
        <w:t>: the Borrower’s Minimum Liquidity is at all times at least: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 to and until 14 May 2025, $2,500,000; and thereafter $5,000,000.</w:t>
      </w:r>
    </w:p>
    <w:p>
      <w:pPr>
        <w:spacing w:after="0" w:line="200" w:lineRule="exact"/>
        <w:rPr>
          <w:sz w:val="20"/>
          <w:szCs w:val="20"/>
          <w:color w:val="auto"/>
        </w:rPr>
      </w:pPr>
    </w:p>
    <w:p>
      <w:pPr>
        <w:spacing w:after="0" w:line="218" w:lineRule="exact"/>
        <w:rPr>
          <w:sz w:val="20"/>
          <w:szCs w:val="20"/>
          <w:color w:val="auto"/>
        </w:rPr>
      </w:pPr>
    </w:p>
    <w:p>
      <w:pPr>
        <w:ind w:left="1440" w:right="180" w:hanging="726"/>
        <w:spacing w:after="0" w:line="344" w:lineRule="auto"/>
        <w:tabs>
          <w:tab w:leader="none" w:pos="149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 financial ratio or amount to be determined under clause 9.8(a) must be tested or determined by reference to the most recently prepared Financial Statements. The calculation of any amounts on a consolidated basis must be made in accordance with the requirements of the Accounting Standards relating to the consolidation of entities.</w:t>
      </w:r>
    </w:p>
    <w:p>
      <w:pPr>
        <w:spacing w:after="0" w:line="230" w:lineRule="auto"/>
        <w:rPr>
          <w:sz w:val="20"/>
          <w:szCs w:val="20"/>
          <w:color w:val="auto"/>
        </w:rPr>
      </w:pPr>
      <w:r>
        <w:rPr>
          <w:rFonts w:ascii="Arial" w:cs="Arial" w:eastAsia="Arial" w:hAnsi="Arial"/>
          <w:sz w:val="22"/>
          <w:szCs w:val="22"/>
          <w:b w:val="1"/>
          <w:bCs w:val="1"/>
          <w:color w:val="auto"/>
        </w:rPr>
        <w:t>Environment</w:t>
      </w:r>
    </w:p>
    <w:p>
      <w:pPr>
        <w:spacing w:after="0" w:line="89" w:lineRule="exact"/>
        <w:rPr>
          <w:sz w:val="20"/>
          <w:szCs w:val="20"/>
          <w:color w:val="auto"/>
        </w:rPr>
      </w:pPr>
    </w:p>
    <w:p>
      <w:pPr>
        <w:ind w:right="360"/>
        <w:spacing w:after="0" w:line="307" w:lineRule="auto"/>
        <w:rPr>
          <w:sz w:val="20"/>
          <w:szCs w:val="20"/>
          <w:color w:val="auto"/>
        </w:rPr>
      </w:pPr>
      <w:r>
        <w:rPr>
          <w:rFonts w:ascii="Arial" w:cs="Arial" w:eastAsia="Arial" w:hAnsi="Arial"/>
          <w:sz w:val="22"/>
          <w:szCs w:val="22"/>
          <w:color w:val="auto"/>
        </w:rPr>
        <w:t>Each Transaction Party must ensure that at all times all practical and reasonable steps that can be taken and measures and precautions that can be adopted are taken or adopted by each Transaction Party to ensure that:</w:t>
      </w:r>
    </w:p>
    <w:p>
      <w:pPr>
        <w:spacing w:after="0" w:line="349" w:lineRule="exact"/>
        <w:rPr>
          <w:sz w:val="20"/>
          <w:szCs w:val="20"/>
          <w:color w:val="auto"/>
        </w:rPr>
      </w:pPr>
    </w:p>
    <w:p>
      <w:pPr>
        <w:ind w:right="60"/>
        <w:spacing w:after="0" w:line="310" w:lineRule="auto"/>
        <w:rPr>
          <w:sz w:val="20"/>
          <w:szCs w:val="20"/>
          <w:color w:val="auto"/>
        </w:rPr>
      </w:pPr>
      <w:r>
        <w:rPr>
          <w:rFonts w:ascii="Arial" w:cs="Arial" w:eastAsia="Arial" w:hAnsi="Arial"/>
          <w:sz w:val="22"/>
          <w:szCs w:val="22"/>
          <w:color w:val="auto"/>
        </w:rPr>
        <w:t>all persons, things and activities of any kind on or using the Land comply with all Environmental Laws and any consent, permit, approval, licence, authorisation, certification, order or direction granted or issued under any Environmental Law; if there is any non-compliance with any Environmental Law or any consent, permit, approval, licence, authorisation, certification, order or direction granted or issued under any Environmental Law:</w:t>
      </w:r>
    </w:p>
    <w:p>
      <w:pPr>
        <w:spacing w:after="0" w:line="335"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the impact on the Land and the environment is minimised; and</w:t>
      </w:r>
    </w:p>
    <w:p>
      <w:pPr>
        <w:spacing w:after="0" w:line="88" w:lineRule="exact"/>
        <w:rPr>
          <w:sz w:val="20"/>
          <w:szCs w:val="20"/>
          <w:color w:val="auto"/>
        </w:rPr>
      </w:pPr>
    </w:p>
    <w:p>
      <w:pPr>
        <w:jc w:val="both"/>
        <w:ind w:left="1440" w:hanging="719"/>
        <w:spacing w:after="0" w:line="307" w:lineRule="auto"/>
        <w:rPr>
          <w:sz w:val="20"/>
          <w:szCs w:val="20"/>
          <w:color w:val="auto"/>
        </w:rPr>
      </w:pPr>
      <w:r>
        <w:rPr>
          <w:rFonts w:ascii="Arial" w:cs="Arial" w:eastAsia="Arial" w:hAnsi="Arial"/>
          <w:sz w:val="22"/>
          <w:szCs w:val="22"/>
          <w:i w:val="1"/>
          <w:iCs w:val="1"/>
          <w:color w:val="auto"/>
        </w:rPr>
        <w:t>steps are taken as quickly as possible to rectify the non-compliance, eliminate or reduce any liability arising from the non</w:t>
      </w:r>
      <w:r>
        <w:rPr>
          <w:rFonts w:ascii="Arial" w:cs="Arial" w:eastAsia="Arial" w:hAnsi="Arial"/>
          <w:sz w:val="22"/>
          <w:szCs w:val="22"/>
          <w:color w:val="auto"/>
        </w:rPr>
        <w:t>-compliance and to ensure the non-compliance does not</w:t>
      </w:r>
      <w:r>
        <w:rPr>
          <w:rFonts w:ascii="Arial" w:cs="Arial" w:eastAsia="Arial" w:hAnsi="Arial"/>
          <w:sz w:val="22"/>
          <w:szCs w:val="22"/>
          <w:i w:val="1"/>
          <w:iCs w:val="1"/>
          <w:color w:val="auto"/>
        </w:rPr>
        <w:t xml:space="preserve"> </w:t>
      </w:r>
      <w:r>
        <w:rPr>
          <w:rFonts w:ascii="Arial" w:cs="Arial" w:eastAsia="Arial" w:hAnsi="Arial"/>
          <w:sz w:val="22"/>
          <w:szCs w:val="22"/>
          <w:color w:val="auto"/>
        </w:rPr>
        <w:t>recur;</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 or any person on the Land does not:</w:t>
      </w:r>
    </w:p>
    <w:p>
      <w:pPr>
        <w:spacing w:after="0" w:line="200" w:lineRule="exact"/>
        <w:rPr>
          <w:sz w:val="20"/>
          <w:szCs w:val="20"/>
          <w:color w:val="auto"/>
        </w:rPr>
      </w:pPr>
    </w:p>
    <w:p>
      <w:pPr>
        <w:spacing w:after="0" w:line="218" w:lineRule="exact"/>
        <w:rPr>
          <w:sz w:val="20"/>
          <w:szCs w:val="20"/>
          <w:color w:val="auto"/>
        </w:rPr>
      </w:pPr>
    </w:p>
    <w:p>
      <w:pPr>
        <w:ind w:left="720" w:right="2720"/>
        <w:spacing w:after="0" w:line="344" w:lineRule="auto"/>
        <w:rPr>
          <w:sz w:val="20"/>
          <w:szCs w:val="20"/>
          <w:color w:val="auto"/>
        </w:rPr>
      </w:pPr>
      <w:r>
        <w:rPr>
          <w:rFonts w:ascii="Arial" w:cs="Arial" w:eastAsia="Arial" w:hAnsi="Arial"/>
          <w:sz w:val="20"/>
          <w:szCs w:val="20"/>
          <w:i w:val="1"/>
          <w:iCs w:val="1"/>
          <w:color w:val="auto"/>
        </w:rPr>
        <w:t>allow onto or permit to exist on the Land any Contaminant; or allow a Contaminant to escape or be released into the environment,</w:t>
      </w:r>
    </w:p>
    <w:p>
      <w:pPr>
        <w:spacing w:after="0" w:line="1" w:lineRule="exact"/>
        <w:rPr>
          <w:sz w:val="20"/>
          <w:szCs w:val="20"/>
          <w:color w:val="auto"/>
        </w:rPr>
      </w:pPr>
    </w:p>
    <w:p>
      <w:pPr>
        <w:ind w:right="360"/>
        <w:spacing w:after="0" w:line="328" w:lineRule="auto"/>
        <w:rPr>
          <w:sz w:val="20"/>
          <w:szCs w:val="20"/>
          <w:color w:val="auto"/>
        </w:rPr>
      </w:pPr>
      <w:r>
        <w:rPr>
          <w:rFonts w:ascii="Arial" w:cs="Arial" w:eastAsia="Arial" w:hAnsi="Arial"/>
          <w:sz w:val="21"/>
          <w:szCs w:val="21"/>
          <w:color w:val="auto"/>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98</w:t>
      </w:r>
    </w:p>
    <w:p>
      <w:pPr>
        <w:sectPr>
          <w:pgSz w:w="11900" w:h="16838" w:orient="portrait"/>
          <w:cols w:equalWidth="0" w:num="1">
            <w:col w:w="9400"/>
          </w:cols>
          <w:pgMar w:left="1260" w:top="1166" w:right="1246" w:bottom="0" w:gutter="0" w:footer="0" w:header="0"/>
          <w:type w:val="continuous"/>
        </w:sectPr>
      </w:pPr>
    </w:p>
    <w:bookmarkStart w:id="222" w:name="page223"/>
    <w:bookmarkEnd w:id="222"/>
    <w:p>
      <w:pPr>
        <w:ind w:right="340"/>
        <w:spacing w:after="0" w:line="307" w:lineRule="auto"/>
        <w:rPr>
          <w:sz w:val="20"/>
          <w:szCs w:val="20"/>
          <w:color w:val="auto"/>
        </w:rPr>
      </w:pPr>
      <w:r>
        <w:rPr>
          <w:rFonts w:ascii="Arial" w:cs="Arial" w:eastAsia="Arial" w:hAnsi="Arial"/>
          <w:sz w:val="22"/>
          <w:szCs w:val="22"/>
          <w:color w:val="auto"/>
        </w:rPr>
        <w:t>if any Contaminant is discovered on or affecting the Land (other than a Contaminant which is safely stored in accordance with lawful authority) or, without lawful authority, escapes or is released from the Land into the environment:</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the impact on the Land and the environment is minimised; and</w:t>
      </w:r>
    </w:p>
    <w:p>
      <w:pPr>
        <w:spacing w:after="0" w:line="88" w:lineRule="exact"/>
        <w:rPr>
          <w:sz w:val="20"/>
          <w:szCs w:val="20"/>
          <w:color w:val="auto"/>
        </w:rPr>
      </w:pPr>
    </w:p>
    <w:p>
      <w:pPr>
        <w:jc w:val="both"/>
        <w:ind w:left="1440" w:hanging="719"/>
        <w:spacing w:after="0" w:line="328" w:lineRule="auto"/>
        <w:rPr>
          <w:sz w:val="20"/>
          <w:szCs w:val="20"/>
          <w:color w:val="auto"/>
        </w:rPr>
      </w:pPr>
      <w:r>
        <w:rPr>
          <w:rFonts w:ascii="Arial" w:cs="Arial" w:eastAsia="Arial" w:hAnsi="Arial"/>
          <w:sz w:val="21"/>
          <w:szCs w:val="21"/>
          <w:i w:val="1"/>
          <w:iCs w:val="1"/>
          <w:color w:val="auto"/>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w:t>
      </w:r>
    </w:p>
    <w:p>
      <w:pPr>
        <w:spacing w:after="0" w:line="330" w:lineRule="exact"/>
        <w:rPr>
          <w:sz w:val="20"/>
          <w:szCs w:val="20"/>
          <w:color w:val="auto"/>
        </w:rPr>
      </w:pPr>
    </w:p>
    <w:p>
      <w:pPr>
        <w:ind w:right="120"/>
        <w:spacing w:after="0" w:line="327" w:lineRule="auto"/>
        <w:rPr>
          <w:sz w:val="20"/>
          <w:szCs w:val="20"/>
          <w:color w:val="auto"/>
        </w:rPr>
      </w:pPr>
      <w:r>
        <w:rPr>
          <w:rFonts w:ascii="Arial" w:cs="Arial" w:eastAsia="Arial" w:hAnsi="Arial"/>
          <w:sz w:val="21"/>
          <w:szCs w:val="21"/>
          <w:color w:val="auto"/>
        </w:rPr>
        <w:t>If there is any non-compliance under clauses 9.9(a)(i), (ii) or (iii) or any Contaminant is discovered or the Borrower has reason to believe that there is some Contaminant on the Land requiring action to be taken under clause 9.9(a)(iv), the Borrower must immediately notify the Bank.</w:t>
      </w:r>
    </w:p>
    <w:p>
      <w:pPr>
        <w:spacing w:after="0" w:line="3" w:lineRule="exact"/>
        <w:rPr>
          <w:sz w:val="20"/>
          <w:szCs w:val="20"/>
          <w:color w:val="auto"/>
        </w:rPr>
      </w:pPr>
    </w:p>
    <w:p>
      <w:pPr>
        <w:ind w:right="80"/>
        <w:spacing w:after="0" w:line="312" w:lineRule="exact"/>
        <w:rPr>
          <w:sz w:val="20"/>
          <w:szCs w:val="20"/>
          <w:color w:val="auto"/>
        </w:rPr>
      </w:pPr>
      <w:r>
        <w:rPr>
          <w:rFonts w:ascii="Arial" w:cs="Arial" w:eastAsia="Arial" w:hAnsi="Arial"/>
          <w:sz w:val="21"/>
          <w:szCs w:val="21"/>
          <w:color w:val="auto"/>
        </w:rPr>
        <w:t>If there is or the Bank has reason to believe that there may be any non</w:t>
      </w:r>
      <w:r>
        <w:rPr>
          <w:rFonts w:ascii="MS PMincho" w:cs="MS PMincho" w:eastAsia="MS PMincho" w:hAnsi="MS PMincho"/>
          <w:sz w:val="21"/>
          <w:szCs w:val="21"/>
          <w:color w:val="auto"/>
        </w:rPr>
        <w:t>‑</w:t>
      </w:r>
      <w:r>
        <w:rPr>
          <w:rFonts w:ascii="Arial" w:cs="Arial" w:eastAsia="Arial" w:hAnsi="Arial"/>
          <w:sz w:val="21"/>
          <w:szCs w:val="21"/>
          <w:color w:val="auto"/>
        </w:rPr>
        <w:t>compliance under clauses 9.9(a) (i), (ii) or (iii) or any Contaminant is discovered or the Bank has reason to believe that there is some Contaminant on the Land requiring action to be taken under clause 9.9(a)(iv), the Borrower, at the request of the Bank, must procure and furnish to the Bank, in a form acceptable to the Bank, an Environmental Assessment Report in relation to the Land and any operations conducted on it.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The Borrower indemnifies the Bank from and against all: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Environmental Liability; and</w:t>
      </w:r>
    </w:p>
    <w:p>
      <w:pPr>
        <w:spacing w:after="0" w:line="88" w:lineRule="exact"/>
        <w:rPr>
          <w:sz w:val="20"/>
          <w:szCs w:val="20"/>
          <w:color w:val="auto"/>
        </w:rPr>
      </w:pPr>
    </w:p>
    <w:p>
      <w:pPr>
        <w:ind w:right="40"/>
        <w:spacing w:after="0" w:line="307" w:lineRule="auto"/>
        <w:rPr>
          <w:sz w:val="20"/>
          <w:szCs w:val="20"/>
          <w:color w:val="auto"/>
        </w:rPr>
      </w:pPr>
      <w:r>
        <w:rPr>
          <w:rFonts w:ascii="Arial" w:cs="Arial" w:eastAsia="Arial" w:hAnsi="Arial"/>
          <w:sz w:val="22"/>
          <w:szCs w:val="22"/>
          <w:color w:val="auto"/>
        </w:rPr>
        <w:t>damages, losses, outgoings, costs, charges or expenses suffered or incurred by the Bank in respect of any action, claim or demand made or brought in respect of or otherwise arising from or in connection with any breach of any Environmental Law in relation to the Land.</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immediately notify the Bank of:</w:t>
      </w:r>
    </w:p>
    <w:p>
      <w:pPr>
        <w:spacing w:after="0" w:line="88" w:lineRule="exact"/>
        <w:rPr>
          <w:sz w:val="20"/>
          <w:szCs w:val="20"/>
          <w:color w:val="auto"/>
        </w:rPr>
      </w:pPr>
    </w:p>
    <w:p>
      <w:pPr>
        <w:ind w:right="2600"/>
        <w:spacing w:after="0" w:line="327" w:lineRule="auto"/>
        <w:rPr>
          <w:sz w:val="20"/>
          <w:szCs w:val="20"/>
          <w:color w:val="auto"/>
        </w:rPr>
      </w:pPr>
      <w:r>
        <w:rPr>
          <w:rFonts w:ascii="Arial" w:cs="Arial" w:eastAsia="Arial" w:hAnsi="Arial"/>
          <w:sz w:val="21"/>
          <w:szCs w:val="21"/>
          <w:color w:val="auto"/>
        </w:rPr>
        <w:t>the existence of any Contaminant on or adjacent to or affecting the Land; and the receipt by any Transaction Party of any notice, order or direction:</w:t>
      </w:r>
    </w:p>
    <w:p>
      <w:pPr>
        <w:ind w:left="720"/>
        <w:spacing w:after="0" w:line="231" w:lineRule="auto"/>
        <w:rPr>
          <w:sz w:val="20"/>
          <w:szCs w:val="20"/>
          <w:color w:val="auto"/>
        </w:rPr>
      </w:pPr>
      <w:r>
        <w:rPr>
          <w:rFonts w:ascii="Arial" w:cs="Arial" w:eastAsia="Arial" w:hAnsi="Arial"/>
          <w:sz w:val="22"/>
          <w:szCs w:val="22"/>
          <w:i w:val="1"/>
          <w:iCs w:val="1"/>
          <w:color w:val="auto"/>
        </w:rPr>
        <w:t>to clean up any Contaminant on the Land; or</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alleging any breach of Environmental Law.</w:t>
      </w:r>
    </w:p>
    <w:p>
      <w:pPr>
        <w:spacing w:after="0" w:line="200" w:lineRule="exact"/>
        <w:rPr>
          <w:sz w:val="20"/>
          <w:szCs w:val="20"/>
          <w:color w:val="auto"/>
        </w:rPr>
      </w:pPr>
    </w:p>
    <w:p>
      <w:pPr>
        <w:spacing w:after="0" w:line="218" w:lineRule="exact"/>
        <w:rPr>
          <w:sz w:val="20"/>
          <w:szCs w:val="20"/>
          <w:color w:val="auto"/>
        </w:rPr>
      </w:pPr>
    </w:p>
    <w:p>
      <w:pPr>
        <w:ind w:right="20"/>
        <w:spacing w:after="0" w:line="327" w:lineRule="auto"/>
        <w:rPr>
          <w:sz w:val="20"/>
          <w:szCs w:val="20"/>
          <w:color w:val="auto"/>
        </w:rPr>
      </w:pPr>
      <w:r>
        <w:rPr>
          <w:rFonts w:ascii="Arial" w:cs="Arial" w:eastAsia="Arial" w:hAnsi="Arial"/>
          <w:sz w:val="21"/>
          <w:szCs w:val="21"/>
          <w:color w:val="auto"/>
        </w:rPr>
        <w:t>If requested by the Bank, the Borrower must provide the Bank with a copy of each environmental consent, permit, approval, licence, authorisation, certification, order and direction relating to the Land together with confirmation that: it is complying with the terms and conditions of each consent, permit, approval, licence, authorisation, certification, order and direction; and it has renewed each consent, permit, approval, licence, authorisation, certification, order and direction as appropriate.</w:t>
      </w:r>
    </w:p>
    <w:p>
      <w:pPr>
        <w:spacing w:after="0" w:line="5" w:lineRule="exact"/>
        <w:rPr>
          <w:sz w:val="20"/>
          <w:szCs w:val="20"/>
          <w:color w:val="auto"/>
        </w:rPr>
      </w:pPr>
    </w:p>
    <w:p>
      <w:pPr>
        <w:ind w:right="80"/>
        <w:spacing w:after="0" w:line="311" w:lineRule="auto"/>
        <w:rPr>
          <w:sz w:val="20"/>
          <w:szCs w:val="20"/>
          <w:color w:val="auto"/>
        </w:rPr>
      </w:pPr>
      <w:r>
        <w:rPr>
          <w:rFonts w:ascii="Arial" w:cs="Arial" w:eastAsia="Arial" w:hAnsi="Arial"/>
          <w:sz w:val="22"/>
          <w:szCs w:val="22"/>
          <w:color w:val="auto"/>
        </w:rPr>
        <w:t>The Borrower must: when reasonably required by the Bank, obtain or permit the Bank to obtain an Environmental Assessment Report from a person approved by the Bank in relation to the Land; and 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98</w:t>
      </w:r>
    </w:p>
    <w:p>
      <w:pPr>
        <w:sectPr>
          <w:pgSz w:w="11900" w:h="16838" w:orient="portrait"/>
          <w:cols w:equalWidth="0" w:num="1">
            <w:col w:w="9400"/>
          </w:cols>
          <w:pgMar w:left="1260" w:top="1177" w:right="1246" w:bottom="0" w:gutter="0" w:footer="0" w:header="0"/>
          <w:type w:val="continuous"/>
        </w:sectPr>
      </w:pPr>
    </w:p>
    <w:bookmarkStart w:id="223" w:name="page224"/>
    <w:bookmarkEnd w:id="223"/>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default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ensure that an Event of Default does not occur.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Obligations of Trustees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a Transaction Party is a Trustee the Borrower must ensure that it:</w:t>
      </w:r>
    </w:p>
    <w:p>
      <w:pPr>
        <w:spacing w:after="0" w:line="88" w:lineRule="exact"/>
        <w:rPr>
          <w:sz w:val="20"/>
          <w:szCs w:val="20"/>
          <w:color w:val="auto"/>
        </w:rPr>
      </w:pPr>
    </w:p>
    <w:p>
      <w:pPr>
        <w:spacing w:after="0" w:line="344" w:lineRule="auto"/>
        <w:rPr>
          <w:sz w:val="20"/>
          <w:szCs w:val="20"/>
          <w:color w:val="auto"/>
        </w:rPr>
      </w:pPr>
      <w:r>
        <w:rPr>
          <w:rFonts w:ascii="Arial" w:cs="Arial" w:eastAsia="Arial" w:hAnsi="Arial"/>
          <w:sz w:val="20"/>
          <w:szCs w:val="20"/>
          <w:color w:val="auto"/>
        </w:rPr>
        <w:t>ensures that the property of the Trust is not mixed with any other property; complies with its obligations as trustee of the Trust; does not release, dispose of or otherwise prejudice its right of indemnity against, and equitable lien over, the property of the Trust and its right of indemnity (if any) against the beneficiaries of the Trust in relation to any money owing to the Bank; at the Bank’s request:</w:t>
      </w:r>
    </w:p>
    <w:p>
      <w:pPr>
        <w:spacing w:after="0" w:line="1" w:lineRule="exact"/>
        <w:rPr>
          <w:sz w:val="20"/>
          <w:szCs w:val="20"/>
          <w:color w:val="auto"/>
        </w:rPr>
      </w:pPr>
    </w:p>
    <w:p>
      <w:pPr>
        <w:ind w:right="240"/>
        <w:spacing w:after="0" w:line="346" w:lineRule="auto"/>
        <w:rPr>
          <w:sz w:val="20"/>
          <w:szCs w:val="20"/>
          <w:color w:val="auto"/>
        </w:rPr>
      </w:pPr>
      <w:r>
        <w:rPr>
          <w:rFonts w:ascii="Arial" w:cs="Arial" w:eastAsia="Arial" w:hAnsi="Arial"/>
          <w:sz w:val="20"/>
          <w:szCs w:val="20"/>
          <w:color w:val="auto"/>
        </w:rPr>
        <w:t>exercises its right of indemnity against, and equitable lien over, the property of the Trust and its right of indemnity (if any) against the beneficiaries of the Trust in relation to any money owing to the Bank; and assigns to the Bank those indemnities and that equitable lien and otherwise facilitates the subrogation of the Bank to those indemnities and that equitable lien; does not, if the Trust is a unit trust, consent to or register the transfer of units in the Trust or cancel, repurchase, redeem or issue any units in the Trust; ensures that: another person is not appointed as trustee of the Trust;</w:t>
      </w:r>
    </w:p>
    <w:p>
      <w:pPr>
        <w:spacing w:after="0" w:line="321" w:lineRule="exact"/>
        <w:rPr>
          <w:sz w:val="20"/>
          <w:szCs w:val="20"/>
          <w:color w:val="auto"/>
        </w:rPr>
      </w:pPr>
    </w:p>
    <w:p>
      <w:pPr>
        <w:ind w:right="200"/>
        <w:spacing w:after="0" w:line="311" w:lineRule="auto"/>
        <w:rPr>
          <w:sz w:val="20"/>
          <w:szCs w:val="20"/>
          <w:color w:val="auto"/>
        </w:rPr>
      </w:pPr>
      <w:r>
        <w:rPr>
          <w:rFonts w:ascii="Arial" w:cs="Arial" w:eastAsia="Arial" w:hAnsi="Arial"/>
          <w:sz w:val="22"/>
          <w:szCs w:val="22"/>
          <w:color w:val="auto"/>
        </w:rPr>
        <w:t>the Trust is not terminated or its terms varied; the Trustee does not resign and is not removed or replaced as trustee of the Trust; the property of the Trust is not resettled; the capital of the property of the Trust is not distributed at any time; and income of the Trust is not distributed to anyone other than a Transaction Party while an Event of Default or Potential Event of Default subsists; prepares and keeps full and true records and books of accounts of the Trust and makes them available for inspection and copying by the Bank on demand; and does not default in performing or observing its obligations under the Transaction Documents.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Release for Permitted Disposals</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p>
    <w:p>
      <w:pPr>
        <w:spacing w:after="0" w:line="3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Events of Default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is an Event of Default (whether or not caused by anything outside the control of any</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Transaction Party):</w:t>
      </w:r>
    </w:p>
    <w:p>
      <w:pPr>
        <w:spacing w:after="0" w:line="200" w:lineRule="exact"/>
        <w:rPr>
          <w:sz w:val="20"/>
          <w:szCs w:val="20"/>
          <w:color w:val="auto"/>
        </w:rPr>
      </w:pPr>
    </w:p>
    <w:p>
      <w:pPr>
        <w:spacing w:after="0" w:line="218" w:lineRule="exact"/>
        <w:rPr>
          <w:sz w:val="20"/>
          <w:szCs w:val="20"/>
          <w:color w:val="auto"/>
        </w:rPr>
      </w:pPr>
    </w:p>
    <w:p>
      <w:pPr>
        <w:ind w:right="180"/>
        <w:spacing w:after="0" w:line="328" w:lineRule="auto"/>
        <w:rPr>
          <w:sz w:val="20"/>
          <w:szCs w:val="20"/>
          <w:color w:val="auto"/>
        </w:rPr>
      </w:pPr>
      <w:r>
        <w:rPr>
          <w:rFonts w:ascii="Arial" w:cs="Arial" w:eastAsia="Arial" w:hAnsi="Arial"/>
          <w:sz w:val="21"/>
          <w:szCs w:val="21"/>
          <w:b w:val="1"/>
          <w:bCs w:val="1"/>
          <w:color w:val="auto"/>
        </w:rPr>
        <w:t xml:space="preserve">non-payment: </w:t>
      </w:r>
      <w:r>
        <w:rPr>
          <w:rFonts w:ascii="Arial" w:cs="Arial" w:eastAsia="Arial" w:hAnsi="Arial"/>
          <w:sz w:val="21"/>
          <w:szCs w:val="21"/>
          <w:color w:val="auto"/>
        </w:rPr>
        <w:t>a Transaction Party does not pay on the due date any principal, interest and fees due for</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by it under a Transaction Document in 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98</w:t>
      </w:r>
    </w:p>
    <w:p>
      <w:pPr>
        <w:sectPr>
          <w:pgSz w:w="11900" w:h="16838" w:orient="portrait"/>
          <w:cols w:equalWidth="0" w:num="1">
            <w:col w:w="9400"/>
          </w:cols>
          <w:pgMar w:left="1260" w:top="1440" w:right="1246" w:bottom="0" w:gutter="0" w:footer="0" w:header="0"/>
          <w:type w:val="continuous"/>
        </w:sectPr>
      </w:pPr>
    </w:p>
    <w:bookmarkStart w:id="224" w:name="page225"/>
    <w:bookmarkEnd w:id="224"/>
    <w:p>
      <w:pPr>
        <w:ind w:right="120"/>
        <w:spacing w:after="0" w:line="327" w:lineRule="auto"/>
        <w:rPr>
          <w:sz w:val="20"/>
          <w:szCs w:val="20"/>
          <w:color w:val="auto"/>
        </w:rPr>
      </w:pPr>
      <w:r>
        <w:rPr>
          <w:rFonts w:ascii="Arial" w:cs="Arial" w:eastAsia="Arial" w:hAnsi="Arial"/>
          <w:sz w:val="21"/>
          <w:szCs w:val="21"/>
          <w:b w:val="1"/>
          <w:bCs w:val="1"/>
          <w:color w:val="auto"/>
        </w:rPr>
        <w:t xml:space="preserve">other non-compliance: </w:t>
      </w:r>
      <w:r>
        <w:rPr>
          <w:rFonts w:ascii="Arial" w:cs="Arial" w:eastAsia="Arial" w:hAnsi="Arial"/>
          <w:sz w:val="21"/>
          <w:szCs w:val="21"/>
          <w:color w:val="auto"/>
        </w:rPr>
        <w:t>(subject to clause 10.6 in the case of a failure to comply with a Financial Ratio</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than the Fixed Charges Cover Ratio) a Transaction Party does not comply with any other obligation under a Transaction Document and if that default is capable of rectification:</w:t>
      </w:r>
    </w:p>
    <w:p>
      <w:pPr>
        <w:spacing w:after="0" w:line="3" w:lineRule="exact"/>
        <w:rPr>
          <w:sz w:val="20"/>
          <w:szCs w:val="20"/>
          <w:color w:val="auto"/>
        </w:rPr>
      </w:pPr>
    </w:p>
    <w:p>
      <w:pPr>
        <w:jc w:val="both"/>
        <w:ind w:right="680"/>
        <w:spacing w:after="0" w:line="307" w:lineRule="auto"/>
        <w:rPr>
          <w:sz w:val="20"/>
          <w:szCs w:val="20"/>
          <w:color w:val="auto"/>
        </w:rPr>
      </w:pPr>
      <w:r>
        <w:rPr>
          <w:rFonts w:ascii="Arial" w:cs="Arial" w:eastAsia="Arial" w:hAnsi="Arial"/>
          <w:sz w:val="22"/>
          <w:szCs w:val="22"/>
          <w:color w:val="auto"/>
        </w:rPr>
        <w:t>it is not rectified within 10 Business Days (or any other longer period agreed by the Bank) after its occurrence; or the Transaction Party does not during that period take all action which in the Bank’s reasonable opinion is necessary to rectify that default;</w:t>
      </w:r>
    </w:p>
    <w:p>
      <w:pPr>
        <w:spacing w:after="0" w:line="349" w:lineRule="exact"/>
        <w:rPr>
          <w:sz w:val="20"/>
          <w:szCs w:val="20"/>
          <w:color w:val="auto"/>
        </w:rPr>
      </w:pPr>
    </w:p>
    <w:p>
      <w:pPr>
        <w:ind w:right="160"/>
        <w:spacing w:after="0" w:line="305" w:lineRule="auto"/>
        <w:rPr>
          <w:sz w:val="20"/>
          <w:szCs w:val="20"/>
          <w:color w:val="auto"/>
        </w:rPr>
      </w:pPr>
      <w:r>
        <w:rPr>
          <w:rFonts w:ascii="Arial" w:cs="Arial" w:eastAsia="Arial" w:hAnsi="Arial"/>
          <w:sz w:val="22"/>
          <w:szCs w:val="22"/>
          <w:b w:val="1"/>
          <w:bCs w:val="1"/>
          <w:color w:val="auto"/>
        </w:rPr>
        <w:t xml:space="preserve">untrue warranty: </w:t>
      </w:r>
      <w:r>
        <w:rPr>
          <w:rFonts w:ascii="Arial" w:cs="Arial" w:eastAsia="Arial" w:hAnsi="Arial"/>
          <w:sz w:val="22"/>
          <w:szCs w:val="22"/>
          <w:color w:val="auto"/>
        </w:rPr>
        <w:t>a representation, warranty or statement made or deemed to be made by a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Party in a Transaction Document is</w:t>
      </w:r>
      <w:r>
        <w:rPr>
          <w:sz w:val="1"/>
          <w:szCs w:val="1"/>
          <w:color w:val="auto"/>
        </w:rPr>
        <w:drawing>
          <wp:inline distT="0" distB="0" distL="0" distR="0">
            <wp:extent cx="34925" cy="1397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34925" cy="139700"/>
                    </a:xfrm>
                    <a:prstGeom prst="rect">
                      <a:avLst/>
                    </a:prstGeom>
                    <a:noFill/>
                    <a:ln>
                      <a:noFill/>
                    </a:ln>
                  </pic:spPr>
                </pic:pic>
              </a:graphicData>
            </a:graphic>
          </wp:inline>
        </w:drawing>
      </w:r>
      <w:r>
        <w:rPr>
          <w:rFonts w:ascii="Arial" w:cs="Arial" w:eastAsia="Arial" w:hAnsi="Arial"/>
          <w:sz w:val="22"/>
          <w:szCs w:val="22"/>
          <w:color w:val="auto"/>
        </w:rPr>
        <w:t>untrue or misleading in any material respect or a reply by a Transaction Party to a requisition made by, or on behalf of, the Bank is untrue or misleading in any material respect;</w:t>
      </w:r>
    </w:p>
    <w:p>
      <w:pPr>
        <w:spacing w:after="0" w:line="350" w:lineRule="exact"/>
        <w:rPr>
          <w:sz w:val="20"/>
          <w:szCs w:val="20"/>
          <w:color w:val="auto"/>
        </w:rPr>
      </w:pPr>
    </w:p>
    <w:p>
      <w:pPr>
        <w:ind w:right="140"/>
        <w:spacing w:after="0" w:line="302" w:lineRule="auto"/>
        <w:rPr>
          <w:sz w:val="20"/>
          <w:szCs w:val="20"/>
          <w:color w:val="auto"/>
        </w:rPr>
      </w:pPr>
      <w:r>
        <w:rPr>
          <w:rFonts w:ascii="Arial" w:cs="Arial" w:eastAsia="Arial" w:hAnsi="Arial"/>
          <w:sz w:val="22"/>
          <w:szCs w:val="22"/>
          <w:b w:val="1"/>
          <w:bCs w:val="1"/>
          <w:color w:val="auto"/>
        </w:rPr>
        <w:t xml:space="preserve">void document: </w:t>
      </w:r>
      <w:r>
        <w:rPr>
          <w:rFonts w:ascii="Arial" w:cs="Arial" w:eastAsia="Arial" w:hAnsi="Arial"/>
          <w:sz w:val="22"/>
          <w:szCs w:val="22"/>
          <w:color w:val="auto"/>
        </w:rPr>
        <w:t>a Transaction Document is void, voidable or otherwise unenforceable by the Bank or is</w:t>
      </w:r>
      <w:r>
        <w:rPr>
          <w:rFonts w:ascii="Arial" w:cs="Arial" w:eastAsia="Arial" w:hAnsi="Arial"/>
          <w:sz w:val="22"/>
          <w:szCs w:val="22"/>
          <w:b w:val="1"/>
          <w:bCs w:val="1"/>
          <w:color w:val="auto"/>
        </w:rPr>
        <w:t xml:space="preserve"> </w:t>
      </w:r>
      <w:r>
        <w:rPr>
          <w:rFonts w:ascii="Arial" w:cs="Arial" w:eastAsia="Arial" w:hAnsi="Arial"/>
          <w:sz w:val="22"/>
          <w:szCs w:val="22"/>
          <w:color w:val="auto"/>
        </w:rPr>
        <w:t>claimed to be so by a Transaction Party;</w:t>
      </w:r>
    </w:p>
    <w:p>
      <w:pPr>
        <w:spacing w:after="0" w:line="353"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b w:val="1"/>
          <w:bCs w:val="1"/>
          <w:color w:val="auto"/>
        </w:rPr>
        <w:t xml:space="preserve">compliance unlawful: </w:t>
      </w:r>
      <w:r>
        <w:rPr>
          <w:rFonts w:ascii="Arial" w:cs="Arial" w:eastAsia="Arial" w:hAnsi="Arial"/>
          <w:sz w:val="22"/>
          <w:szCs w:val="22"/>
          <w:color w:val="auto"/>
        </w:rPr>
        <w:t>it is unlawful for a Transaction Party to comply with any of its obligations under a</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Document or it is claimed to be so by a Transaction Party;</w:t>
      </w:r>
    </w:p>
    <w:p>
      <w:pPr>
        <w:spacing w:after="0" w:line="353" w:lineRule="exact"/>
        <w:rPr>
          <w:sz w:val="20"/>
          <w:szCs w:val="20"/>
          <w:color w:val="auto"/>
        </w:rPr>
      </w:pPr>
    </w:p>
    <w:p>
      <w:pPr>
        <w:ind w:right="200"/>
        <w:spacing w:after="0" w:line="328" w:lineRule="auto"/>
        <w:rPr>
          <w:sz w:val="20"/>
          <w:szCs w:val="20"/>
          <w:color w:val="auto"/>
        </w:rPr>
      </w:pPr>
      <w:r>
        <w:rPr>
          <w:rFonts w:ascii="Arial" w:cs="Arial" w:eastAsia="Arial" w:hAnsi="Arial"/>
          <w:sz w:val="21"/>
          <w:szCs w:val="21"/>
          <w:b w:val="1"/>
          <w:bCs w:val="1"/>
          <w:color w:val="auto"/>
        </w:rPr>
        <w:t xml:space="preserve">loss of priority: </w:t>
      </w:r>
      <w:r>
        <w:rPr>
          <w:rFonts w:ascii="Arial" w:cs="Arial" w:eastAsia="Arial" w:hAnsi="Arial"/>
          <w:sz w:val="21"/>
          <w:szCs w:val="21"/>
          <w:color w:val="auto"/>
        </w:rPr>
        <w:t>a Security Interest created by or purportedly created by a Collateral Security does not</w:t>
      </w:r>
      <w:r>
        <w:rPr>
          <w:rFonts w:ascii="Arial" w:cs="Arial" w:eastAsia="Arial" w:hAnsi="Arial"/>
          <w:sz w:val="21"/>
          <w:szCs w:val="21"/>
          <w:b w:val="1"/>
          <w:bCs w:val="1"/>
          <w:color w:val="auto"/>
        </w:rPr>
        <w:t xml:space="preserve"> </w:t>
      </w:r>
      <w:r>
        <w:rPr>
          <w:rFonts w:ascii="Arial" w:cs="Arial" w:eastAsia="Arial" w:hAnsi="Arial"/>
          <w:sz w:val="21"/>
          <w:szCs w:val="21"/>
          <w:color w:val="auto"/>
        </w:rPr>
        <w:t>have or ceases to have the priority which it purports to have under the relevant Transaction Document or becomes ineffective to secure the payment of the money or compliance with the obligations which it purports to secure, otherwise than by any act of the Bank;</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Insolvency Event: </w:t>
      </w:r>
      <w:r>
        <w:rPr>
          <w:rFonts w:ascii="Arial" w:cs="Arial" w:eastAsia="Arial" w:hAnsi="Arial"/>
          <w:sz w:val="22"/>
          <w:szCs w:val="22"/>
          <w:color w:val="auto"/>
        </w:rPr>
        <w:t>an Insolvency Event occurs in relation to a Transaction Party;</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authorisation ceasing: </w:t>
      </w:r>
      <w:r>
        <w:rPr>
          <w:rFonts w:ascii="Arial" w:cs="Arial" w:eastAsia="Arial" w:hAnsi="Arial"/>
          <w:sz w:val="22"/>
          <w:szCs w:val="22"/>
          <w:color w:val="auto"/>
        </w:rPr>
        <w:t>an Authorisation from a Government Body necessary to enable:</w:t>
      </w:r>
    </w:p>
    <w:p>
      <w:pPr>
        <w:spacing w:after="0" w:line="200" w:lineRule="exact"/>
        <w:rPr>
          <w:sz w:val="20"/>
          <w:szCs w:val="20"/>
          <w:color w:val="auto"/>
        </w:rPr>
      </w:pPr>
    </w:p>
    <w:p>
      <w:pPr>
        <w:spacing w:after="0" w:line="218" w:lineRule="exact"/>
        <w:rPr>
          <w:sz w:val="20"/>
          <w:szCs w:val="20"/>
          <w:color w:val="auto"/>
        </w:rPr>
      </w:pPr>
    </w:p>
    <w:p>
      <w:pPr>
        <w:ind w:right="120"/>
        <w:spacing w:after="0" w:line="327" w:lineRule="auto"/>
        <w:rPr>
          <w:sz w:val="20"/>
          <w:szCs w:val="20"/>
          <w:color w:val="auto"/>
        </w:rPr>
      </w:pPr>
      <w:r>
        <w:rPr>
          <w:rFonts w:ascii="Arial" w:cs="Arial" w:eastAsia="Arial" w:hAnsi="Arial"/>
          <w:sz w:val="21"/>
          <w:szCs w:val="21"/>
          <w:color w:val="auto"/>
        </w:rPr>
        <w:t>a Transaction Party to comply with its obligations under a Transaction Document or carry on its principal business or activity; a Transaction Party to carry on its principal business or activity; or</w:t>
      </w:r>
    </w:p>
    <w:p>
      <w:pPr>
        <w:spacing w:after="0" w:line="2" w:lineRule="exact"/>
        <w:rPr>
          <w:sz w:val="20"/>
          <w:szCs w:val="20"/>
          <w:color w:val="auto"/>
        </w:rPr>
      </w:pPr>
    </w:p>
    <w:p>
      <w:pPr>
        <w:ind w:right="120"/>
        <w:spacing w:after="0" w:line="302" w:lineRule="auto"/>
        <w:rPr>
          <w:sz w:val="20"/>
          <w:szCs w:val="20"/>
          <w:color w:val="auto"/>
        </w:rPr>
      </w:pPr>
      <w:r>
        <w:rPr>
          <w:rFonts w:ascii="Arial" w:cs="Arial" w:eastAsia="Arial" w:hAnsi="Arial"/>
          <w:sz w:val="22"/>
          <w:szCs w:val="22"/>
          <w:color w:val="auto"/>
        </w:rPr>
        <w:t xml:space="preserve">the Bank to exercise its rights under a Transaction Document, is withheld or ceases to be in full force and effect and, in the case of </w:t>
      </w:r>
      <w:r>
        <w:rPr>
          <w:rFonts w:ascii="Arial" w:cs="Arial" w:eastAsia="Arial" w:hAnsi="Arial"/>
          <w:sz w:val="22"/>
          <w:szCs w:val="22"/>
          <w:b w:val="1"/>
          <w:bCs w:val="1"/>
          <w:color w:val="auto"/>
        </w:rPr>
        <w:t>clause 10.1(h)(i)</w:t>
      </w:r>
      <w:r>
        <w:rPr>
          <w:rFonts w:ascii="Arial" w:cs="Arial" w:eastAsia="Arial" w:hAnsi="Arial"/>
          <w:sz w:val="22"/>
          <w:szCs w:val="22"/>
          <w:color w:val="auto"/>
        </w:rPr>
        <w:t>, would have a Material Adverse Effect;</w:t>
      </w:r>
    </w:p>
    <w:p>
      <w:pPr>
        <w:spacing w:after="0" w:line="353" w:lineRule="exact"/>
        <w:rPr>
          <w:sz w:val="20"/>
          <w:szCs w:val="20"/>
          <w:color w:val="auto"/>
        </w:rPr>
      </w:pPr>
    </w:p>
    <w:p>
      <w:pPr>
        <w:ind w:right="180"/>
        <w:spacing w:after="0" w:line="307" w:lineRule="auto"/>
        <w:rPr>
          <w:sz w:val="20"/>
          <w:szCs w:val="20"/>
          <w:color w:val="auto"/>
        </w:rPr>
      </w:pPr>
      <w:r>
        <w:rPr>
          <w:rFonts w:ascii="Arial" w:cs="Arial" w:eastAsia="Arial" w:hAnsi="Arial"/>
          <w:sz w:val="22"/>
          <w:szCs w:val="22"/>
          <w:b w:val="1"/>
          <w:bCs w:val="1"/>
          <w:color w:val="auto"/>
        </w:rPr>
        <w:t xml:space="preserve">Material Adverse Effect: </w:t>
      </w:r>
      <w:r>
        <w:rPr>
          <w:rFonts w:ascii="Arial" w:cs="Arial" w:eastAsia="Arial" w:hAnsi="Arial"/>
          <w:sz w:val="22"/>
          <w:szCs w:val="22"/>
          <w:color w:val="auto"/>
        </w:rPr>
        <w:t>an event or series of events whether related or not, including any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adverse change in the property or financial condition of a Transaction Party, occurs which has a Material Adverse Effect;</w:t>
      </w:r>
    </w:p>
    <w:p>
      <w:pPr>
        <w:spacing w:after="0" w:line="349" w:lineRule="exact"/>
        <w:rPr>
          <w:sz w:val="20"/>
          <w:szCs w:val="20"/>
          <w:color w:val="auto"/>
        </w:rPr>
      </w:pPr>
    </w:p>
    <w:p>
      <w:pPr>
        <w:spacing w:after="0" w:line="366" w:lineRule="auto"/>
        <w:rPr>
          <w:sz w:val="20"/>
          <w:szCs w:val="20"/>
          <w:color w:val="auto"/>
        </w:rPr>
      </w:pPr>
      <w:r>
        <w:rPr>
          <w:rFonts w:ascii="Arial" w:cs="Arial" w:eastAsia="Arial" w:hAnsi="Arial"/>
          <w:sz w:val="19"/>
          <w:szCs w:val="19"/>
          <w:b w:val="1"/>
          <w:bCs w:val="1"/>
          <w:color w:val="auto"/>
        </w:rPr>
        <w:t xml:space="preserve">cross default: </w:t>
      </w:r>
      <w:r>
        <w:rPr>
          <w:rFonts w:ascii="Arial" w:cs="Arial" w:eastAsia="Arial" w:hAnsi="Arial"/>
          <w:sz w:val="19"/>
          <w:szCs w:val="19"/>
          <w:color w:val="auto"/>
        </w:rPr>
        <w:t>Financial Indebtedness (other than Excluded Financial Indebtedness) of a Transaction Party</w:t>
      </w:r>
      <w:r>
        <w:rPr>
          <w:rFonts w:ascii="Arial" w:cs="Arial" w:eastAsia="Arial" w:hAnsi="Arial"/>
          <w:sz w:val="19"/>
          <w:szCs w:val="19"/>
          <w:b w:val="1"/>
          <w:bCs w:val="1"/>
          <w:color w:val="auto"/>
        </w:rPr>
        <w:t xml:space="preserve"> </w:t>
      </w:r>
      <w:r>
        <w:rPr>
          <w:rFonts w:ascii="Arial" w:cs="Arial" w:eastAsia="Arial" w:hAnsi="Arial"/>
          <w:sz w:val="19"/>
          <w:szCs w:val="19"/>
          <w:color w:val="auto"/>
        </w:rPr>
        <w:t>in excess of $500,000 becomes due for payment before its stated maturity other than by the exercise of an option of the Transaction Party to pay it before its maturity; a Transaction Party fails to pay when due for payment (or within any applicable grace period) any Financial Indebtedness (other than Excluded Financial Indebtedness) in excess of $500,000; an obligation by a person to a Transaction Party to provide financial accommodation or to acquire or underwrite Financial Indebtedness (other than Excluded Financial Indebtedness) in excess of $500,000 ceases before its stated maturity other than by the exercise</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 / 98</w:t>
      </w:r>
    </w:p>
    <w:p>
      <w:pPr>
        <w:sectPr>
          <w:pgSz w:w="11900" w:h="16838" w:orient="portrait"/>
          <w:cols w:equalWidth="0" w:num="1">
            <w:col w:w="9380"/>
          </w:cols>
          <w:pgMar w:left="1260" w:top="1177" w:right="1266" w:bottom="0" w:gutter="0" w:footer="0" w:header="0"/>
          <w:type w:val="continuous"/>
        </w:sectPr>
      </w:pPr>
    </w:p>
    <w:bookmarkStart w:id="225" w:name="page226"/>
    <w:bookmarkEnd w:id="225"/>
    <w:p>
      <w:pPr>
        <w:ind w:right="20"/>
        <w:spacing w:after="0" w:line="350" w:lineRule="auto"/>
        <w:rPr>
          <w:sz w:val="20"/>
          <w:szCs w:val="20"/>
          <w:color w:val="auto"/>
        </w:rPr>
      </w:pPr>
      <w:r>
        <w:rPr>
          <w:rFonts w:ascii="Arial" w:cs="Arial" w:eastAsia="Arial" w:hAnsi="Arial"/>
          <w:sz w:val="20"/>
          <w:szCs w:val="20"/>
          <w:color w:val="auto"/>
        </w:rPr>
        <w:t>of an option of the Transaction Party to cancel that obligation; or a marketable security issued by a Transaction Party and having a face value over $500,000 is required to be redeemed or repurchased before its stated maturity other than by the exercise of an option of the issuer to redeem or repurchase;</w:t>
      </w:r>
    </w:p>
    <w:p>
      <w:pPr>
        <w:spacing w:after="0" w:line="314" w:lineRule="exact"/>
        <w:rPr>
          <w:sz w:val="20"/>
          <w:szCs w:val="20"/>
          <w:color w:val="auto"/>
        </w:rPr>
      </w:pPr>
    </w:p>
    <w:p>
      <w:pPr>
        <w:ind w:right="720"/>
        <w:spacing w:after="0" w:line="302" w:lineRule="auto"/>
        <w:rPr>
          <w:sz w:val="20"/>
          <w:szCs w:val="20"/>
          <w:color w:val="auto"/>
        </w:rPr>
      </w:pPr>
      <w:r>
        <w:rPr>
          <w:rFonts w:ascii="Arial" w:cs="Arial" w:eastAsia="Arial" w:hAnsi="Arial"/>
          <w:sz w:val="22"/>
          <w:szCs w:val="22"/>
          <w:b w:val="1"/>
          <w:bCs w:val="1"/>
          <w:color w:val="auto"/>
        </w:rPr>
        <w:t xml:space="preserve">cessation of business: </w:t>
      </w:r>
      <w:r>
        <w:rPr>
          <w:rFonts w:ascii="Arial" w:cs="Arial" w:eastAsia="Arial" w:hAnsi="Arial"/>
          <w:sz w:val="22"/>
          <w:szCs w:val="22"/>
          <w:color w:val="auto"/>
        </w:rPr>
        <w:t>a Transaction Party ceases or threatens to cease to carry on its business or a</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part of its business;</w:t>
      </w:r>
    </w:p>
    <w:p>
      <w:pPr>
        <w:spacing w:after="0" w:line="353" w:lineRule="exact"/>
        <w:rPr>
          <w:sz w:val="20"/>
          <w:szCs w:val="20"/>
          <w:color w:val="auto"/>
        </w:rPr>
      </w:pPr>
    </w:p>
    <w:p>
      <w:pPr>
        <w:ind w:right="280"/>
        <w:spacing w:after="0" w:line="350" w:lineRule="auto"/>
        <w:rPr>
          <w:sz w:val="20"/>
          <w:szCs w:val="20"/>
          <w:color w:val="auto"/>
        </w:rPr>
      </w:pPr>
      <w:r>
        <w:rPr>
          <w:rFonts w:ascii="Arial" w:cs="Arial" w:eastAsia="Arial" w:hAnsi="Arial"/>
          <w:sz w:val="20"/>
          <w:szCs w:val="20"/>
          <w:b w:val="1"/>
          <w:bCs w:val="1"/>
          <w:color w:val="auto"/>
        </w:rPr>
        <w:t xml:space="preserve">enforcement of other Security: </w:t>
      </w:r>
      <w:r>
        <w:rPr>
          <w:rFonts w:ascii="Arial" w:cs="Arial" w:eastAsia="Arial" w:hAnsi="Arial"/>
          <w:sz w:val="20"/>
          <w:szCs w:val="20"/>
          <w:color w:val="auto"/>
        </w:rPr>
        <w:t>a person who holds a Security over property of a Transaction Party</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exercises a right under that Security against the property to recover any money the payment of which is secured by that Security or enforce any other obligation the compliance with which is secured by it;</w:t>
      </w:r>
    </w:p>
    <w:p>
      <w:pPr>
        <w:spacing w:after="0" w:line="314" w:lineRule="exact"/>
        <w:rPr>
          <w:sz w:val="20"/>
          <w:szCs w:val="20"/>
          <w:color w:val="auto"/>
        </w:rPr>
      </w:pPr>
    </w:p>
    <w:p>
      <w:pPr>
        <w:ind w:right="40"/>
        <w:spacing w:after="0" w:line="309" w:lineRule="auto"/>
        <w:rPr>
          <w:sz w:val="20"/>
          <w:szCs w:val="20"/>
          <w:color w:val="auto"/>
        </w:rPr>
      </w:pPr>
      <w:r>
        <w:rPr>
          <w:rFonts w:ascii="Arial" w:cs="Arial" w:eastAsia="Arial" w:hAnsi="Arial"/>
          <w:sz w:val="22"/>
          <w:szCs w:val="22"/>
          <w:b w:val="1"/>
          <w:bCs w:val="1"/>
          <w:color w:val="auto"/>
        </w:rPr>
        <w:t xml:space="preserve">undertaking: </w:t>
      </w:r>
      <w:r>
        <w:rPr>
          <w:rFonts w:ascii="Arial" w:cs="Arial" w:eastAsia="Arial" w:hAnsi="Arial"/>
          <w:sz w:val="22"/>
          <w:szCs w:val="22"/>
          <w:color w:val="auto"/>
        </w:rPr>
        <w:t>an undertaking given to the Bank (or its lawyers) by or on behalf of a Transaction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lawyers) is not honoured in accordance with its terms and if capable of rectification, is not rectified within three Business Days (or any other longer period agreed by the Bank) after its occurrence; reduction of capital: if a Transaction Party is a corporation:</w:t>
      </w:r>
    </w:p>
    <w:p>
      <w:pPr>
        <w:spacing w:after="0" w:line="347"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it reduces or takes any action to reduce its capital other than by the redemption of redeemable preference shares;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it passes or takes any action to pass a resolution of the type referred to in section 254N of the Corporations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buys or takes any action to buy, or</w:t>
      </w:r>
    </w:p>
    <w:p>
      <w:pPr>
        <w:spacing w:after="0" w:line="88" w:lineRule="exact"/>
        <w:rPr>
          <w:sz w:val="20"/>
          <w:szCs w:val="20"/>
          <w:color w:val="auto"/>
        </w:rPr>
      </w:pPr>
    </w:p>
    <w:p>
      <w:pPr>
        <w:ind w:left="1440" w:right="520" w:hanging="719"/>
        <w:spacing w:after="0" w:line="302" w:lineRule="auto"/>
        <w:rPr>
          <w:sz w:val="20"/>
          <w:szCs w:val="20"/>
          <w:color w:val="auto"/>
        </w:rPr>
      </w:pPr>
      <w:r>
        <w:rPr>
          <w:rFonts w:ascii="Arial" w:cs="Arial" w:eastAsia="Arial" w:hAnsi="Arial"/>
          <w:sz w:val="22"/>
          <w:szCs w:val="22"/>
          <w:i w:val="1"/>
          <w:iCs w:val="1"/>
          <w:color w:val="auto"/>
        </w:rPr>
        <w:t>financially assists (within the meaning of section 260A of the Corporations Act) or takes any action to financially assist any person to acquire,</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shares in itself or in a holding company of it,</w:t>
      </w:r>
    </w:p>
    <w:p>
      <w:pPr>
        <w:spacing w:after="0" w:line="88" w:lineRule="exact"/>
        <w:rPr>
          <w:sz w:val="20"/>
          <w:szCs w:val="20"/>
          <w:color w:val="auto"/>
        </w:rPr>
      </w:pPr>
    </w:p>
    <w:p>
      <w:pPr>
        <w:ind w:right="80"/>
        <w:spacing w:after="0" w:line="307" w:lineRule="auto"/>
        <w:rPr>
          <w:sz w:val="20"/>
          <w:szCs w:val="20"/>
          <w:color w:val="auto"/>
        </w:rPr>
      </w:pPr>
      <w:r>
        <w:rPr>
          <w:rFonts w:ascii="Arial" w:cs="Arial" w:eastAsia="Arial" w:hAnsi="Arial"/>
          <w:sz w:val="22"/>
          <w:szCs w:val="22"/>
          <w:b w:val="1"/>
          <w:bCs w:val="1"/>
          <w:color w:val="auto"/>
        </w:rPr>
        <w:t xml:space="preserve">investigation: </w:t>
      </w:r>
      <w:r>
        <w:rPr>
          <w:rFonts w:ascii="Arial" w:cs="Arial" w:eastAsia="Arial" w:hAnsi="Arial"/>
          <w:sz w:val="22"/>
          <w:szCs w:val="22"/>
          <w:color w:val="auto"/>
        </w:rPr>
        <w:t>if a Transaction Party is a corporation, an investigation is instituted under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Act or other legislation into, or an inspector is appointed to investigate, its affairs, which would have a Material Adverse Effect;</w:t>
      </w:r>
    </w:p>
    <w:p>
      <w:pPr>
        <w:spacing w:after="0" w:line="349" w:lineRule="exact"/>
        <w:rPr>
          <w:sz w:val="20"/>
          <w:szCs w:val="20"/>
          <w:color w:val="auto"/>
        </w:rPr>
      </w:pPr>
    </w:p>
    <w:p>
      <w:pPr>
        <w:ind w:right="80"/>
        <w:spacing w:after="0" w:line="350" w:lineRule="auto"/>
        <w:rPr>
          <w:sz w:val="20"/>
          <w:szCs w:val="20"/>
          <w:color w:val="auto"/>
        </w:rPr>
      </w:pPr>
      <w:r>
        <w:rPr>
          <w:rFonts w:ascii="Arial" w:cs="Arial" w:eastAsia="Arial" w:hAnsi="Arial"/>
          <w:sz w:val="20"/>
          <w:szCs w:val="20"/>
          <w:b w:val="1"/>
          <w:bCs w:val="1"/>
          <w:color w:val="auto"/>
        </w:rPr>
        <w:t xml:space="preserve">environmental claim: </w:t>
      </w:r>
      <w:r>
        <w:rPr>
          <w:rFonts w:ascii="Arial" w:cs="Arial" w:eastAsia="Arial" w:hAnsi="Arial"/>
          <w:sz w:val="20"/>
          <w:szCs w:val="20"/>
          <w:color w:val="auto"/>
        </w:rPr>
        <w:t>a Government Body takes any action, there is a legally valid claim or there is a</w:t>
      </w:r>
      <w:r>
        <w:rPr>
          <w:rFonts w:ascii="Arial" w:cs="Arial" w:eastAsia="Arial" w:hAnsi="Arial"/>
          <w:sz w:val="20"/>
          <w:szCs w:val="20"/>
          <w:b w:val="1"/>
          <w:bCs w:val="1"/>
          <w:color w:val="auto"/>
        </w:rPr>
        <w:t xml:space="preserve"> </w:t>
      </w:r>
      <w:r>
        <w:rPr>
          <w:rFonts w:ascii="Arial" w:cs="Arial" w:eastAsia="Arial" w:hAnsi="Arial"/>
          <w:sz w:val="20"/>
          <w:szCs w:val="20"/>
          <w:color w:val="auto"/>
        </w:rPr>
        <w:t>legally enforceable requirement for expenditure or for cessation or alteration of activity under an Environmental Law, which, in the reasonable opinion of the Bank, would have a Material Adverse Effect;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Trust: </w:t>
      </w:r>
      <w:r>
        <w:rPr>
          <w:rFonts w:ascii="Arial" w:cs="Arial" w:eastAsia="Arial" w:hAnsi="Arial"/>
          <w:sz w:val="22"/>
          <w:szCs w:val="22"/>
          <w:color w:val="auto"/>
        </w:rPr>
        <w:t>if a Transaction Party is a Trustee:</w:t>
      </w:r>
    </w:p>
    <w:p>
      <w:pPr>
        <w:spacing w:after="0" w:line="88" w:lineRule="exact"/>
        <w:rPr>
          <w:sz w:val="20"/>
          <w:szCs w:val="20"/>
          <w:color w:val="auto"/>
        </w:rPr>
      </w:pPr>
    </w:p>
    <w:p>
      <w:pPr>
        <w:ind w:right="40"/>
        <w:spacing w:after="0" w:line="344" w:lineRule="auto"/>
        <w:rPr>
          <w:sz w:val="20"/>
          <w:szCs w:val="20"/>
          <w:color w:val="auto"/>
        </w:rPr>
      </w:pPr>
      <w:r>
        <w:rPr>
          <w:rFonts w:ascii="Arial" w:cs="Arial" w:eastAsia="Arial" w:hAnsi="Arial"/>
          <w:sz w:val="20"/>
          <w:szCs w:val="20"/>
          <w:color w:val="auto"/>
        </w:rPr>
        <w:t>the Trustee ceases to be the trustee or the only trustee of the Trust or any action is taken for the removal of the Trustee as trustee of the Trust, or for the appointment of another person as trustee in addition to the Trustee; an application or order is sought or made in any court, which is not withdrawn or dismissed within ten Business Days, for: the property of the Trust to be administered by the court; or</w:t>
      </w:r>
    </w:p>
    <w:p>
      <w:pPr>
        <w:spacing w:after="0" w:line="1"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color w:val="auto"/>
        </w:rPr>
        <w:t>an account to be taken in relation to the Trust; or non-compliance by the Trustee with its obligations as trustee under the Trust Deed which has a Material Adverse Effect.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Event of Default</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 / 98</w:t>
      </w:r>
    </w:p>
    <w:p>
      <w:pPr>
        <w:sectPr>
          <w:pgSz w:w="11900" w:h="16838" w:orient="portrait"/>
          <w:cols w:equalWidth="0" w:num="1">
            <w:col w:w="9380"/>
          </w:cols>
          <w:pgMar w:left="1260" w:top="1177" w:right="1266" w:bottom="0" w:gutter="0" w:footer="0" w:header="0"/>
          <w:type w:val="continuous"/>
        </w:sectPr>
      </w:pPr>
    </w:p>
    <w:bookmarkStart w:id="226" w:name="page227"/>
    <w:bookmarkEnd w:id="226"/>
    <w:p>
      <w:pPr>
        <w:ind w:right="340"/>
        <w:spacing w:after="0" w:line="302" w:lineRule="auto"/>
        <w:rPr>
          <w:sz w:val="20"/>
          <w:szCs w:val="20"/>
          <w:color w:val="auto"/>
        </w:rPr>
      </w:pPr>
      <w:r>
        <w:rPr>
          <w:rFonts w:ascii="Arial" w:cs="Arial" w:eastAsia="Arial" w:hAnsi="Arial"/>
          <w:sz w:val="22"/>
          <w:szCs w:val="22"/>
          <w:color w:val="auto"/>
        </w:rPr>
        <w:t>If an Event of Default subsists the Bank may at any time by notice to the Borrower do any or all of the following:</w:t>
      </w:r>
    </w:p>
    <w:p>
      <w:pPr>
        <w:spacing w:after="0" w:line="353" w:lineRule="exact"/>
        <w:rPr>
          <w:sz w:val="20"/>
          <w:szCs w:val="20"/>
          <w:color w:val="auto"/>
        </w:rPr>
      </w:pPr>
    </w:p>
    <w:p>
      <w:pPr>
        <w:ind w:right="200"/>
        <w:spacing w:after="0" w:line="309" w:lineRule="auto"/>
        <w:rPr>
          <w:sz w:val="20"/>
          <w:szCs w:val="20"/>
          <w:color w:val="auto"/>
        </w:rPr>
      </w:pPr>
      <w:r>
        <w:rPr>
          <w:rFonts w:ascii="Arial" w:cs="Arial" w:eastAsia="Arial" w:hAnsi="Arial"/>
          <w:sz w:val="22"/>
          <w:szCs w:val="22"/>
          <w:b w:val="1"/>
          <w:bCs w:val="1"/>
          <w:color w:val="auto"/>
        </w:rPr>
        <w:t xml:space="preserve">cancel Facility: </w:t>
      </w:r>
      <w:r>
        <w:rPr>
          <w:rFonts w:ascii="Arial" w:cs="Arial" w:eastAsia="Arial" w:hAnsi="Arial"/>
          <w:sz w:val="22"/>
          <w:szCs w:val="22"/>
          <w:color w:val="auto"/>
        </w:rPr>
        <w:t>cancel any or all of the Facilities or any part of a Facility, specified in the notice;</w:t>
      </w:r>
      <w:r>
        <w:rPr>
          <w:rFonts w:ascii="Arial" w:cs="Arial" w:eastAsia="Arial" w:hAnsi="Arial"/>
          <w:sz w:val="22"/>
          <w:szCs w:val="22"/>
          <w:b w:val="1"/>
          <w:bCs w:val="1"/>
          <w:color w:val="auto"/>
        </w:rPr>
        <w:t xml:space="preserve"> accelerate: </w:t>
      </w:r>
      <w:r>
        <w:rPr>
          <w:rFonts w:ascii="Arial" w:cs="Arial" w:eastAsia="Arial" w:hAnsi="Arial"/>
          <w:sz w:val="22"/>
          <w:szCs w:val="22"/>
          <w:color w:val="auto"/>
        </w:rPr>
        <w:t>make so much of the Outstanding Accommodation which is not then immediately due and</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any unpaid accrued interest or fees and any other money owing by the Borrower to the Bank in relation to the Transaction Documents either:</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payable on demand; or</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immediately due for payment;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Not used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Bank Guarantees:</w:t>
      </w:r>
    </w:p>
    <w:p>
      <w:pPr>
        <w:spacing w:after="0" w:line="88" w:lineRule="exact"/>
        <w:rPr>
          <w:sz w:val="20"/>
          <w:szCs w:val="20"/>
          <w:color w:val="auto"/>
        </w:rPr>
      </w:pPr>
    </w:p>
    <w:p>
      <w:pPr>
        <w:ind w:left="1440" w:right="200" w:hanging="719"/>
        <w:spacing w:after="0" w:line="344" w:lineRule="auto"/>
        <w:rPr>
          <w:sz w:val="20"/>
          <w:szCs w:val="20"/>
          <w:color w:val="auto"/>
        </w:rPr>
      </w:pPr>
      <w:r>
        <w:rPr>
          <w:rFonts w:ascii="Arial" w:cs="Arial" w:eastAsia="Arial" w:hAnsi="Arial"/>
          <w:sz w:val="20"/>
          <w:szCs w:val="20"/>
          <w:i w:val="1"/>
          <w:iCs w:val="1"/>
          <w:color w:val="auto"/>
        </w:rPr>
        <w:t>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w:t>
      </w:r>
    </w:p>
    <w:p>
      <w:pPr>
        <w:spacing w:after="0" w:line="1" w:lineRule="exact"/>
        <w:rPr>
          <w:sz w:val="20"/>
          <w:szCs w:val="20"/>
          <w:color w:val="auto"/>
        </w:rPr>
      </w:pPr>
    </w:p>
    <w:p>
      <w:pPr>
        <w:ind w:left="1440" w:hanging="719"/>
        <w:spacing w:after="0" w:line="309" w:lineRule="auto"/>
        <w:rPr>
          <w:sz w:val="20"/>
          <w:szCs w:val="20"/>
          <w:color w:val="auto"/>
        </w:rPr>
      </w:pPr>
      <w:r>
        <w:rPr>
          <w:rFonts w:ascii="Arial" w:cs="Arial" w:eastAsia="Arial" w:hAnsi="Arial"/>
          <w:sz w:val="22"/>
          <w:szCs w:val="22"/>
          <w:i w:val="1"/>
          <w:iCs w:val="1"/>
          <w:color w:val="auto"/>
        </w:rPr>
        <w:t xml:space="preserve">pay the Beneficiaries of any one or more of the Current Bank Guarantees the amount agreed between the Bank and the relevant Beneficiary sufficient to obtain from the Beneficiary an unconditional release of the Bank’s obligations under the relevant </w:t>
      </w:r>
      <w:r>
        <w:rPr>
          <w:rFonts w:ascii="Arial" w:cs="Arial" w:eastAsia="Arial" w:hAnsi="Arial"/>
          <w:sz w:val="22"/>
          <w:szCs w:val="22"/>
          <w:color w:val="auto"/>
        </w:rPr>
        <w:t>Bank Guarantee on</w:t>
      </w:r>
      <w:r>
        <w:rPr>
          <w:rFonts w:ascii="Arial" w:cs="Arial" w:eastAsia="Arial" w:hAnsi="Arial"/>
          <w:sz w:val="22"/>
          <w:szCs w:val="22"/>
          <w:i w:val="1"/>
          <w:iCs w:val="1"/>
          <w:color w:val="auto"/>
        </w:rPr>
        <w:t xml:space="preserve"> </w:t>
      </w:r>
      <w:r>
        <w:rPr>
          <w:rFonts w:ascii="Arial" w:cs="Arial" w:eastAsia="Arial" w:hAnsi="Arial"/>
          <w:sz w:val="22"/>
          <w:szCs w:val="22"/>
          <w:color w:val="auto"/>
        </w:rPr>
        <w:t>terms satisfactory to the Bank (acting reasonably).</w:t>
      </w:r>
    </w:p>
    <w:p>
      <w:pPr>
        <w:spacing w:after="0" w:line="347" w:lineRule="exact"/>
        <w:rPr>
          <w:sz w:val="20"/>
          <w:szCs w:val="20"/>
          <w:color w:val="auto"/>
        </w:rPr>
      </w:pPr>
    </w:p>
    <w:p>
      <w:pPr>
        <w:ind w:right="20"/>
        <w:spacing w:after="0" w:line="344" w:lineRule="auto"/>
        <w:rPr>
          <w:sz w:val="20"/>
          <w:szCs w:val="20"/>
          <w:color w:val="auto"/>
        </w:rPr>
      </w:pPr>
      <w:r>
        <w:rPr>
          <w:rFonts w:ascii="Arial" w:cs="Arial" w:eastAsia="Arial" w:hAnsi="Arial"/>
          <w:sz w:val="20"/>
          <w:szCs w:val="20"/>
          <w:b w:val="1"/>
          <w:bCs w:val="1"/>
          <w:color w:val="auto"/>
        </w:rPr>
        <w:t xml:space="preserve">engage consultants: </w:t>
      </w:r>
      <w:r>
        <w:rPr>
          <w:rFonts w:ascii="Arial" w:cs="Arial" w:eastAsia="Arial" w:hAnsi="Arial"/>
          <w:sz w:val="20"/>
          <w:szCs w:val="20"/>
          <w:color w:val="auto"/>
        </w:rPr>
        <w:t>at the cost of the Borrower, appoint (or require the Borrower to appoint) such</w:t>
      </w:r>
      <w:r>
        <w:rPr>
          <w:rFonts w:ascii="Arial" w:cs="Arial" w:eastAsia="Arial" w:hAnsi="Arial"/>
          <w:sz w:val="20"/>
          <w:szCs w:val="20"/>
          <w:b w:val="1"/>
          <w:bCs w:val="1"/>
          <w:color w:val="auto"/>
        </w:rPr>
        <w:t xml:space="preserve"> </w:t>
      </w:r>
      <w:r>
        <w:rPr>
          <w:rFonts w:ascii="Arial" w:cs="Arial" w:eastAsia="Arial" w:hAnsi="Arial"/>
          <w:sz w:val="20"/>
          <w:szCs w:val="20"/>
          <w:color w:val="auto"/>
        </w:rPr>
        <w:t>accountancy, financial 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w:t>
      </w:r>
    </w:p>
    <w:p>
      <w:pPr>
        <w:spacing w:after="0" w:line="4" w:lineRule="exact"/>
        <w:rPr>
          <w:sz w:val="20"/>
          <w:szCs w:val="20"/>
          <w:color w:val="auto"/>
        </w:rPr>
      </w:pPr>
    </w:p>
    <w:p>
      <w:pPr>
        <w:ind w:right="500"/>
        <w:spacing w:after="0" w:line="302" w:lineRule="auto"/>
        <w:rPr>
          <w:sz w:val="20"/>
          <w:szCs w:val="20"/>
          <w:color w:val="auto"/>
        </w:rPr>
      </w:pPr>
      <w:r>
        <w:rPr>
          <w:rFonts w:ascii="Arial" w:cs="Arial" w:eastAsia="Arial" w:hAnsi="Arial"/>
          <w:sz w:val="22"/>
          <w:szCs w:val="22"/>
          <w:color w:val="auto"/>
        </w:rPr>
        <w:t>treasury related transactions: if there are any Hedging Transactions or treasury related transactions in existence between the Bank and the Borrower (Open Positions) then:</w:t>
      </w:r>
    </w:p>
    <w:p>
      <w:pPr>
        <w:spacing w:after="0" w:line="23" w:lineRule="exact"/>
        <w:rPr>
          <w:sz w:val="20"/>
          <w:szCs w:val="20"/>
          <w:color w:val="auto"/>
        </w:rPr>
      </w:pPr>
    </w:p>
    <w:p>
      <w:pPr>
        <w:jc w:val="both"/>
        <w:ind w:left="1440" w:right="100" w:hanging="719"/>
        <w:spacing w:after="0" w:line="327" w:lineRule="auto"/>
        <w:rPr>
          <w:sz w:val="20"/>
          <w:szCs w:val="20"/>
          <w:color w:val="auto"/>
        </w:rPr>
      </w:pPr>
      <w:r>
        <w:rPr>
          <w:rFonts w:ascii="Arial" w:cs="Arial" w:eastAsia="Arial" w:hAnsi="Arial"/>
          <w:sz w:val="21"/>
          <w:szCs w:val="21"/>
          <w:i w:val="1"/>
          <w:iCs w:val="1"/>
          <w:color w:val="auto"/>
        </w:rPr>
        <w:t>the Bank may close out the Open Positions, by entering into opposite positions for the balance of the unexpired term, or by such other means as may be usual in the relevant market. Any such close out must be at market rates prevailing at the time;</w:t>
      </w:r>
    </w:p>
    <w:p>
      <w:pPr>
        <w:spacing w:after="0" w:line="3" w:lineRule="exact"/>
        <w:rPr>
          <w:sz w:val="20"/>
          <w:szCs w:val="20"/>
          <w:color w:val="auto"/>
        </w:rPr>
      </w:pPr>
    </w:p>
    <w:p>
      <w:pPr>
        <w:ind w:left="1440" w:right="60" w:hanging="719"/>
        <w:spacing w:after="0" w:line="302" w:lineRule="auto"/>
        <w:rPr>
          <w:sz w:val="20"/>
          <w:szCs w:val="20"/>
          <w:color w:val="auto"/>
        </w:rPr>
      </w:pPr>
      <w:r>
        <w:rPr>
          <w:rFonts w:ascii="Arial" w:cs="Arial" w:eastAsia="Arial" w:hAnsi="Arial"/>
          <w:sz w:val="22"/>
          <w:szCs w:val="22"/>
          <w:i w:val="1"/>
          <w:iCs w:val="1"/>
          <w:color w:val="auto"/>
        </w:rPr>
        <w:t>any costs incurred by the Bank in closing out Open Positions must be paid by the Borrower to the Bank immediately upon demand by the Bank;</w:t>
      </w:r>
    </w:p>
    <w:p>
      <w:pPr>
        <w:spacing w:after="0" w:line="23" w:lineRule="exact"/>
        <w:rPr>
          <w:sz w:val="20"/>
          <w:szCs w:val="20"/>
          <w:color w:val="auto"/>
        </w:rPr>
      </w:pPr>
    </w:p>
    <w:p>
      <w:pPr>
        <w:ind w:left="1440" w:right="140" w:hanging="719"/>
        <w:spacing w:after="0" w:line="302" w:lineRule="auto"/>
        <w:rPr>
          <w:sz w:val="20"/>
          <w:szCs w:val="20"/>
          <w:color w:val="auto"/>
        </w:rPr>
      </w:pPr>
      <w:r>
        <w:rPr>
          <w:rFonts w:ascii="Arial" w:cs="Arial" w:eastAsia="Arial" w:hAnsi="Arial"/>
          <w:sz w:val="22"/>
          <w:szCs w:val="22"/>
          <w:i w:val="1"/>
          <w:iCs w:val="1"/>
          <w:color w:val="auto"/>
        </w:rPr>
        <w:t>any gain derived from the closing out of the Open Positions will be credited to the Borrower and set off against the Amount Owing; and</w:t>
      </w:r>
    </w:p>
    <w:p>
      <w:pPr>
        <w:spacing w:after="0" w:line="23" w:lineRule="exact"/>
        <w:rPr>
          <w:sz w:val="20"/>
          <w:szCs w:val="20"/>
          <w:color w:val="auto"/>
        </w:rPr>
      </w:pPr>
    </w:p>
    <w:p>
      <w:pPr>
        <w:ind w:left="1440" w:right="360" w:hanging="719"/>
        <w:spacing w:after="0" w:line="327" w:lineRule="auto"/>
        <w:rPr>
          <w:sz w:val="20"/>
          <w:szCs w:val="20"/>
          <w:color w:val="auto"/>
        </w:rPr>
      </w:pPr>
      <w:r>
        <w:rPr>
          <w:rFonts w:ascii="Arial" w:cs="Arial" w:eastAsia="Arial" w:hAnsi="Arial"/>
          <w:sz w:val="21"/>
          <w:szCs w:val="21"/>
          <w:i w:val="1"/>
          <w:iCs w:val="1"/>
          <w:color w:val="auto"/>
        </w:rPr>
        <w:t>the Bank will give the Borrower reasonable particulars of the manner of close out of the Open Positions and the basis of calculation of any amounts payable by or to the</w:t>
      </w:r>
    </w:p>
    <w:p>
      <w:pPr>
        <w:ind w:left="1440"/>
        <w:spacing w:after="0" w:line="231" w:lineRule="auto"/>
        <w:rPr>
          <w:sz w:val="20"/>
          <w:szCs w:val="20"/>
          <w:color w:val="auto"/>
        </w:rPr>
      </w:pPr>
      <w:r>
        <w:rPr>
          <w:rFonts w:ascii="Arial" w:cs="Arial" w:eastAsia="Arial" w:hAnsi="Arial"/>
          <w:sz w:val="22"/>
          <w:szCs w:val="22"/>
          <w:i w:val="1"/>
          <w:iCs w:val="1"/>
          <w:color w:val="auto"/>
        </w:rPr>
        <w:t xml:space="preserve">relevant </w:t>
      </w:r>
      <w:r>
        <w:rPr>
          <w:rFonts w:ascii="Arial" w:cs="Arial" w:eastAsia="Arial" w:hAnsi="Arial"/>
          <w:sz w:val="22"/>
          <w:szCs w:val="22"/>
          <w:color w:val="auto"/>
        </w:rPr>
        <w:t>Borrower arising from that close out.</w:t>
      </w:r>
    </w:p>
    <w:p>
      <w:pPr>
        <w:sectPr>
          <w:pgSz w:w="11900" w:h="16838" w:orient="portrait"/>
          <w:cols w:equalWidth="0" w:num="1">
            <w:col w:w="9360"/>
          </w:cols>
          <w:pgMar w:left="1260" w:top="117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 / 98</w:t>
      </w:r>
    </w:p>
    <w:p>
      <w:pPr>
        <w:sectPr>
          <w:pgSz w:w="11900" w:h="16838" w:orient="portrait"/>
          <w:cols w:equalWidth="0" w:num="1">
            <w:col w:w="9360"/>
          </w:cols>
          <w:pgMar w:left="1260" w:top="1177" w:right="1286" w:bottom="0" w:gutter="0" w:footer="0" w:header="0"/>
          <w:type w:val="continuous"/>
        </w:sectPr>
      </w:pPr>
    </w:p>
    <w:bookmarkStart w:id="227" w:name="page228"/>
    <w:bookmarkEnd w:id="227"/>
    <w:p>
      <w:pPr>
        <w:ind w:right="80"/>
        <w:spacing w:after="0" w:line="302" w:lineRule="auto"/>
        <w:rPr>
          <w:sz w:val="20"/>
          <w:szCs w:val="20"/>
          <w:color w:val="auto"/>
        </w:rPr>
      </w:pPr>
      <w:r>
        <w:rPr>
          <w:rFonts w:ascii="Arial" w:cs="Arial" w:eastAsia="Arial" w:hAnsi="Arial"/>
          <w:sz w:val="22"/>
          <w:szCs w:val="22"/>
          <w:color w:val="auto"/>
        </w:rPr>
        <w:t>On receipt of a notice under clause 10.2(a)(ii)(A) or 10.2(a)(ii)(B), the Borrower must immediately pay in full the amounts referred to in that notice.</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Cover Account regarding Bank Guarantees</w:t>
      </w:r>
    </w:p>
    <w:p>
      <w:pPr>
        <w:spacing w:after="0" w:line="88" w:lineRule="exact"/>
        <w:rPr>
          <w:sz w:val="20"/>
          <w:szCs w:val="20"/>
          <w:color w:val="auto"/>
        </w:rPr>
      </w:pPr>
    </w:p>
    <w:p>
      <w:pPr>
        <w:jc w:val="both"/>
        <w:ind w:right="180"/>
        <w:spacing w:after="0" w:line="307" w:lineRule="auto"/>
        <w:rPr>
          <w:sz w:val="20"/>
          <w:szCs w:val="20"/>
          <w:color w:val="auto"/>
        </w:rPr>
      </w:pPr>
      <w:r>
        <w:rPr>
          <w:rFonts w:ascii="Arial" w:cs="Arial" w:eastAsia="Arial" w:hAnsi="Arial"/>
          <w:sz w:val="22"/>
          <w:szCs w:val="22"/>
          <w:color w:val="auto"/>
        </w:rPr>
        <w:t>The Bank must credit so much of the money paid by the Borrower under clause 10.2(a)(iv)(A) which the Bank appropriates towards the Face Values of Current Bank Guarantees to an account maintained by the Bank for this purpose (Cash Cover Account).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provisions apply to the Cash Cover Account:</w:t>
      </w:r>
    </w:p>
    <w:p>
      <w:pPr>
        <w:spacing w:after="0" w:line="88" w:lineRule="exact"/>
        <w:rPr>
          <w:sz w:val="20"/>
          <w:szCs w:val="20"/>
          <w:color w:val="auto"/>
        </w:rPr>
      </w:pPr>
    </w:p>
    <w:p>
      <w:pPr>
        <w:ind w:right="80"/>
        <w:spacing w:after="0" w:line="362" w:lineRule="auto"/>
        <w:rPr>
          <w:sz w:val="20"/>
          <w:szCs w:val="20"/>
          <w:color w:val="auto"/>
        </w:rPr>
      </w:pPr>
      <w:r>
        <w:rPr>
          <w:rFonts w:ascii="Arial" w:cs="Arial" w:eastAsia="Arial" w:hAnsi="Arial"/>
          <w:sz w:val="19"/>
          <w:szCs w:val="19"/>
          <w:color w:val="auto"/>
        </w:rPr>
        <w:t>the account will be in the name of the Borrower; despite the Cash Cover Account being in the name of the Borrower, until the Release Date the money held in the account is not owed by the Bank to the Borrower and the Borrower is not entitled to withdraw or be paid any of that money (including interest credited to the account); the Bank must credit to the account interest at the Cash Cover Rate from time to time and that interest will be credited to the account monthly and on the Release Date; and without limiting</w:t>
      </w:r>
    </w:p>
    <w:p>
      <w:pPr>
        <w:spacing w:after="0" w:line="2" w:lineRule="exact"/>
        <w:rPr>
          <w:sz w:val="20"/>
          <w:szCs w:val="20"/>
          <w:color w:val="auto"/>
        </w:rPr>
      </w:pPr>
    </w:p>
    <w:p>
      <w:pPr>
        <w:ind w:right="100"/>
        <w:spacing w:after="0" w:line="362" w:lineRule="auto"/>
        <w:rPr>
          <w:sz w:val="20"/>
          <w:szCs w:val="20"/>
          <w:color w:val="auto"/>
        </w:rPr>
      </w:pPr>
      <w:r>
        <w:rPr>
          <w:rFonts w:ascii="Arial" w:cs="Arial" w:eastAsia="Arial" w:hAnsi="Arial"/>
          <w:sz w:val="19"/>
          <w:szCs w:val="19"/>
          <w:color w:val="auto"/>
        </w:rPr>
        <w:t>this clause 10.3, the Bank may apply any amounts from time to time held in the account towards payment of any amounts due and payable from time to time to the Bank under any Transaction Document.</w:t>
      </w:r>
    </w:p>
    <w:p>
      <w:pPr>
        <w:spacing w:after="0" w:line="1" w:lineRule="exact"/>
        <w:rPr>
          <w:sz w:val="20"/>
          <w:szCs w:val="20"/>
          <w:color w:val="auto"/>
        </w:rPr>
      </w:pPr>
    </w:p>
    <w:p>
      <w:pPr>
        <w:ind w:left="1440" w:right="260" w:hanging="726"/>
        <w:spacing w:after="0" w:line="302" w:lineRule="auto"/>
        <w:tabs>
          <w:tab w:leader="none" w:pos="148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On the Release Date, the Bank must pay to the Borrower the credit balance of the Cash Cover Account.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Events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is a Review Event (whether or not caused by anything outside the control of any</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Transaction Party):</w:t>
      </w:r>
    </w:p>
    <w:p>
      <w:pPr>
        <w:spacing w:after="0" w:line="77" w:lineRule="exact"/>
        <w:rPr>
          <w:sz w:val="20"/>
          <w:szCs w:val="20"/>
          <w:color w:val="auto"/>
        </w:rPr>
      </w:pPr>
    </w:p>
    <w:p>
      <w:pPr>
        <w:ind w:left="1480" w:hanging="766"/>
        <w:spacing w:after="0"/>
        <w:tabs>
          <w:tab w:leader="none" w:pos="14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there is an Insolvency Event in respect of Reading International Inc; and</w:t>
      </w:r>
    </w:p>
    <w:p>
      <w:pPr>
        <w:spacing w:after="0" w:line="77" w:lineRule="exact"/>
        <w:rPr>
          <w:rFonts w:ascii="Arial" w:cs="Arial" w:eastAsia="Arial" w:hAnsi="Arial"/>
          <w:sz w:val="22"/>
          <w:szCs w:val="22"/>
          <w:color w:val="auto"/>
        </w:rPr>
      </w:pPr>
    </w:p>
    <w:p>
      <w:pPr>
        <w:ind w:left="1500" w:hanging="786"/>
        <w:spacing w:after="0"/>
        <w:tabs>
          <w:tab w:leader="none" w:pos="15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Change of Control occurs in relation to any Transaction Party.</w:t>
      </w:r>
    </w:p>
    <w:p>
      <w:pPr>
        <w:spacing w:after="0" w:line="7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Reviews</w:t>
      </w:r>
    </w:p>
    <w:p>
      <w:pPr>
        <w:spacing w:after="0" w:line="88" w:lineRule="exact"/>
        <w:rPr>
          <w:sz w:val="20"/>
          <w:szCs w:val="20"/>
          <w:color w:val="auto"/>
        </w:rPr>
      </w:pPr>
    </w:p>
    <w:p>
      <w:pPr>
        <w:ind w:left="1440" w:right="260" w:hanging="726"/>
        <w:spacing w:after="0" w:line="302" w:lineRule="auto"/>
        <w:tabs>
          <w:tab w:leader="none" w:pos="148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 addition to any other review rights the Bank has under this document, the Bank may conduct a review of any Facility following a Review Event.</w:t>
      </w:r>
    </w:p>
    <w:p>
      <w:pPr>
        <w:spacing w:after="0" w:line="12" w:lineRule="exact"/>
        <w:rPr>
          <w:rFonts w:ascii="Arial" w:cs="Arial" w:eastAsia="Arial" w:hAnsi="Arial"/>
          <w:sz w:val="22"/>
          <w:szCs w:val="22"/>
          <w:color w:val="auto"/>
        </w:rPr>
      </w:pPr>
    </w:p>
    <w:p>
      <w:pPr>
        <w:ind w:left="1500" w:hanging="786"/>
        <w:spacing w:after="0"/>
        <w:tabs>
          <w:tab w:leader="none" w:pos="15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If a Review Event has occurred, then, at any time or from time to time:</w:t>
      </w:r>
    </w:p>
    <w:p>
      <w:pPr>
        <w:spacing w:after="0" w:line="88" w:lineRule="exact"/>
        <w:rPr>
          <w:sz w:val="20"/>
          <w:szCs w:val="20"/>
          <w:color w:val="auto"/>
        </w:rPr>
      </w:pPr>
    </w:p>
    <w:p>
      <w:pPr>
        <w:ind w:left="1440" w:right="200" w:hanging="719"/>
        <w:spacing w:after="0" w:line="344" w:lineRule="auto"/>
        <w:rPr>
          <w:sz w:val="20"/>
          <w:szCs w:val="20"/>
          <w:color w:val="auto"/>
        </w:rPr>
      </w:pPr>
      <w:r>
        <w:rPr>
          <w:rFonts w:ascii="Arial" w:cs="Arial" w:eastAsia="Arial" w:hAnsi="Arial"/>
          <w:sz w:val="20"/>
          <w:szCs w:val="20"/>
          <w:color w:val="auto"/>
        </w:rPr>
        <w:t>the Bank may change any of the conditions applying to the Facility including, but not limited to, increasing or otherwise varying the fees payable in connection with the Facility; and/or</w:t>
      </w:r>
    </w:p>
    <w:p>
      <w:pPr>
        <w:spacing w:after="0" w:line="1" w:lineRule="exact"/>
        <w:rPr>
          <w:sz w:val="20"/>
          <w:szCs w:val="20"/>
          <w:color w:val="auto"/>
        </w:rPr>
      </w:pPr>
    </w:p>
    <w:p>
      <w:pPr>
        <w:ind w:left="1440" w:right="220" w:hanging="719"/>
        <w:spacing w:after="0" w:line="307" w:lineRule="auto"/>
        <w:rPr>
          <w:sz w:val="20"/>
          <w:szCs w:val="20"/>
          <w:color w:val="auto"/>
        </w:rPr>
      </w:pPr>
      <w:r>
        <w:rPr>
          <w:rFonts w:ascii="Arial" w:cs="Arial" w:eastAsia="Arial" w:hAnsi="Arial"/>
          <w:sz w:val="22"/>
          <w:szCs w:val="22"/>
          <w:color w:val="auto"/>
        </w:rPr>
        <w:t>the Bank may terminate the Facility. If the Bank terminates the Facility, the Termination Date occurs on the date 30 days after the date the Bank notifies the Borrower that it wishes to terminate the Facility.</w:t>
      </w:r>
    </w:p>
    <w:p>
      <w:pPr>
        <w:spacing w:after="0" w:line="19" w:lineRule="exact"/>
        <w:rPr>
          <w:sz w:val="20"/>
          <w:szCs w:val="20"/>
          <w:color w:val="auto"/>
        </w:rPr>
      </w:pPr>
    </w:p>
    <w:p>
      <w:pPr>
        <w:ind w:left="1440" w:right="60" w:hanging="726"/>
        <w:spacing w:after="0" w:line="302" w:lineRule="auto"/>
        <w:tabs>
          <w:tab w:leader="none" w:pos="148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Bank may not change any of the conditions applying to the Facility unless it has first given 30 days prior notice to the Borrower of the intended change.</w:t>
      </w:r>
    </w:p>
    <w:p>
      <w:pPr>
        <w:spacing w:after="0" w:line="23" w:lineRule="exact"/>
        <w:rPr>
          <w:rFonts w:ascii="Arial" w:cs="Arial" w:eastAsia="Arial" w:hAnsi="Arial"/>
          <w:sz w:val="22"/>
          <w:szCs w:val="22"/>
          <w:color w:val="auto"/>
        </w:rPr>
      </w:pPr>
    </w:p>
    <w:p>
      <w:pPr>
        <w:jc w:val="both"/>
        <w:ind w:left="1440" w:right="60" w:hanging="726"/>
        <w:spacing w:after="0" w:line="362" w:lineRule="auto"/>
        <w:tabs>
          <w:tab w:leader="none" w:pos="149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the Bank gives notice of any change to the conditions of any Facility and the Borrower refuses to accept the changes before the end of the period of notice, then at the end of that period, the Facility will become repayable within 30 days of any demand by the Bank.</w:t>
      </w:r>
    </w:p>
    <w:p>
      <w:pPr>
        <w:ind w:left="1480" w:hanging="766"/>
        <w:spacing w:after="0"/>
        <w:tabs>
          <w:tab w:leader="none" w:pos="14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Nothing in this clause affects the Bank’s rights if any Event of Default occurs.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Cure</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98</w:t>
      </w:r>
    </w:p>
    <w:p>
      <w:pPr>
        <w:sectPr>
          <w:pgSz w:w="11900" w:h="16838" w:orient="portrait"/>
          <w:cols w:equalWidth="0" w:num="1">
            <w:col w:w="9400"/>
          </w:cols>
          <w:pgMar w:left="1260" w:top="1177" w:right="1246" w:bottom="0" w:gutter="0" w:footer="0" w:header="0"/>
          <w:type w:val="continuous"/>
        </w:sectPr>
      </w:pPr>
    </w:p>
    <w:bookmarkStart w:id="228" w:name="page229"/>
    <w:bookmarkEnd w:id="228"/>
    <w:p>
      <w:pPr>
        <w:spacing w:after="0" w:line="310" w:lineRule="auto"/>
        <w:rPr>
          <w:sz w:val="20"/>
          <w:szCs w:val="20"/>
          <w:color w:val="auto"/>
        </w:rPr>
      </w:pPr>
      <w:r>
        <w:rPr>
          <w:rFonts w:ascii="Arial" w:cs="Arial" w:eastAsia="Arial" w:hAnsi="Arial"/>
          <w:sz w:val="22"/>
          <w:szCs w:val="22"/>
          <w:color w:val="auto"/>
        </w:rPr>
        <w:t>If a breach of a Financial Ratio (other than the Fixed Charges Cover Ratio) occurs, the Borrower will have the right subject to clause 10.6(b) to cure the breach by procuring additional Subordinated Debt or an equity contribution by way of subscription for new shares in the Borrower (or a combination of both) in an amount sufficient to cure the breach when applied in prepayment of the Outstanding Accommodation (Equity Cure).</w:t>
      </w:r>
    </w:p>
    <w:p>
      <w:pPr>
        <w:spacing w:after="0" w:line="346" w:lineRule="exact"/>
        <w:rPr>
          <w:sz w:val="20"/>
          <w:szCs w:val="20"/>
          <w:color w:val="auto"/>
        </w:rPr>
      </w:pPr>
    </w:p>
    <w:p>
      <w:pPr>
        <w:ind w:right="60"/>
        <w:spacing w:after="0" w:line="310" w:lineRule="auto"/>
        <w:rPr>
          <w:sz w:val="20"/>
          <w:szCs w:val="20"/>
          <w:color w:val="auto"/>
        </w:rPr>
      </w:pPr>
      <w:r>
        <w:rPr>
          <w:rFonts w:ascii="Arial" w:cs="Arial" w:eastAsia="Arial" w:hAnsi="Arial"/>
          <w:sz w:val="22"/>
          <w:szCs w:val="22"/>
          <w:color w:val="auto"/>
        </w:rPr>
        <w:t>Equity Cure may not be used: more than 3 times during the term of the Facilities; or in respect of breach of a Financial Ratio on a Calculation Date, where Equity Cure has been used to cure a breach on the preceding Calculation Date. The Borrower must notify the Bank of its intention to provide an Equity Cure and effect the Equity Cure, within 10 Business Days of the delivery of the Compliance Certificate that identified the breach.</w:t>
      </w:r>
    </w:p>
    <w:p>
      <w:pPr>
        <w:spacing w:after="0" w:line="346" w:lineRule="exact"/>
        <w:rPr>
          <w:sz w:val="20"/>
          <w:szCs w:val="20"/>
          <w:color w:val="auto"/>
        </w:rPr>
      </w:pPr>
    </w:p>
    <w:p>
      <w:pPr>
        <w:ind w:right="20"/>
        <w:spacing w:after="0" w:line="310" w:lineRule="auto"/>
        <w:rPr>
          <w:sz w:val="20"/>
          <w:szCs w:val="20"/>
          <w:color w:val="auto"/>
        </w:rPr>
      </w:pPr>
      <w:r>
        <w:rPr>
          <w:rFonts w:ascii="Arial" w:cs="Arial" w:eastAsia="Arial" w:hAnsi="Arial"/>
          <w:sz w:val="22"/>
          <w:szCs w:val="22"/>
          <w:color w:val="auto"/>
        </w:rPr>
        <w:t>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w:t>
      </w:r>
    </w:p>
    <w:p>
      <w:pPr>
        <w:spacing w:after="0" w:line="346" w:lineRule="exact"/>
        <w:rPr>
          <w:sz w:val="20"/>
          <w:szCs w:val="20"/>
          <w:color w:val="auto"/>
        </w:rPr>
      </w:pPr>
    </w:p>
    <w:p>
      <w:pPr>
        <w:ind w:right="60"/>
        <w:spacing w:after="0" w:line="302" w:lineRule="auto"/>
        <w:rPr>
          <w:sz w:val="20"/>
          <w:szCs w:val="20"/>
          <w:color w:val="auto"/>
        </w:rPr>
      </w:pPr>
      <w:r>
        <w:rPr>
          <w:rFonts w:ascii="Arial" w:cs="Arial" w:eastAsia="Arial" w:hAnsi="Arial"/>
          <w:sz w:val="22"/>
          <w:szCs w:val="22"/>
          <w:color w:val="auto"/>
        </w:rPr>
        <w:t>Notwithstanding clause 10.6(d), any Equity Cure will be disregarded when calculating the Leverage Ratio for the purposes of determining the Margin.</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Costs and expenses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A reference to “costs and expenses” in a Transaction Document includes legal costs and expenses on a full indemnity basis.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Borrower must on demand pay and if paid by the Bank reimburse to the Bank:</w:t>
      </w:r>
    </w:p>
    <w:p>
      <w:pPr>
        <w:spacing w:after="0" w:line="88" w:lineRule="exact"/>
        <w:rPr>
          <w:sz w:val="20"/>
          <w:szCs w:val="20"/>
          <w:color w:val="auto"/>
        </w:rPr>
      </w:pPr>
    </w:p>
    <w:p>
      <w:pPr>
        <w:ind w:right="200"/>
        <w:spacing w:after="0" w:line="344" w:lineRule="auto"/>
        <w:rPr>
          <w:sz w:val="20"/>
          <w:szCs w:val="20"/>
          <w:color w:val="auto"/>
        </w:rPr>
      </w:pPr>
      <w:r>
        <w:rPr>
          <w:rFonts w:ascii="Arial" w:cs="Arial" w:eastAsia="Arial" w:hAnsi="Arial"/>
          <w:sz w:val="20"/>
          <w:szCs w:val="20"/>
          <w:color w:val="auto"/>
        </w:rPr>
        <w:t>the Bank’s reasonable costs and expenses relating to: any Valuation obtained for the purposes of any Transaction Document; the negotiation, preparation, execution, stamping and registration of the Transaction Documents or any document contemplated by them; any consent, request for consent (whether or not given), communication or waiver of any right, or the variation, replacement or discharge of any Transaction Document or any document contemplated by it; the enforcement or attempted enforcement or the preservation of any rights of the Bank under the Transaction Documents;</w:t>
      </w:r>
    </w:p>
    <w:p>
      <w:pPr>
        <w:spacing w:after="0" w:line="2" w:lineRule="exact"/>
        <w:rPr>
          <w:sz w:val="20"/>
          <w:szCs w:val="20"/>
          <w:color w:val="auto"/>
        </w:rPr>
      </w:pPr>
    </w:p>
    <w:p>
      <w:pPr>
        <w:ind w:right="20"/>
        <w:spacing w:after="0" w:line="328" w:lineRule="auto"/>
        <w:rPr>
          <w:sz w:val="20"/>
          <w:szCs w:val="20"/>
          <w:color w:val="auto"/>
        </w:rPr>
      </w:pPr>
      <w:r>
        <w:rPr>
          <w:rFonts w:ascii="Arial" w:cs="Arial" w:eastAsia="Arial" w:hAnsi="Arial"/>
          <w:sz w:val="21"/>
          <w:szCs w:val="21"/>
          <w:color w:val="auto"/>
        </w:rPr>
        <w:t>the occurrence of any Event of Default or Potential Event of Default; and the lodgment or removal of any Encumbrance on the Secured Property by any person; and subject to clause 18.14(d),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Remuneration</w:t>
      </w:r>
    </w:p>
    <w:p>
      <w:pPr>
        <w:spacing w:after="0" w:line="88"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98</w:t>
      </w:r>
    </w:p>
    <w:p>
      <w:pPr>
        <w:sectPr>
          <w:pgSz w:w="11900" w:h="16838" w:orient="portrait"/>
          <w:cols w:equalWidth="0" w:num="1">
            <w:col w:w="9400"/>
          </w:cols>
          <w:pgMar w:left="1260" w:top="1177" w:right="1246" w:bottom="0" w:gutter="0" w:footer="0" w:header="0"/>
          <w:type w:val="continuous"/>
        </w:sectPr>
      </w:pPr>
    </w:p>
    <w:bookmarkStart w:id="229" w:name="page230"/>
    <w:bookmarkEnd w:id="229"/>
    <w:p>
      <w:pPr>
        <w:spacing w:after="0"/>
        <w:rPr>
          <w:sz w:val="20"/>
          <w:szCs w:val="20"/>
          <w:color w:val="auto"/>
        </w:rPr>
      </w:pPr>
      <w:r>
        <w:rPr>
          <w:rFonts w:ascii="Arial" w:cs="Arial" w:eastAsia="Arial" w:hAnsi="Arial"/>
          <w:sz w:val="24"/>
          <w:szCs w:val="24"/>
          <w:b w:val="1"/>
          <w:bCs w:val="1"/>
          <w:color w:val="auto"/>
        </w:rPr>
        <w:t>Indemnities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auto"/>
        </w:rPr>
        <w:t>The Borrower indemnifies the Bank on demand against any liability, loss, cost or expense (including</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Break Costs) caused or contributed to by:</w:t>
      </w:r>
    </w:p>
    <w:p>
      <w:pPr>
        <w:spacing w:after="0" w:line="88" w:lineRule="exact"/>
        <w:rPr>
          <w:sz w:val="20"/>
          <w:szCs w:val="20"/>
          <w:color w:val="auto"/>
        </w:rPr>
      </w:pPr>
    </w:p>
    <w:p>
      <w:pPr>
        <w:ind w:right="460"/>
        <w:spacing w:after="0" w:line="302" w:lineRule="auto"/>
        <w:rPr>
          <w:sz w:val="20"/>
          <w:szCs w:val="20"/>
          <w:color w:val="auto"/>
        </w:rPr>
      </w:pPr>
      <w:r>
        <w:rPr>
          <w:rFonts w:ascii="Arial" w:cs="Arial" w:eastAsia="Arial" w:hAnsi="Arial"/>
          <w:sz w:val="22"/>
          <w:szCs w:val="22"/>
          <w:color w:val="auto"/>
        </w:rPr>
        <w:t>any failure by any Transaction Party to comply with any obligation under any Transaction Document; any Event of Default or Potential Event of Default;</w:t>
      </w:r>
    </w:p>
    <w:p>
      <w:pPr>
        <w:spacing w:after="0" w:line="23" w:lineRule="exact"/>
        <w:rPr>
          <w:sz w:val="20"/>
          <w:szCs w:val="20"/>
          <w:color w:val="auto"/>
        </w:rPr>
      </w:pPr>
    </w:p>
    <w:p>
      <w:pPr>
        <w:ind w:right="220"/>
        <w:spacing w:after="0" w:line="302" w:lineRule="auto"/>
        <w:rPr>
          <w:sz w:val="20"/>
          <w:szCs w:val="20"/>
          <w:color w:val="auto"/>
        </w:rPr>
      </w:pPr>
      <w:r>
        <w:rPr>
          <w:rFonts w:ascii="Arial" w:cs="Arial" w:eastAsia="Arial" w:hAnsi="Arial"/>
          <w:sz w:val="22"/>
          <w:szCs w:val="22"/>
          <w:color w:val="auto"/>
        </w:rPr>
        <w:t>the enforcement or attempted enforcement of any right by the Bank, any Receiver or any Attorney under the Transaction Documents;</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22"/>
          <w:szCs w:val="22"/>
          <w:color w:val="auto"/>
        </w:rPr>
        <w:t>any Drawing requested by the Borrower not being granted by the Bank for any reason other than a default by the Bank;</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any payment not being made by the Borrower in accordance with any Transaction Document; or</w:t>
      </w:r>
    </w:p>
    <w:p>
      <w:pPr>
        <w:spacing w:after="0" w:line="88"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any act by the Bank in reliance on any communication purporting to be from the Borrower or to be given on behalf of the Borrower.</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Representatives</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cs="Arial" w:eastAsia="Arial" w:hAnsi="Arial"/>
          <w:sz w:val="22"/>
          <w:szCs w:val="22"/>
          <w:b w:val="1"/>
          <w:bCs w:val="1"/>
          <w:color w:val="auto"/>
        </w:rPr>
        <w:t>clause 12.1</w:t>
      </w:r>
      <w:r>
        <w:rPr>
          <w:rFonts w:ascii="Arial" w:cs="Arial" w:eastAsia="Arial" w:hAnsi="Arial"/>
          <w:sz w:val="22"/>
          <w:szCs w:val="22"/>
          <w:color w:val="auto"/>
        </w:rPr>
        <w:t xml:space="preserve"> and the Bank holds the benefit of this </w:t>
      </w:r>
      <w:r>
        <w:rPr>
          <w:rFonts w:ascii="Arial" w:cs="Arial" w:eastAsia="Arial" w:hAnsi="Arial"/>
          <w:sz w:val="22"/>
          <w:szCs w:val="22"/>
          <w:b w:val="1"/>
          <w:bCs w:val="1"/>
          <w:color w:val="auto"/>
        </w:rPr>
        <w:t>clause 12.2</w:t>
      </w:r>
      <w:r>
        <w:rPr>
          <w:rFonts w:ascii="Arial" w:cs="Arial" w:eastAsia="Arial" w:hAnsi="Arial"/>
          <w:sz w:val="22"/>
          <w:szCs w:val="22"/>
          <w:color w:val="auto"/>
        </w:rPr>
        <w:t xml:space="preserve"> on trust for those persons.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deficiency</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there is any deficiency between:</w:t>
      </w:r>
    </w:p>
    <w:p>
      <w:pPr>
        <w:spacing w:after="0" w:line="88" w:lineRule="exact"/>
        <w:rPr>
          <w:sz w:val="20"/>
          <w:szCs w:val="20"/>
          <w:color w:val="auto"/>
        </w:rPr>
      </w:pPr>
    </w:p>
    <w:p>
      <w:pPr>
        <w:ind w:left="1440" w:right="100" w:hanging="719"/>
        <w:spacing w:after="0" w:line="307" w:lineRule="auto"/>
        <w:tabs>
          <w:tab w:leader="none" w:pos="142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an amount payable by a Transaction Party under a Transaction Document which is received by the Bank in a currency other than the currency payable under the Transaction Document because of a judgment, order or otherwise; and</w:t>
      </w:r>
    </w:p>
    <w:p>
      <w:pPr>
        <w:spacing w:after="0" w:line="19" w:lineRule="exact"/>
        <w:rPr>
          <w:sz w:val="20"/>
          <w:szCs w:val="20"/>
          <w:color w:val="auto"/>
        </w:rPr>
      </w:pPr>
    </w:p>
    <w:p>
      <w:pPr>
        <w:jc w:val="both"/>
        <w:ind w:left="1440" w:right="220" w:hanging="726"/>
        <w:spacing w:after="0" w:line="307" w:lineRule="auto"/>
        <w:tabs>
          <w:tab w:leader="none" w:pos="149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amount produced by converting the payment received from the currency in which it was paid into the currency in which it was agreed to be paid either directly or through a currency other than that in which it was agreed to be paid,</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the Borrower must pay to the Bank the deficiency and any loss, costs or expenses resulting from it.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and survival</w:t>
      </w:r>
    </w:p>
    <w:p>
      <w:pPr>
        <w:spacing w:after="0" w:line="88" w:lineRule="exact"/>
        <w:rPr>
          <w:sz w:val="20"/>
          <w:szCs w:val="20"/>
          <w:color w:val="auto"/>
        </w:rPr>
      </w:pPr>
    </w:p>
    <w:p>
      <w:pPr>
        <w:spacing w:after="0" w:line="328" w:lineRule="auto"/>
        <w:rPr>
          <w:sz w:val="20"/>
          <w:szCs w:val="20"/>
          <w:color w:val="auto"/>
        </w:rPr>
      </w:pPr>
      <w:r>
        <w:rPr>
          <w:rFonts w:ascii="Arial" w:cs="Arial" w:eastAsia="Arial" w:hAnsi="Arial"/>
          <w:sz w:val="21"/>
          <w:szCs w:val="21"/>
          <w:color w:val="auto"/>
        </w:rPr>
        <w:t>Each indemnity in a Transaction Document is a continuing obligation, separate and independent from the other obligations of the Borrower and survives the termination of that Transaction Document.</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transactions</w:t>
      </w:r>
    </w:p>
    <w:p>
      <w:pPr>
        <w:spacing w:after="0" w:line="200" w:lineRule="exact"/>
        <w:rPr>
          <w:sz w:val="20"/>
          <w:szCs w:val="20"/>
          <w:color w:val="auto"/>
        </w:rPr>
      </w:pPr>
    </w:p>
    <w:p>
      <w:pPr>
        <w:spacing w:after="0" w:line="218" w:lineRule="exact"/>
        <w:rPr>
          <w:sz w:val="20"/>
          <w:szCs w:val="20"/>
          <w:color w:val="auto"/>
        </w:rPr>
      </w:pPr>
    </w:p>
    <w:p>
      <w:pPr>
        <w:ind w:right="60"/>
        <w:spacing w:after="0" w:line="310" w:lineRule="auto"/>
        <w:rPr>
          <w:sz w:val="20"/>
          <w:szCs w:val="20"/>
          <w:color w:val="auto"/>
        </w:rPr>
      </w:pPr>
      <w:r>
        <w:rPr>
          <w:rFonts w:ascii="Arial" w:cs="Arial" w:eastAsia="Arial" w:hAnsi="Arial"/>
          <w:sz w:val="22"/>
          <w:szCs w:val="22"/>
          <w:color w:val="auto"/>
        </w:rPr>
        <w:t>The Borrower irrevocably authorises the Bank to open such accounts as the Bank requires in connection with a Facility. 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p>
    <w:p>
      <w:pPr>
        <w:sectPr>
          <w:pgSz w:w="11900" w:h="16838" w:orient="portrait"/>
          <w:cols w:equalWidth="0" w:num="1">
            <w:col w:w="9400"/>
          </w:cols>
          <w:pgMar w:left="1260" w:top="116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98</w:t>
      </w:r>
    </w:p>
    <w:p>
      <w:pPr>
        <w:sectPr>
          <w:pgSz w:w="11900" w:h="16838" w:orient="portrait"/>
          <w:cols w:equalWidth="0" w:num="1">
            <w:col w:w="9400"/>
          </w:cols>
          <w:pgMar w:left="1260" w:top="1168" w:right="1246" w:bottom="0" w:gutter="0" w:footer="0" w:header="0"/>
          <w:type w:val="continuous"/>
        </w:sectPr>
      </w:pPr>
    </w:p>
    <w:bookmarkStart w:id="230" w:name="page231"/>
    <w:bookmarkEnd w:id="230"/>
    <w:p>
      <w:pPr>
        <w:ind w:right="60"/>
        <w:spacing w:after="0" w:line="328" w:lineRule="auto"/>
        <w:rPr>
          <w:sz w:val="20"/>
          <w:szCs w:val="20"/>
          <w:color w:val="auto"/>
        </w:rPr>
      </w:pPr>
      <w:r>
        <w:rPr>
          <w:rFonts w:ascii="Arial" w:cs="Arial" w:eastAsia="Arial" w:hAnsi="Arial"/>
          <w:sz w:val="21"/>
          <w:szCs w:val="21"/>
          <w:color w:val="auto"/>
        </w:rPr>
        <w:t>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 Where the Bank debits an account in the name of the Borrower, opened by:</w:t>
      </w:r>
    </w:p>
    <w:p>
      <w:pPr>
        <w:spacing w:after="0" w:line="330" w:lineRule="exact"/>
        <w:rPr>
          <w:sz w:val="20"/>
          <w:szCs w:val="20"/>
          <w:color w:val="auto"/>
        </w:rPr>
      </w:pPr>
    </w:p>
    <w:p>
      <w:pPr>
        <w:ind w:right="100"/>
        <w:spacing w:after="0" w:line="344" w:lineRule="auto"/>
        <w:rPr>
          <w:sz w:val="20"/>
          <w:szCs w:val="20"/>
          <w:color w:val="auto"/>
        </w:rPr>
      </w:pPr>
      <w:r>
        <w:rPr>
          <w:rFonts w:ascii="Arial" w:cs="Arial" w:eastAsia="Arial" w:hAnsi="Arial"/>
          <w:sz w:val="20"/>
          <w:szCs w:val="20"/>
          <w:color w:val="auto"/>
        </w:rPr>
        <w:t>the Borrower, the Borrower must pay the Bank interest (including default interest if applicable) on any debit balance in accordance with the terms of that account; the Bank, the Borrower must pay the Bank interest on the overdrawn balance of that account at the Overdue Rate applying to the relevant Facility or, if there is none, in accordance with the terms normally applied by the Bank to accounts of that type;</w:t>
      </w:r>
    </w:p>
    <w:p>
      <w:pPr>
        <w:spacing w:after="0" w:line="1" w:lineRule="exact"/>
        <w:rPr>
          <w:sz w:val="20"/>
          <w:szCs w:val="20"/>
          <w:color w:val="auto"/>
        </w:rPr>
      </w:pPr>
    </w:p>
    <w:p>
      <w:pPr>
        <w:ind w:right="300"/>
        <w:spacing w:after="0" w:line="328" w:lineRule="auto"/>
        <w:rPr>
          <w:sz w:val="20"/>
          <w:szCs w:val="20"/>
          <w:color w:val="auto"/>
        </w:rPr>
      </w:pPr>
      <w:r>
        <w:rPr>
          <w:rFonts w:ascii="Arial" w:cs="Arial" w:eastAsia="Arial" w:hAnsi="Arial"/>
          <w:sz w:val="21"/>
          <w:szCs w:val="21"/>
          <w:color w:val="auto"/>
        </w:rPr>
        <w:t>or either the Borrower or the Bank, the overdrawn balance of the account in excess of the applicable Facility Limit is immediately payable without further notice. Unless otherwise provided, the Bank may apply any payment under or in connection with this document towards satisfying obligations under this document as the Bank sees fit. Where the Bank is authorised to debit an amount from an account under this document, it can do so without prior notice.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Liability for Regulatory Events</w:t>
      </w:r>
    </w:p>
    <w:p>
      <w:pPr>
        <w:spacing w:after="0" w:line="88" w:lineRule="exact"/>
        <w:rPr>
          <w:sz w:val="20"/>
          <w:szCs w:val="20"/>
          <w:color w:val="auto"/>
        </w:rPr>
      </w:pPr>
    </w:p>
    <w:p>
      <w:pPr>
        <w:ind w:right="700"/>
        <w:spacing w:after="0" w:line="302" w:lineRule="auto"/>
        <w:rPr>
          <w:sz w:val="20"/>
          <w:szCs w:val="20"/>
          <w:color w:val="auto"/>
        </w:rPr>
      </w:pPr>
      <w:r>
        <w:rPr>
          <w:rFonts w:ascii="Arial" w:cs="Arial" w:eastAsia="Arial" w:hAnsi="Arial"/>
          <w:sz w:val="22"/>
          <w:szCs w:val="22"/>
          <w:color w:val="auto"/>
        </w:rPr>
        <w:t>The Borrower acknowledges that the Services may be interrupted, prevented, delayed or otherwise adversely affected by a Regulatory Event. To the extent permitted by Law:</w:t>
      </w:r>
    </w:p>
    <w:p>
      <w:pPr>
        <w:spacing w:after="0" w:line="353" w:lineRule="exact"/>
        <w:rPr>
          <w:sz w:val="20"/>
          <w:szCs w:val="20"/>
          <w:color w:val="auto"/>
        </w:rPr>
      </w:pPr>
    </w:p>
    <w:p>
      <w:pPr>
        <w:ind w:right="20"/>
        <w:spacing w:after="0" w:line="346" w:lineRule="auto"/>
        <w:rPr>
          <w:sz w:val="20"/>
          <w:szCs w:val="20"/>
          <w:color w:val="auto"/>
        </w:rPr>
      </w:pPr>
      <w:r>
        <w:rPr>
          <w:rFonts w:ascii="Arial" w:cs="Arial" w:eastAsia="Arial" w:hAnsi="Arial"/>
          <w:sz w:val="20"/>
          <w:szCs w:val="20"/>
          <w:color w:val="auto"/>
        </w:rPr>
        <w:t>the Bank is not liable for any loss incurred by a Borrower or any other person if an event described in clause 12.6(a) occurs, irrespective of the nature or cause of that loss, and the Bank has no obligation to contest any Regulatory Event or to mitigate its impact on the Borrower or the Bank; and the Borrower releases the Bank from all liability in connection with any loss incurred by a Borrower or any other person if an event described in clause 12.6(a) occurs. To the extent that the Bank’s liability cannot be excluded, the Bank’s liability is limited to the cost of having the Service supplied again.</w:t>
      </w:r>
    </w:p>
    <w:p>
      <w:pPr>
        <w:spacing w:after="0" w:line="321" w:lineRule="exact"/>
        <w:rPr>
          <w:sz w:val="20"/>
          <w:szCs w:val="20"/>
          <w:color w:val="auto"/>
        </w:rPr>
      </w:pPr>
    </w:p>
    <w:p>
      <w:pPr>
        <w:ind w:right="200"/>
        <w:spacing w:after="0" w:line="348" w:lineRule="auto"/>
        <w:rPr>
          <w:sz w:val="20"/>
          <w:szCs w:val="20"/>
          <w:color w:val="auto"/>
        </w:rPr>
      </w:pPr>
      <w:r>
        <w:rPr>
          <w:rFonts w:ascii="Arial" w:cs="Arial" w:eastAsia="Arial" w:hAnsi="Arial"/>
          <w:sz w:val="20"/>
          <w:szCs w:val="20"/>
          <w:color w:val="auto"/>
        </w:rPr>
        <w:t>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p>
    <w:p>
      <w:pPr>
        <w:spacing w:after="0" w:line="316" w:lineRule="exact"/>
        <w:rPr>
          <w:sz w:val="20"/>
          <w:szCs w:val="20"/>
          <w:color w:val="auto"/>
        </w:rPr>
      </w:pPr>
    </w:p>
    <w:p>
      <w:pPr>
        <w:ind w:right="20"/>
        <w:spacing w:after="0" w:line="307" w:lineRule="auto"/>
        <w:rPr>
          <w:sz w:val="20"/>
          <w:szCs w:val="20"/>
          <w:color w:val="auto"/>
        </w:rPr>
      </w:pPr>
      <w:r>
        <w:rPr>
          <w:rFonts w:ascii="Arial" w:cs="Arial" w:eastAsia="Arial" w:hAnsi="Arial"/>
          <w:sz w:val="22"/>
          <w:szCs w:val="22"/>
          <w:color w:val="auto"/>
        </w:rPr>
        <w:t>The Borrower agrees to provide information to the Bank about it, the Services or any person connected with it or the Services on request, and to promptly procure any consents the Bank requires to give effect to clause 12.6(d).</w:t>
      </w:r>
    </w:p>
    <w:p>
      <w:pPr>
        <w:spacing w:after="0" w:line="3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Goods and Services Tax</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Taxable supply</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If GST is payable by the Bank on any supply made under a Transaction Document, the Borrower must pay to the Bank an amount equal to the GST payable on the supply.</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 / 98</w:t>
      </w:r>
    </w:p>
    <w:p>
      <w:pPr>
        <w:sectPr>
          <w:pgSz w:w="11900" w:h="16838" w:orient="portrait"/>
          <w:cols w:equalWidth="0" w:num="1">
            <w:col w:w="9380"/>
          </w:cols>
          <w:pgMar w:left="1260" w:top="1177" w:right="1266" w:bottom="0" w:gutter="0" w:footer="0" w:header="0"/>
          <w:type w:val="continuous"/>
        </w:sectPr>
      </w:pPr>
    </w:p>
    <w:bookmarkStart w:id="231" w:name="page232"/>
    <w:bookmarkEnd w:id="231"/>
    <w:p>
      <w:pPr>
        <w:jc w:val="both"/>
        <w:ind w:right="300"/>
        <w:spacing w:after="0" w:line="307" w:lineRule="auto"/>
        <w:rPr>
          <w:sz w:val="20"/>
          <w:szCs w:val="20"/>
          <w:color w:val="auto"/>
        </w:rPr>
      </w:pPr>
      <w:r>
        <w:rPr>
          <w:rFonts w:ascii="Arial" w:cs="Arial" w:eastAsia="Arial" w:hAnsi="Arial"/>
          <w:sz w:val="22"/>
          <w:szCs w:val="22"/>
          <w:color w:val="auto"/>
        </w:rPr>
        <w:t>That amount must be paid at the same time that the consideration for the supply is to be provided under the Transaction Document and must be paid in addition to the consideration expressed elsewhere in the Transaction Document.</w:t>
      </w:r>
    </w:p>
    <w:p>
      <w:pPr>
        <w:spacing w:after="0" w:line="349" w:lineRule="exact"/>
        <w:rPr>
          <w:sz w:val="20"/>
          <w:szCs w:val="20"/>
          <w:color w:val="auto"/>
        </w:rPr>
      </w:pPr>
    </w:p>
    <w:p>
      <w:pPr>
        <w:ind w:right="200"/>
        <w:spacing w:after="0" w:line="302" w:lineRule="auto"/>
        <w:rPr>
          <w:sz w:val="20"/>
          <w:szCs w:val="20"/>
          <w:color w:val="auto"/>
        </w:rPr>
      </w:pPr>
      <w:r>
        <w:rPr>
          <w:rFonts w:ascii="Arial" w:cs="Arial" w:eastAsia="Arial" w:hAnsi="Arial"/>
          <w:sz w:val="22"/>
          <w:szCs w:val="22"/>
          <w:color w:val="auto"/>
        </w:rPr>
        <w:t>On receiving that amount from the Borrower, the Bank must provide the Borrower with a tax invoice for the supply.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events</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cs="Arial" w:eastAsia="Arial" w:hAnsi="Arial"/>
          <w:sz w:val="22"/>
          <w:szCs w:val="22"/>
          <w:b w:val="1"/>
          <w:bCs w:val="1"/>
          <w:color w:val="auto"/>
        </w:rPr>
        <w:t>clause 13.1</w:t>
      </w:r>
      <w:r>
        <w:rPr>
          <w:rFonts w:ascii="Arial" w:cs="Arial" w:eastAsia="Arial" w:hAnsi="Arial"/>
          <w:sz w:val="22"/>
          <w:szCs w:val="22"/>
          <w:color w:val="auto"/>
        </w:rPr>
        <w:t xml:space="preserve"> and payments to give effect to the adjustment must be made.</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Payments</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p>
    <w:p>
      <w:pPr>
        <w:spacing w:after="0" w:line="19" w:lineRule="exact"/>
        <w:rPr>
          <w:sz w:val="20"/>
          <w:szCs w:val="20"/>
          <w:color w:val="auto"/>
        </w:rPr>
      </w:pPr>
    </w:p>
    <w:p>
      <w:pPr>
        <w:jc w:val="both"/>
        <w:ind w:right="80"/>
        <w:spacing w:after="0" w:line="328" w:lineRule="auto"/>
        <w:rPr>
          <w:sz w:val="20"/>
          <w:szCs w:val="20"/>
          <w:color w:val="auto"/>
        </w:rPr>
      </w:pPr>
      <w:r>
        <w:rPr>
          <w:rFonts w:ascii="Arial" w:cs="Arial" w:eastAsia="Arial" w:hAnsi="Arial"/>
          <w:sz w:val="21"/>
          <w:szCs w:val="21"/>
          <w:color w:val="auto"/>
        </w:rPr>
        <w:t>the amount of the expense or outgoing less any input tax credit in relation to that expense or outgoing that the Bank is entitled to; and if the Bank’s recovery from the Borrower is in relation to a taxable supply, an amount equal to the GST payable by the Bank in relation to that recovery.</w:t>
      </w:r>
    </w:p>
    <w:p>
      <w:pPr>
        <w:spacing w:after="0" w:line="232" w:lineRule="auto"/>
        <w:rPr>
          <w:sz w:val="20"/>
          <w:szCs w:val="20"/>
          <w:color w:val="auto"/>
        </w:rPr>
      </w:pPr>
      <w:r>
        <w:rPr>
          <w:rFonts w:ascii="Arial" w:cs="Arial" w:eastAsia="Arial" w:hAnsi="Arial"/>
          <w:sz w:val="24"/>
          <w:szCs w:val="24"/>
          <w:b w:val="1"/>
          <w:bCs w:val="1"/>
          <w:color w:val="auto"/>
        </w:rPr>
        <w:t>Increased costs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If the Bank determines that: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cost to it of providing, funding or maintaining the Facility is increased;</w:t>
      </w:r>
    </w:p>
    <w:p>
      <w:pPr>
        <w:spacing w:after="0" w:line="88" w:lineRule="exact"/>
        <w:rPr>
          <w:sz w:val="20"/>
          <w:szCs w:val="20"/>
          <w:color w:val="auto"/>
        </w:rPr>
      </w:pPr>
    </w:p>
    <w:p>
      <w:pPr>
        <w:ind w:right="680"/>
        <w:spacing w:after="0" w:line="302" w:lineRule="auto"/>
        <w:rPr>
          <w:sz w:val="20"/>
          <w:szCs w:val="20"/>
          <w:color w:val="auto"/>
        </w:rPr>
      </w:pPr>
      <w:r>
        <w:rPr>
          <w:rFonts w:ascii="Arial" w:cs="Arial" w:eastAsia="Arial" w:hAnsi="Arial"/>
          <w:sz w:val="22"/>
          <w:szCs w:val="22"/>
          <w:color w:val="auto"/>
        </w:rPr>
        <w:t>an amount payable to the Bank or the effective return to the Bank under a Transaction Document is reduced;</w:t>
      </w:r>
    </w:p>
    <w:p>
      <w:pPr>
        <w:spacing w:after="0" w:line="353" w:lineRule="exact"/>
        <w:rPr>
          <w:sz w:val="20"/>
          <w:szCs w:val="20"/>
          <w:color w:val="auto"/>
        </w:rPr>
      </w:pPr>
    </w:p>
    <w:p>
      <w:pPr>
        <w:ind w:right="20"/>
        <w:spacing w:after="0" w:line="344" w:lineRule="auto"/>
        <w:rPr>
          <w:sz w:val="20"/>
          <w:szCs w:val="20"/>
          <w:color w:val="auto"/>
        </w:rPr>
      </w:pPr>
      <w:r>
        <w:rPr>
          <w:rFonts w:ascii="Arial" w:cs="Arial" w:eastAsia="Arial" w:hAnsi="Arial"/>
          <w:sz w:val="20"/>
          <w:szCs w:val="20"/>
          <w:color w:val="auto"/>
        </w:rPr>
        <w:t>the effective return to the Bank under any Transaction Document as a proportion of the capital of the Bank is reduced; or the Bank must make a payment or forego any interest or other return calculated by reference to any amount received or receivable by it from any Transaction Party under a Transaction Document,because of: any law, regulation or Government Body directive or request (whether or not having the force of law) introduced or made after the date of this document, including those relating to taxation, capital adequacy or reserve requirements or banking or monetary controls; or any change in the interpretation or application of any of them, the Borrower must, within two Business Days after a demand by the Bank, pay to the Bank the amount which, in the Bank’s reasonable opinion, will compensate the Bank for the increased cost, reduction, payment or foregone interest or other return.</w:t>
      </w:r>
    </w:p>
    <w:p>
      <w:pPr>
        <w:spacing w:after="0" w:line="235" w:lineRule="auto"/>
        <w:rPr>
          <w:sz w:val="20"/>
          <w:szCs w:val="20"/>
          <w:color w:val="auto"/>
        </w:rPr>
      </w:pPr>
      <w:r>
        <w:rPr>
          <w:rFonts w:ascii="Arial" w:cs="Arial" w:eastAsia="Arial" w:hAnsi="Arial"/>
          <w:sz w:val="24"/>
          <w:szCs w:val="24"/>
          <w:b w:val="1"/>
          <w:bCs w:val="1"/>
          <w:color w:val="auto"/>
        </w:rPr>
        <w:t>Illegality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Prepayment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because of any change after the date of this document in:</w:t>
      </w:r>
    </w:p>
    <w:p>
      <w:pPr>
        <w:spacing w:after="0" w:line="88" w:lineRule="exact"/>
        <w:rPr>
          <w:sz w:val="20"/>
          <w:szCs w:val="20"/>
          <w:color w:val="auto"/>
        </w:rPr>
      </w:pPr>
    </w:p>
    <w:p>
      <w:pPr>
        <w:ind w:right="280"/>
        <w:spacing w:after="0" w:line="356" w:lineRule="auto"/>
        <w:rPr>
          <w:sz w:val="20"/>
          <w:szCs w:val="20"/>
          <w:color w:val="auto"/>
        </w:rPr>
      </w:pPr>
      <w:r>
        <w:rPr>
          <w:rFonts w:ascii="Arial" w:cs="Arial" w:eastAsia="Arial" w:hAnsi="Arial"/>
          <w:sz w:val="20"/>
          <w:szCs w:val="20"/>
          <w:color w:val="auto"/>
        </w:rPr>
        <w:t>a law, regulation or a Government Body directive or request which is legally enforceable or compliance with which is in accordance with the practice of responsible Banks in the relevant jurisdiction; or</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98</w:t>
      </w:r>
    </w:p>
    <w:p>
      <w:pPr>
        <w:sectPr>
          <w:pgSz w:w="11900" w:h="16838" w:orient="portrait"/>
          <w:cols w:equalWidth="0" w:num="1">
            <w:col w:w="9400"/>
          </w:cols>
          <w:pgMar w:left="1260" w:top="1177" w:right="1246" w:bottom="0" w:gutter="0" w:footer="0" w:header="0"/>
          <w:type w:val="continuous"/>
        </w:sectPr>
      </w:pPr>
    </w:p>
    <w:bookmarkStart w:id="232" w:name="page233"/>
    <w:bookmarkEnd w:id="232"/>
    <w:p>
      <w:pPr>
        <w:ind w:right="40"/>
        <w:spacing w:after="0" w:line="328" w:lineRule="auto"/>
        <w:rPr>
          <w:sz w:val="20"/>
          <w:szCs w:val="20"/>
          <w:color w:val="auto"/>
        </w:rPr>
      </w:pPr>
      <w:r>
        <w:rPr>
          <w:rFonts w:ascii="Arial" w:cs="Arial" w:eastAsia="Arial" w:hAnsi="Arial"/>
          <w:sz w:val="21"/>
          <w:szCs w:val="21"/>
          <w:color w:val="auto"/>
        </w:rPr>
        <w:t xml:space="preserve">the interpretation or application of any of them, the Bank determines that it is or it will become impossible or illegal or contrary to that Government Body directive or request for: the Bank to fund, provide or maintain the Facility or otherwise comply with its obligations under the Transaction Documents; or a person from whom the Bank has raised or proposes to raise money in relation to the Facility to fund, provide or maintain that money, the Borrower must, within five Business Days after receipt of a notice from the Bank to do so, pay the amount referred to in </w:t>
      </w:r>
      <w:r>
        <w:rPr>
          <w:rFonts w:ascii="Arial" w:cs="Arial" w:eastAsia="Arial" w:hAnsi="Arial"/>
          <w:sz w:val="21"/>
          <w:szCs w:val="21"/>
          <w:b w:val="1"/>
          <w:bCs w:val="1"/>
          <w:color w:val="auto"/>
        </w:rPr>
        <w:t>clause 10.2(a)(ii)(A)</w:t>
      </w:r>
      <w:r>
        <w:rPr>
          <w:rFonts w:ascii="Arial" w:cs="Arial" w:eastAsia="Arial" w:hAnsi="Arial"/>
          <w:sz w:val="21"/>
          <w:szCs w:val="21"/>
          <w:color w:val="auto"/>
        </w:rPr>
        <w:t xml:space="preserve"> or </w:t>
      </w:r>
      <w:r>
        <w:rPr>
          <w:rFonts w:ascii="Arial" w:cs="Arial" w:eastAsia="Arial" w:hAnsi="Arial"/>
          <w:sz w:val="21"/>
          <w:szCs w:val="21"/>
          <w:b w:val="1"/>
          <w:bCs w:val="1"/>
          <w:color w:val="auto"/>
        </w:rPr>
        <w:t>10.2(a)(ii)(B)</w:t>
      </w:r>
      <w:r>
        <w:rPr>
          <w:rFonts w:ascii="Arial" w:cs="Arial" w:eastAsia="Arial" w:hAnsi="Arial"/>
          <w:sz w:val="21"/>
          <w:szCs w:val="21"/>
          <w:color w:val="auto"/>
        </w:rPr>
        <w:t xml:space="preserve"> as if that notice were a notice under </w:t>
      </w:r>
      <w:r>
        <w:rPr>
          <w:rFonts w:ascii="Arial" w:cs="Arial" w:eastAsia="Arial" w:hAnsi="Arial"/>
          <w:sz w:val="21"/>
          <w:szCs w:val="21"/>
          <w:b w:val="1"/>
          <w:bCs w:val="1"/>
          <w:color w:val="auto"/>
        </w:rPr>
        <w:t>clause 10.2(a)(ii)(A)</w:t>
      </w:r>
      <w:r>
        <w:rPr>
          <w:rFonts w:ascii="Arial" w:cs="Arial" w:eastAsia="Arial" w:hAnsi="Arial"/>
          <w:sz w:val="21"/>
          <w:szCs w:val="21"/>
          <w:color w:val="auto"/>
        </w:rPr>
        <w:t xml:space="preserve"> or </w:t>
      </w:r>
      <w:r>
        <w:rPr>
          <w:rFonts w:ascii="Arial" w:cs="Arial" w:eastAsia="Arial" w:hAnsi="Arial"/>
          <w:sz w:val="21"/>
          <w:szCs w:val="21"/>
          <w:b w:val="1"/>
          <w:bCs w:val="1"/>
          <w:color w:val="auto"/>
        </w:rPr>
        <w:t>10.2(a)(ii)(B)</w:t>
      </w:r>
      <w:r>
        <w:rPr>
          <w:rFonts w:ascii="Arial" w:cs="Arial" w:eastAsia="Arial" w:hAnsi="Arial"/>
          <w:sz w:val="21"/>
          <w:szCs w:val="2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Facility terminated</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 xml:space="preserve">The Bank’s obligation to make Advances or Drawings under this document terminates on the giving of a notice under </w:t>
      </w:r>
      <w:r>
        <w:rPr>
          <w:rFonts w:ascii="Arial" w:cs="Arial" w:eastAsia="Arial" w:hAnsi="Arial"/>
          <w:sz w:val="22"/>
          <w:szCs w:val="22"/>
          <w:b w:val="1"/>
          <w:bCs w:val="1"/>
          <w:color w:val="auto"/>
        </w:rPr>
        <w:t>clause 15.1</w:t>
      </w:r>
      <w:r>
        <w:rPr>
          <w:rFonts w:ascii="Arial" w:cs="Arial" w:eastAsia="Arial" w:hAnsi="Arial"/>
          <w:sz w:val="22"/>
          <w:szCs w:val="22"/>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Guarantee and indemnity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w:t>
      </w:r>
    </w:p>
    <w:p>
      <w:pPr>
        <w:spacing w:after="0" w:line="88" w:lineRule="exact"/>
        <w:rPr>
          <w:sz w:val="20"/>
          <w:szCs w:val="20"/>
          <w:color w:val="auto"/>
        </w:rPr>
      </w:pPr>
    </w:p>
    <w:p>
      <w:pPr>
        <w:ind w:right="320"/>
        <w:spacing w:after="0" w:line="309" w:lineRule="auto"/>
        <w:rPr>
          <w:sz w:val="20"/>
          <w:szCs w:val="20"/>
          <w:color w:val="auto"/>
        </w:rPr>
      </w:pPr>
      <w:r>
        <w:rPr>
          <w:rFonts w:ascii="Arial" w:cs="Arial" w:eastAsia="Arial" w:hAnsi="Arial"/>
          <w:sz w:val="22"/>
          <w:szCs w:val="22"/>
          <w:color w:val="auto"/>
        </w:rPr>
        <w:t>Each Guarantor unconditionally and irrevocably guarantees the payment to the Bank of the Guaranteed Money. If the Borrower does not pay the Guaranteed Money on time and in accordance with the Transaction Documents, then the Guarantors agree to pay the Guaranteed Money on demand from the Bank.</w:t>
      </w:r>
    </w:p>
    <w:p>
      <w:pPr>
        <w:spacing w:after="0" w:line="17" w:lineRule="exact"/>
        <w:rPr>
          <w:sz w:val="20"/>
          <w:szCs w:val="20"/>
          <w:color w:val="auto"/>
        </w:rPr>
      </w:pPr>
    </w:p>
    <w:p>
      <w:pPr>
        <w:ind w:right="280"/>
        <w:spacing w:after="0" w:line="302" w:lineRule="auto"/>
        <w:rPr>
          <w:sz w:val="20"/>
          <w:szCs w:val="20"/>
          <w:color w:val="auto"/>
        </w:rPr>
      </w:pPr>
      <w:r>
        <w:rPr>
          <w:rFonts w:ascii="Arial" w:cs="Arial" w:eastAsia="Arial" w:hAnsi="Arial"/>
          <w:sz w:val="22"/>
          <w:szCs w:val="22"/>
          <w:color w:val="auto"/>
        </w:rPr>
        <w:t>A demand may be made at any time and from time to time and whether or not the Bank or the Bank has made demand on the Borrower or any other Transaction Party.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guarantee</w:t>
      </w:r>
    </w:p>
    <w:p>
      <w:pPr>
        <w:spacing w:after="0" w:line="88" w:lineRule="exact"/>
        <w:rPr>
          <w:sz w:val="20"/>
          <w:szCs w:val="20"/>
          <w:color w:val="auto"/>
        </w:rPr>
      </w:pPr>
    </w:p>
    <w:p>
      <w:pPr>
        <w:ind w:right="420"/>
        <w:spacing w:after="0" w:line="302" w:lineRule="auto"/>
        <w:rPr>
          <w:sz w:val="20"/>
          <w:szCs w:val="20"/>
          <w:color w:val="auto"/>
        </w:rPr>
      </w:pPr>
      <w:r>
        <w:rPr>
          <w:rFonts w:ascii="Arial" w:cs="Arial" w:eastAsia="Arial" w:hAnsi="Arial"/>
          <w:sz w:val="22"/>
          <w:szCs w:val="22"/>
          <w:color w:val="auto"/>
        </w:rPr>
        <w:t>The guarantee in clause 16.1 is a continuing obligation despite any intervening payment, settlement or other thing and extends to all of the Guaranteed Money.</w:t>
      </w:r>
    </w:p>
    <w:p>
      <w:pPr>
        <w:spacing w:after="0" w:line="353" w:lineRule="exact"/>
        <w:rPr>
          <w:sz w:val="20"/>
          <w:szCs w:val="20"/>
          <w:color w:val="auto"/>
        </w:rPr>
      </w:pPr>
    </w:p>
    <w:p>
      <w:pPr>
        <w:ind w:right="220"/>
        <w:spacing w:after="0" w:line="307" w:lineRule="auto"/>
        <w:rPr>
          <w:sz w:val="20"/>
          <w:szCs w:val="20"/>
          <w:color w:val="auto"/>
        </w:rPr>
      </w:pPr>
      <w:r>
        <w:rPr>
          <w:rFonts w:ascii="Arial" w:cs="Arial" w:eastAsia="Arial" w:hAnsi="Arial"/>
          <w:sz w:val="22"/>
          <w:szCs w:val="22"/>
          <w:color w:val="auto"/>
        </w:rPr>
        <w:t>As between each Guarantor and the Bank (but without affecting the obligations of any other Transaction Party) each Guarantor is liable under this document in relation to the Guaranteed Money as a sole and principal debtor and not as surety.</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Indemnity</w:t>
      </w:r>
    </w:p>
    <w:p>
      <w:pPr>
        <w:spacing w:after="0" w:line="88" w:lineRule="exact"/>
        <w:rPr>
          <w:sz w:val="20"/>
          <w:szCs w:val="20"/>
          <w:color w:val="auto"/>
        </w:rPr>
      </w:pPr>
    </w:p>
    <w:p>
      <w:pPr>
        <w:ind w:right="200"/>
        <w:spacing w:after="0" w:line="366" w:lineRule="auto"/>
        <w:rPr>
          <w:sz w:val="20"/>
          <w:szCs w:val="20"/>
          <w:color w:val="auto"/>
        </w:rPr>
      </w:pPr>
      <w:r>
        <w:rPr>
          <w:rFonts w:ascii="Arial" w:cs="Arial" w:eastAsia="Arial" w:hAnsi="Arial"/>
          <w:sz w:val="19"/>
          <w:szCs w:val="19"/>
          <w:color w:val="auto"/>
        </w:rPr>
        <w:t>Each Guarantor indemnifies the Bank against any liability or loss arising and any costs it suffers or incurs: if a Transaction Party does not, is not obliged to or is unable to pay the Guaranteed Money in accordance with the Transaction Documents; if a Guarantor is not obliged to pay the Bank an amount under clause 16; if the Bank is obliged, or agrees, to pay an amount to a trustee in bankruptcy or liquidator (of an insolvent person) in connection with a payment by a Transaction Party under or in connection with a Transaction Document; if a Guarantor defaults under the Guarantee in clause 16.1; or in connection with any person exercising, or not exercising, rights under the Guarantee in clause 16.1. Each Guarantor agrees to pay amounts due under this indemnity immediately on demand from the Bank.</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Reinstatement of rights</w:t>
      </w:r>
    </w:p>
    <w:p>
      <w:pPr>
        <w:spacing w:after="0" w:line="88" w:lineRule="exact"/>
        <w:rPr>
          <w:sz w:val="20"/>
          <w:szCs w:val="20"/>
          <w:color w:val="auto"/>
        </w:rPr>
      </w:pPr>
    </w:p>
    <w:p>
      <w:pPr>
        <w:jc w:val="both"/>
        <w:ind w:right="380"/>
        <w:spacing w:after="0" w:line="307" w:lineRule="auto"/>
        <w:rPr>
          <w:sz w:val="20"/>
          <w:szCs w:val="20"/>
          <w:color w:val="auto"/>
        </w:rPr>
      </w:pPr>
      <w:r>
        <w:rPr>
          <w:rFonts w:ascii="Arial" w:cs="Arial" w:eastAsia="Arial" w:hAnsi="Arial"/>
          <w:sz w:val="22"/>
          <w:szCs w:val="22"/>
          <w:color w:val="auto"/>
        </w:rPr>
        <w:t>Following an Insolvency Event in respect of a Transaction Party, a person may claim that a transaction (including a payment) in connection with this Guarantee or the Guaranteed Money is void or voidable. If a claim is made and upheld, conceded or comprised:</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98</w:t>
      </w:r>
    </w:p>
    <w:p>
      <w:pPr>
        <w:sectPr>
          <w:pgSz w:w="11900" w:h="16838" w:orient="portrait"/>
          <w:cols w:equalWidth="0" w:num="1">
            <w:col w:w="9400"/>
          </w:cols>
          <w:pgMar w:left="1260" w:top="1177" w:right="1246" w:bottom="0" w:gutter="0" w:footer="0" w:header="0"/>
          <w:type w:val="continuous"/>
        </w:sectPr>
      </w:pPr>
    </w:p>
    <w:bookmarkStart w:id="233" w:name="page234"/>
    <w:bookmarkEnd w:id="233"/>
    <w:p>
      <w:pPr>
        <w:spacing w:after="0" w:line="67" w:lineRule="exact"/>
        <w:rPr>
          <w:sz w:val="20"/>
          <w:szCs w:val="20"/>
          <w:color w:val="auto"/>
        </w:rPr>
      </w:pPr>
    </w:p>
    <w:p>
      <w:pPr>
        <w:ind w:right="320"/>
        <w:spacing w:after="0" w:line="344" w:lineRule="auto"/>
        <w:rPr>
          <w:sz w:val="20"/>
          <w:szCs w:val="20"/>
          <w:color w:val="auto"/>
        </w:rPr>
      </w:pPr>
      <w:r>
        <w:rPr>
          <w:rFonts w:ascii="Arial" w:cs="Arial" w:eastAsia="Arial" w:hAnsi="Arial"/>
          <w:sz w:val="20"/>
          <w:szCs w:val="20"/>
          <w:color w:val="auto"/>
        </w:rPr>
        <w:t>the Bank is immediately entitled as against the Guarantors to the rights in respect of the Guaranteed Money to which it was entitled immediately before the transaction; and on request from the Bank, each Guarantor agrees to do anything (including signing any document) to restore to the Bank any Security Interest (including this Guarantee) held by it from the Guarantors immediately before the transaction.</w:t>
      </w:r>
    </w:p>
    <w:p>
      <w:pPr>
        <w:spacing w:after="0" w:line="230" w:lineRule="auto"/>
        <w:rPr>
          <w:sz w:val="20"/>
          <w:szCs w:val="20"/>
          <w:color w:val="auto"/>
        </w:rPr>
      </w:pPr>
      <w:r>
        <w:rPr>
          <w:rFonts w:ascii="Arial" w:cs="Arial" w:eastAsia="Arial" w:hAnsi="Arial"/>
          <w:sz w:val="22"/>
          <w:szCs w:val="22"/>
          <w:b w:val="1"/>
          <w:bCs w:val="1"/>
          <w:color w:val="auto"/>
        </w:rPr>
        <w:t>Rights of the Bank are protected</w:t>
      </w:r>
    </w:p>
    <w:p>
      <w:pPr>
        <w:spacing w:after="0" w:line="89" w:lineRule="exact"/>
        <w:rPr>
          <w:sz w:val="20"/>
          <w:szCs w:val="20"/>
          <w:color w:val="auto"/>
        </w:rPr>
      </w:pPr>
    </w:p>
    <w:p>
      <w:pPr>
        <w:ind w:right="160"/>
        <w:spacing w:after="0" w:line="344" w:lineRule="auto"/>
        <w:rPr>
          <w:sz w:val="20"/>
          <w:szCs w:val="20"/>
          <w:color w:val="auto"/>
        </w:rPr>
      </w:pPr>
      <w:r>
        <w:rPr>
          <w:rFonts w:ascii="Arial" w:cs="Arial" w:eastAsia="Arial" w:hAnsi="Arial"/>
          <w:sz w:val="20"/>
          <w:szCs w:val="20"/>
          <w:color w:val="auto"/>
        </w:rPr>
        <w:t>Rights given to the Bank under this Guarantee (and each Guarantor’s liabilities under it) are not affected by any act or omission by the Bank or by anything else that might otherwise affect them under law or otherwise, including: the fact that it varies or novates any agreement under which the Guaranteed Money is expressed to be owing, such as by increasing the Facility Limit or extending the term;</w:t>
      </w:r>
    </w:p>
    <w:p>
      <w:pPr>
        <w:spacing w:after="0" w:line="1" w:lineRule="exact"/>
        <w:rPr>
          <w:sz w:val="20"/>
          <w:szCs w:val="20"/>
          <w:color w:val="auto"/>
        </w:rPr>
      </w:pPr>
    </w:p>
    <w:p>
      <w:pPr>
        <w:ind w:right="1000"/>
        <w:spacing w:after="0" w:line="302" w:lineRule="auto"/>
        <w:rPr>
          <w:sz w:val="20"/>
          <w:szCs w:val="20"/>
          <w:color w:val="auto"/>
        </w:rPr>
      </w:pPr>
      <w:r>
        <w:rPr>
          <w:rFonts w:ascii="Arial" w:cs="Arial" w:eastAsia="Arial" w:hAnsi="Arial"/>
          <w:sz w:val="22"/>
          <w:szCs w:val="22"/>
          <w:color w:val="auto"/>
        </w:rPr>
        <w:t>the fact that it releases any Transaction Party or gives it a concession, such as more time to pay; the fact that a Transaction Party opens an account with it;</w:t>
      </w:r>
    </w:p>
    <w:p>
      <w:pPr>
        <w:spacing w:after="0" w:line="23" w:lineRule="exact"/>
        <w:rPr>
          <w:sz w:val="20"/>
          <w:szCs w:val="20"/>
          <w:color w:val="auto"/>
        </w:rPr>
      </w:pPr>
    </w:p>
    <w:p>
      <w:pPr>
        <w:ind w:right="2080"/>
        <w:spacing w:after="0" w:line="362" w:lineRule="auto"/>
        <w:rPr>
          <w:sz w:val="20"/>
          <w:szCs w:val="20"/>
          <w:color w:val="auto"/>
        </w:rPr>
      </w:pPr>
      <w:r>
        <w:rPr>
          <w:rFonts w:ascii="Arial" w:cs="Arial" w:eastAsia="Arial" w:hAnsi="Arial"/>
          <w:sz w:val="19"/>
          <w:szCs w:val="19"/>
          <w:color w:val="auto"/>
        </w:rPr>
        <w:t>the fact that it releases, loses the benefit of or does not obtain any Security Interest; the fact that it does not register any Security Interest which could be registered;</w:t>
      </w:r>
    </w:p>
    <w:p>
      <w:pPr>
        <w:spacing w:after="0" w:line="1" w:lineRule="exact"/>
        <w:rPr>
          <w:sz w:val="20"/>
          <w:szCs w:val="20"/>
          <w:color w:val="auto"/>
        </w:rPr>
      </w:pPr>
    </w:p>
    <w:p>
      <w:pPr>
        <w:ind w:right="80"/>
        <w:spacing w:after="0" w:line="307" w:lineRule="auto"/>
        <w:rPr>
          <w:sz w:val="20"/>
          <w:szCs w:val="20"/>
          <w:color w:val="auto"/>
        </w:rPr>
      </w:pPr>
      <w:r>
        <w:rPr>
          <w:rFonts w:ascii="Arial" w:cs="Arial" w:eastAsia="Arial" w:hAnsi="Arial"/>
          <w:sz w:val="22"/>
          <w:szCs w:val="22"/>
          <w:color w:val="auto"/>
        </w:rPr>
        <w:t>the fact that it releases any person who gives a guarantee or indemnity in connection with any Transaction Party’s obligations (including under clause 16.13); the fact that a person becomes a Guarantor after the date of this document (including under clause 16.14);</w:t>
      </w:r>
    </w:p>
    <w:p>
      <w:pPr>
        <w:spacing w:after="0" w:line="19" w:lineRule="exact"/>
        <w:rPr>
          <w:sz w:val="20"/>
          <w:szCs w:val="20"/>
          <w:color w:val="auto"/>
        </w:rPr>
      </w:pPr>
    </w:p>
    <w:p>
      <w:pPr>
        <w:ind w:right="40"/>
        <w:spacing w:after="0" w:line="302" w:lineRule="auto"/>
        <w:rPr>
          <w:sz w:val="20"/>
          <w:szCs w:val="20"/>
          <w:color w:val="auto"/>
        </w:rPr>
      </w:pPr>
      <w:r>
        <w:rPr>
          <w:rFonts w:ascii="Arial" w:cs="Arial" w:eastAsia="Arial" w:hAnsi="Arial"/>
          <w:sz w:val="22"/>
          <w:szCs w:val="22"/>
          <w:color w:val="auto"/>
        </w:rPr>
        <w:t>the fact the obligations of any person who guarantees any Transaction Party’s obligations (including under this Guarantee) may not be enforceable;</w:t>
      </w:r>
    </w:p>
    <w:p>
      <w:pPr>
        <w:spacing w:after="0" w:line="353" w:lineRule="exact"/>
        <w:rPr>
          <w:sz w:val="20"/>
          <w:szCs w:val="20"/>
          <w:color w:val="auto"/>
        </w:rPr>
      </w:pPr>
    </w:p>
    <w:p>
      <w:pPr>
        <w:ind w:right="60"/>
        <w:spacing w:after="0" w:line="309" w:lineRule="auto"/>
        <w:rPr>
          <w:sz w:val="20"/>
          <w:szCs w:val="20"/>
          <w:color w:val="auto"/>
        </w:rPr>
      </w:pPr>
      <w:r>
        <w:rPr>
          <w:rFonts w:ascii="Arial" w:cs="Arial" w:eastAsia="Arial" w:hAnsi="Arial"/>
          <w:sz w:val="22"/>
          <w:szCs w:val="22"/>
          <w:color w:val="auto"/>
        </w:rPr>
        <w:t>the fact that any person who was intended to guarantee any Transaction Party’s obligations does not do so or does not do so effectively; changes in the membership, name or business of any person; or the fact that a person who is a co-surety or co-indemnifier for payment of the Guaranteed Money is discharged under an agreement or by operation of law.</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merger</w:t>
      </w:r>
    </w:p>
    <w:p>
      <w:pPr>
        <w:spacing w:after="0" w:line="88" w:lineRule="exact"/>
        <w:rPr>
          <w:sz w:val="20"/>
          <w:szCs w:val="20"/>
          <w:color w:val="auto"/>
        </w:rPr>
      </w:pPr>
    </w:p>
    <w:p>
      <w:pPr>
        <w:ind w:right="20"/>
        <w:spacing w:after="0" w:line="309" w:lineRule="auto"/>
        <w:rPr>
          <w:sz w:val="20"/>
          <w:szCs w:val="20"/>
          <w:color w:val="auto"/>
        </w:rPr>
      </w:pPr>
      <w:r>
        <w:rPr>
          <w:rFonts w:ascii="Arial" w:cs="Arial" w:eastAsia="Arial" w:hAnsi="Arial"/>
          <w:sz w:val="22"/>
          <w:szCs w:val="22"/>
          <w:color w:val="auto"/>
        </w:rPr>
        <w:t>This Guarantee does not merge with or adversely affect, and is not adversely affected by, any of the following: any other guarantee, indemnity, or Security Interest, or other right or remedy to which the Bank is entitled; or a judgment which the Bank obtains against the Guarantors in connection with the Guaranteed Money or any other amount payable under this Guarantee.</w:t>
      </w:r>
    </w:p>
    <w:p>
      <w:pPr>
        <w:spacing w:after="0" w:line="347" w:lineRule="exact"/>
        <w:rPr>
          <w:sz w:val="20"/>
          <w:szCs w:val="20"/>
          <w:color w:val="auto"/>
        </w:rPr>
      </w:pPr>
    </w:p>
    <w:p>
      <w:pPr>
        <w:ind w:right="300"/>
        <w:spacing w:after="0" w:line="302" w:lineRule="auto"/>
        <w:rPr>
          <w:sz w:val="20"/>
          <w:szCs w:val="20"/>
          <w:color w:val="auto"/>
        </w:rPr>
      </w:pPr>
      <w:r>
        <w:rPr>
          <w:rFonts w:ascii="Arial" w:cs="Arial" w:eastAsia="Arial" w:hAnsi="Arial"/>
          <w:sz w:val="22"/>
          <w:szCs w:val="22"/>
          <w:color w:val="auto"/>
        </w:rPr>
        <w:t>The Bank may still exercise rights under this Guarantee as well as under the judgment, other guarantee, indemnity, Security Interest, or other right or remedy.</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Extent of Guarantor’s obligations</w:t>
      </w:r>
    </w:p>
    <w:p>
      <w:pPr>
        <w:spacing w:after="0" w:line="88" w:lineRule="exact"/>
        <w:rPr>
          <w:sz w:val="20"/>
          <w:szCs w:val="20"/>
          <w:color w:val="auto"/>
        </w:rPr>
      </w:pPr>
    </w:p>
    <w:p>
      <w:pPr>
        <w:spacing w:after="0" w:line="344" w:lineRule="auto"/>
        <w:rPr>
          <w:sz w:val="20"/>
          <w:szCs w:val="20"/>
          <w:color w:val="auto"/>
        </w:rPr>
      </w:pPr>
      <w:r>
        <w:rPr>
          <w:rFonts w:ascii="Arial" w:cs="Arial" w:eastAsia="Arial" w:hAnsi="Arial"/>
          <w:sz w:val="20"/>
          <w:szCs w:val="20"/>
          <w:color w:val="auto"/>
        </w:rPr>
        <w:t>If more than one person is named as “Guarantor”, each of them is liable for all the obligations under this Guarantee both individually and jointly with any one or more other persons named as “Guarantor”.</w:t>
      </w:r>
    </w:p>
    <w:p>
      <w:pPr>
        <w:spacing w:after="0" w:line="230" w:lineRule="auto"/>
        <w:rPr>
          <w:sz w:val="20"/>
          <w:szCs w:val="20"/>
          <w:color w:val="auto"/>
        </w:rPr>
      </w:pPr>
      <w:r>
        <w:rPr>
          <w:rFonts w:ascii="Arial" w:cs="Arial" w:eastAsia="Arial" w:hAnsi="Arial"/>
          <w:sz w:val="22"/>
          <w:szCs w:val="22"/>
          <w:b w:val="1"/>
          <w:bCs w:val="1"/>
          <w:color w:val="auto"/>
        </w:rPr>
        <w:t>Guarantor’s rights are suspended</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As long as any of the Guaranteed Money remains unpaid, the Guarantor may not, without the Bank’s consent:</w:t>
      </w:r>
    </w:p>
    <w:p>
      <w:pPr>
        <w:spacing w:after="0" w:line="23" w:lineRule="exact"/>
        <w:rPr>
          <w:sz w:val="20"/>
          <w:szCs w:val="20"/>
          <w:color w:val="auto"/>
        </w:rPr>
      </w:pPr>
    </w:p>
    <w:p>
      <w:pPr>
        <w:ind w:right="320"/>
        <w:spacing w:after="0" w:line="348" w:lineRule="auto"/>
        <w:rPr>
          <w:sz w:val="20"/>
          <w:szCs w:val="20"/>
          <w:color w:val="auto"/>
        </w:rPr>
      </w:pPr>
      <w:r>
        <w:rPr>
          <w:rFonts w:ascii="Arial" w:cs="Arial" w:eastAsia="Arial" w:hAnsi="Arial"/>
          <w:sz w:val="20"/>
          <w:szCs w:val="20"/>
          <w:color w:val="auto"/>
        </w:rPr>
        <w:t>reduce its liability under this Guarantee by claiming that it or any other Transaction Party or any other person has a right of set-off or counterclaim against the Bank; exercise any legal right to claim to be entitled to the benefit of another guarantee, indemnity, or Security Interest given in connection with the Guaranteed Money or any other amount payable under this Guarantee; claim an amount from another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98</w:t>
      </w:r>
    </w:p>
    <w:p>
      <w:pPr>
        <w:sectPr>
          <w:pgSz w:w="11900" w:h="16838" w:orient="portrait"/>
          <w:cols w:equalWidth="0" w:num="1">
            <w:col w:w="9400"/>
          </w:cols>
          <w:pgMar w:left="1260" w:top="1440" w:right="1246" w:bottom="0" w:gutter="0" w:footer="0" w:header="0"/>
          <w:type w:val="continuous"/>
        </w:sectPr>
      </w:pPr>
    </w:p>
    <w:bookmarkStart w:id="234" w:name="page235"/>
    <w:bookmarkEnd w:id="234"/>
    <w:p>
      <w:pPr>
        <w:ind w:right="40"/>
        <w:spacing w:after="0" w:line="309" w:lineRule="auto"/>
        <w:rPr>
          <w:sz w:val="20"/>
          <w:szCs w:val="20"/>
          <w:color w:val="auto"/>
        </w:rPr>
      </w:pPr>
      <w:r>
        <w:rPr>
          <w:rFonts w:ascii="Arial" w:cs="Arial" w:eastAsia="Arial" w:hAnsi="Arial"/>
          <w:sz w:val="22"/>
          <w:szCs w:val="22"/>
          <w:color w:val="auto"/>
        </w:rPr>
        <w:t>Transaction Party, or another guarantor of the Guaranteed Money (including a person who has signed this document as a “Guarantor”), under a right of indemnity in respect of this guarantee; or claim an amount in the insolvency of a Transaction Party or of another guarantor of the Guaranteed Money (including a person who has signed this document as a “Guarantor”).</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Guarantor’s right of proof limited</w:t>
      </w:r>
    </w:p>
    <w:p>
      <w:pPr>
        <w:spacing w:after="0" w:line="88" w:lineRule="exact"/>
        <w:rPr>
          <w:sz w:val="20"/>
          <w:szCs w:val="20"/>
          <w:color w:val="auto"/>
        </w:rPr>
      </w:pPr>
    </w:p>
    <w:p>
      <w:pPr>
        <w:jc w:val="both"/>
        <w:spacing w:after="0" w:line="344" w:lineRule="auto"/>
        <w:rPr>
          <w:sz w:val="20"/>
          <w:szCs w:val="20"/>
          <w:color w:val="auto"/>
        </w:rPr>
      </w:pPr>
      <w:r>
        <w:rPr>
          <w:rFonts w:ascii="Arial" w:cs="Arial" w:eastAsia="Arial" w:hAnsi="Arial"/>
          <w:sz w:val="20"/>
          <w:szCs w:val="20"/>
          <w:color w:val="auto"/>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Arial" w:cs="Arial" w:eastAsia="Arial" w:hAnsi="Arial"/>
          <w:sz w:val="20"/>
          <w:szCs w:val="20"/>
          <w:b w:val="1"/>
          <w:bCs w:val="1"/>
          <w:color w:val="auto"/>
        </w:rPr>
        <w:t>clause 16.12</w:t>
      </w:r>
      <w:r>
        <w:rPr>
          <w:rFonts w:ascii="Arial" w:cs="Arial" w:eastAsia="Arial" w:hAnsi="Arial"/>
          <w:sz w:val="20"/>
          <w:szCs w:val="20"/>
          <w:color w:val="auto"/>
        </w:rPr>
        <w:t>.</w:t>
      </w:r>
    </w:p>
    <w:p>
      <w:pPr>
        <w:spacing w:after="0" w:line="230" w:lineRule="auto"/>
        <w:rPr>
          <w:sz w:val="20"/>
          <w:szCs w:val="20"/>
          <w:color w:val="auto"/>
        </w:rPr>
      </w:pPr>
      <w:r>
        <w:rPr>
          <w:rFonts w:ascii="Arial" w:cs="Arial" w:eastAsia="Arial" w:hAnsi="Arial"/>
          <w:sz w:val="22"/>
          <w:szCs w:val="22"/>
          <w:b w:val="1"/>
          <w:bCs w:val="1"/>
          <w:color w:val="auto"/>
        </w:rPr>
        <w:t>No set-off against assignees</w:t>
      </w:r>
    </w:p>
    <w:p>
      <w:pPr>
        <w:spacing w:after="0" w:line="89"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If the Bank assigns or otherwise deals with its rights under this Guarantee, the Guarantors may not claim against any assignee (or any other person who has an interest in this Guarantee) any right of set-off or other right the Guarantors have against the Bank.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Suspense account</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prove</w:t>
      </w:r>
    </w:p>
    <w:p>
      <w:pPr>
        <w:spacing w:after="0" w:line="88" w:lineRule="exact"/>
        <w:rPr>
          <w:sz w:val="20"/>
          <w:szCs w:val="20"/>
          <w:color w:val="auto"/>
        </w:rPr>
      </w:pPr>
    </w:p>
    <w:p>
      <w:pPr>
        <w:ind w:right="260"/>
        <w:spacing w:after="0" w:line="344" w:lineRule="auto"/>
        <w:rPr>
          <w:sz w:val="20"/>
          <w:szCs w:val="20"/>
          <w:color w:val="auto"/>
        </w:rPr>
      </w:pPr>
      <w:r>
        <w:rPr>
          <w:rFonts w:ascii="Arial" w:cs="Arial" w:eastAsia="Arial" w:hAnsi="Arial"/>
          <w:sz w:val="20"/>
          <w:szCs w:val="20"/>
          <w:color w:val="auto"/>
        </w:rPr>
        <w:t>The Guarantor irrevocably appoints the Bank and each of its Authorised Representatives individually as its attorney and agrees to formally approve all action taken by an attorney under this clause 16.</w:t>
      </w:r>
    </w:p>
    <w:p>
      <w:pPr>
        <w:spacing w:after="0" w:line="1" w:lineRule="exact"/>
        <w:rPr>
          <w:sz w:val="20"/>
          <w:szCs w:val="20"/>
          <w:color w:val="auto"/>
        </w:rPr>
      </w:pPr>
    </w:p>
    <w:p>
      <w:pPr>
        <w:ind w:right="700"/>
        <w:spacing w:after="0" w:line="344" w:lineRule="auto"/>
        <w:rPr>
          <w:sz w:val="20"/>
          <w:szCs w:val="20"/>
          <w:color w:val="auto"/>
        </w:rPr>
      </w:pPr>
      <w:r>
        <w:rPr>
          <w:rFonts w:ascii="Arial" w:cs="Arial" w:eastAsia="Arial" w:hAnsi="Arial"/>
          <w:sz w:val="20"/>
          <w:szCs w:val="20"/>
          <w:color w:val="auto"/>
        </w:rPr>
        <w:t>Each attorney may, at any time while any Guaranteed Money is outstanding: do anything which a Guarantor may lawfully do to exercise their right of proof in respect of a Transaction Party after an Insolvency Event occurs in respect of such Transaction Party. These things may be done in</w:t>
      </w:r>
    </w:p>
    <w:p>
      <w:pPr>
        <w:spacing w:after="0" w:line="1" w:lineRule="exact"/>
        <w:rPr>
          <w:sz w:val="20"/>
          <w:szCs w:val="20"/>
          <w:color w:val="auto"/>
        </w:rPr>
      </w:pPr>
    </w:p>
    <w:p>
      <w:pPr>
        <w:ind w:right="20"/>
        <w:spacing w:after="0" w:line="328" w:lineRule="auto"/>
        <w:rPr>
          <w:sz w:val="20"/>
          <w:szCs w:val="20"/>
          <w:color w:val="auto"/>
        </w:rPr>
      </w:pPr>
      <w:r>
        <w:rPr>
          <w:rFonts w:ascii="Arial" w:cs="Arial" w:eastAsia="Arial" w:hAnsi="Arial"/>
          <w:sz w:val="21"/>
          <w:szCs w:val="21"/>
          <w:color w:val="auto"/>
        </w:rPr>
        <w:t>the Guarantor’s name or the attorney’s name and they include signing and delivering documents, taking part in legal proceedings and receiving any dividends arising out of the right of proof; delegates its powers (including this power) and may revoke a delegation; and exercise its powers even if this involves a conflict of duty and even if it has a personal interest in doing so.</w:t>
      </w:r>
    </w:p>
    <w:p>
      <w:pPr>
        <w:spacing w:after="0" w:line="330" w:lineRule="exact"/>
        <w:rPr>
          <w:sz w:val="20"/>
          <w:szCs w:val="20"/>
          <w:color w:val="auto"/>
        </w:rPr>
      </w:pPr>
    </w:p>
    <w:p>
      <w:pPr>
        <w:ind w:right="160"/>
        <w:spacing w:after="0" w:line="328" w:lineRule="auto"/>
        <w:rPr>
          <w:sz w:val="20"/>
          <w:szCs w:val="20"/>
          <w:color w:val="auto"/>
        </w:rPr>
      </w:pPr>
      <w:r>
        <w:rPr>
          <w:rFonts w:ascii="Arial" w:cs="Arial" w:eastAsia="Arial" w:hAnsi="Arial"/>
          <w:sz w:val="21"/>
          <w:szCs w:val="21"/>
          <w:color w:val="auto"/>
        </w:rPr>
        <w:t>The attorney need not account to a Guarantor for any dividend received on exercising the right of proof under clause 16.12(i) except to the extent that any dividend remains after the Bank has received all of the Guaranteed Money and all other amounts payable under the Guarantee.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Release of Guarantors</w:t>
      </w:r>
    </w:p>
    <w:p>
      <w:pPr>
        <w:spacing w:after="0" w:line="88" w:lineRule="exact"/>
        <w:rPr>
          <w:sz w:val="20"/>
          <w:szCs w:val="20"/>
          <w:color w:val="auto"/>
        </w:rPr>
      </w:pPr>
    </w:p>
    <w:p>
      <w:pPr>
        <w:ind w:right="140"/>
        <w:spacing w:after="0" w:line="302" w:lineRule="auto"/>
        <w:rPr>
          <w:sz w:val="20"/>
          <w:szCs w:val="20"/>
          <w:color w:val="auto"/>
        </w:rPr>
      </w:pPr>
      <w:r>
        <w:rPr>
          <w:rFonts w:ascii="Arial" w:cs="Arial" w:eastAsia="Arial" w:hAnsi="Arial"/>
          <w:sz w:val="22"/>
          <w:szCs w:val="22"/>
          <w:color w:val="auto"/>
        </w:rPr>
        <w:t>The Bank must, at the Borrower’s cost, execute any release documentation in respect of the Bank’s rights under clause 16.</w:t>
      </w:r>
    </w:p>
    <w:p>
      <w:pPr>
        <w:spacing w:after="0" w:line="353" w:lineRule="exact"/>
        <w:rPr>
          <w:sz w:val="20"/>
          <w:szCs w:val="20"/>
          <w:color w:val="auto"/>
        </w:rPr>
      </w:pPr>
    </w:p>
    <w:p>
      <w:pPr>
        <w:ind w:right="340"/>
        <w:spacing w:after="0" w:line="302" w:lineRule="auto"/>
        <w:rPr>
          <w:sz w:val="20"/>
          <w:szCs w:val="20"/>
          <w:color w:val="auto"/>
        </w:rPr>
      </w:pPr>
      <w:r>
        <w:rPr>
          <w:rFonts w:ascii="Arial" w:cs="Arial" w:eastAsia="Arial" w:hAnsi="Arial"/>
          <w:sz w:val="22"/>
          <w:szCs w:val="22"/>
          <w:color w:val="auto"/>
        </w:rPr>
        <w:t>As between the Transaction Parties and the Bank, the Bank is not obliged to consent to a release unless required to do by the terms of another Transaction Document.</w:t>
      </w:r>
    </w:p>
    <w:p>
      <w:pPr>
        <w:spacing w:after="0" w:line="353"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The rights and obligations of the remaining Guarantors under the Guarantee in clause 16.1 will continue in full force and effect despite the release of a Guarantor under this clause 16.13.</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Guarantors</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98</w:t>
      </w:r>
    </w:p>
    <w:p>
      <w:pPr>
        <w:sectPr>
          <w:pgSz w:w="11900" w:h="16838" w:orient="portrait"/>
          <w:cols w:equalWidth="0" w:num="1">
            <w:col w:w="9400"/>
          </w:cols>
          <w:pgMar w:left="1260" w:top="1177" w:right="1246" w:bottom="0" w:gutter="0" w:footer="0" w:header="0"/>
          <w:type w:val="continuous"/>
        </w:sectPr>
      </w:pPr>
    </w:p>
    <w:bookmarkStart w:id="235" w:name="page236"/>
    <w:bookmarkEnd w:id="235"/>
    <w:p>
      <w:pPr>
        <w:jc w:val="both"/>
        <w:spacing w:after="0" w:line="307" w:lineRule="auto"/>
        <w:rPr>
          <w:sz w:val="20"/>
          <w:szCs w:val="20"/>
          <w:color w:val="auto"/>
        </w:rPr>
      </w:pPr>
      <w:r>
        <w:rPr>
          <w:rFonts w:ascii="Arial" w:cs="Arial" w:eastAsia="Arial" w:hAnsi="Arial"/>
          <w:sz w:val="22"/>
          <w:szCs w:val="22"/>
          <w:color w:val="auto"/>
        </w:rPr>
        <w:t>If a Subsidiary of any Transaction Party is required by the terms of a Transaction Document to become a Guarantor, the Borrower must ensure that such subsidiary executes a Guarantor Accession Deed as a new Transaction Party.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Consideration</w:t>
      </w:r>
    </w:p>
    <w:p>
      <w:pPr>
        <w:spacing w:after="0" w:line="88" w:lineRule="exact"/>
        <w:rPr>
          <w:sz w:val="20"/>
          <w:szCs w:val="20"/>
          <w:color w:val="auto"/>
        </w:rPr>
      </w:pPr>
    </w:p>
    <w:p>
      <w:pPr>
        <w:jc w:val="both"/>
        <w:spacing w:after="0" w:line="327" w:lineRule="auto"/>
        <w:rPr>
          <w:sz w:val="20"/>
          <w:szCs w:val="20"/>
          <w:color w:val="auto"/>
        </w:rPr>
      </w:pPr>
      <w:r>
        <w:rPr>
          <w:rFonts w:ascii="Arial" w:cs="Arial" w:eastAsia="Arial" w:hAnsi="Arial"/>
          <w:sz w:val="21"/>
          <w:szCs w:val="21"/>
          <w:color w:val="auto"/>
        </w:rPr>
        <w:t>Each Guarantor acknowledges having executed this document in return for the Bank entering into the Transaction Documents at the request of the Guarantor and other valuable consideration.</w:t>
      </w:r>
    </w:p>
    <w:p>
      <w:pPr>
        <w:spacing w:after="0" w:line="231" w:lineRule="auto"/>
        <w:rPr>
          <w:sz w:val="20"/>
          <w:szCs w:val="20"/>
          <w:color w:val="auto"/>
        </w:rPr>
      </w:pPr>
      <w:r>
        <w:rPr>
          <w:rFonts w:ascii="Arial" w:cs="Arial" w:eastAsia="Arial" w:hAnsi="Arial"/>
          <w:sz w:val="22"/>
          <w:szCs w:val="22"/>
          <w:b w:val="1"/>
          <w:bCs w:val="1"/>
          <w:color w:val="auto"/>
        </w:rPr>
        <w:t>New Guarantors</w:t>
      </w:r>
    </w:p>
    <w:p>
      <w:pPr>
        <w:spacing w:after="0" w:line="88" w:lineRule="exact"/>
        <w:rPr>
          <w:sz w:val="20"/>
          <w:szCs w:val="20"/>
          <w:color w:val="auto"/>
        </w:rPr>
      </w:pPr>
    </w:p>
    <w:p>
      <w:pPr>
        <w:ind w:right="120"/>
        <w:spacing w:after="0" w:line="309" w:lineRule="auto"/>
        <w:rPr>
          <w:sz w:val="20"/>
          <w:szCs w:val="20"/>
          <w:color w:val="auto"/>
        </w:rPr>
      </w:pPr>
      <w:r>
        <w:rPr>
          <w:rFonts w:ascii="Arial" w:cs="Arial" w:eastAsia="Arial" w:hAnsi="Arial"/>
          <w:sz w:val="22"/>
          <w:szCs w:val="22"/>
          <w:color w:val="auto"/>
        </w:rPr>
        <w:t>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w:t>
      </w:r>
    </w:p>
    <w:p>
      <w:pPr>
        <w:spacing w:after="0" w:line="347" w:lineRule="exact"/>
        <w:rPr>
          <w:sz w:val="20"/>
          <w:szCs w:val="20"/>
          <w:color w:val="auto"/>
        </w:rPr>
      </w:pPr>
    </w:p>
    <w:p>
      <w:pPr>
        <w:ind w:right="280"/>
        <w:spacing w:after="0" w:line="302" w:lineRule="auto"/>
        <w:rPr>
          <w:sz w:val="20"/>
          <w:szCs w:val="20"/>
          <w:color w:val="auto"/>
        </w:rPr>
      </w:pPr>
      <w:r>
        <w:rPr>
          <w:rFonts w:ascii="Arial" w:cs="Arial" w:eastAsia="Arial" w:hAnsi="Arial"/>
          <w:sz w:val="22"/>
          <w:szCs w:val="22"/>
          <w:color w:val="auto"/>
        </w:rPr>
        <w:t>Each of the other parties to his document irrevocably appoints the Bank as its agent to sign on its behalf any Guarantor Accession Deed.</w:t>
      </w:r>
    </w:p>
    <w:p>
      <w:pPr>
        <w:spacing w:after="0" w:line="353"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color w:val="auto"/>
        </w:rPr>
        <w:t>The execution of a Guarantor Accession Deed will not operate to release any party from its obligations under any Transaction Document.</w:t>
      </w:r>
    </w:p>
    <w:p>
      <w:pPr>
        <w:spacing w:after="0" w:line="1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Attorney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w:t>
      </w:r>
    </w:p>
    <w:p>
      <w:pPr>
        <w:spacing w:after="0" w:line="88" w:lineRule="exact"/>
        <w:rPr>
          <w:sz w:val="20"/>
          <w:szCs w:val="20"/>
          <w:color w:val="auto"/>
        </w:rPr>
      </w:pPr>
    </w:p>
    <w:p>
      <w:pPr>
        <w:spacing w:after="0" w:line="327" w:lineRule="auto"/>
        <w:rPr>
          <w:sz w:val="20"/>
          <w:szCs w:val="20"/>
          <w:color w:val="auto"/>
        </w:rPr>
      </w:pPr>
      <w:r>
        <w:rPr>
          <w:rFonts w:ascii="Arial" w:cs="Arial" w:eastAsia="Arial" w:hAnsi="Arial"/>
          <w:sz w:val="21"/>
          <w:szCs w:val="21"/>
          <w:color w:val="auto"/>
        </w:rPr>
        <w:t>If and for so long as an Event of Default occurred and is continuing, the Borrower irrevocably appoints the Bank its attorney with the power: at any time to: do everything which in the Attorney’s reasonable opinion is necessary or expedient to enable the exercise of any right of the Bank in relation to the Transaction Documents; not used; complete the Transaction Documents to which it is a party; and appoint its directors, officers, employees and solicitors as substitutes and otherwise delegate its powers to any of them (except this power of delegation); and at any time after a notice is given under clause 10.2(a) (ii)(A) or 10.2(a)(ii)(B), to do all acts and things which the Borrower is obliged to do under the Transaction Documents or which in the Attorney’s opinion are necessary or expedient to enable the exercise of any right of the Bank in relation to the Transaction Documents.</w:t>
      </w:r>
    </w:p>
    <w:p>
      <w:pPr>
        <w:spacing w:after="0" w:line="237" w:lineRule="auto"/>
        <w:rPr>
          <w:sz w:val="20"/>
          <w:szCs w:val="20"/>
          <w:color w:val="auto"/>
        </w:rPr>
      </w:pPr>
      <w:r>
        <w:rPr>
          <w:rFonts w:ascii="Arial" w:cs="Arial" w:eastAsia="Arial" w:hAnsi="Arial"/>
          <w:sz w:val="22"/>
          <w:szCs w:val="22"/>
          <w:b w:val="1"/>
          <w:bCs w:val="1"/>
          <w:color w:val="auto"/>
        </w:rPr>
        <w:t>Not used</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88" w:lineRule="exact"/>
        <w:rPr>
          <w:sz w:val="20"/>
          <w:szCs w:val="20"/>
          <w:color w:val="auto"/>
        </w:rPr>
      </w:pPr>
    </w:p>
    <w:p>
      <w:pPr>
        <w:ind w:right="340"/>
        <w:spacing w:after="0" w:line="302" w:lineRule="auto"/>
        <w:rPr>
          <w:sz w:val="20"/>
          <w:szCs w:val="20"/>
          <w:color w:val="auto"/>
        </w:rPr>
      </w:pPr>
      <w:r>
        <w:rPr>
          <w:rFonts w:ascii="Arial" w:cs="Arial" w:eastAsia="Arial" w:hAnsi="Arial"/>
          <w:sz w:val="22"/>
          <w:szCs w:val="22"/>
          <w:color w:val="auto"/>
        </w:rPr>
        <w:t>Any Attorney may exercise any right solely for the benefit of the Bank, even if the exercise of the right constitutes a conflict of interest or duty.</w:t>
      </w:r>
    </w:p>
    <w:p>
      <w:pPr>
        <w:spacing w:after="0" w:line="353" w:lineRule="exact"/>
        <w:rPr>
          <w:sz w:val="20"/>
          <w:szCs w:val="20"/>
          <w:color w:val="auto"/>
        </w:rPr>
      </w:pPr>
    </w:p>
    <w:p>
      <w:pPr>
        <w:ind w:right="180"/>
        <w:spacing w:after="0" w:line="302" w:lineRule="auto"/>
        <w:rPr>
          <w:sz w:val="20"/>
          <w:szCs w:val="20"/>
          <w:color w:val="auto"/>
        </w:rPr>
      </w:pPr>
      <w:r>
        <w:rPr>
          <w:rFonts w:ascii="Arial" w:cs="Arial" w:eastAsia="Arial" w:hAnsi="Arial"/>
          <w:sz w:val="22"/>
          <w:szCs w:val="22"/>
          <w:color w:val="auto"/>
        </w:rPr>
        <w:t>The Borrower by this document ratifies anything done or not done by the Attorney pursuant to the power of attorney.</w:t>
      </w:r>
    </w:p>
    <w:p>
      <w:pPr>
        <w:spacing w:after="0" w:line="353" w:lineRule="exact"/>
        <w:rPr>
          <w:sz w:val="20"/>
          <w:szCs w:val="20"/>
          <w:color w:val="auto"/>
        </w:rPr>
      </w:pPr>
    </w:p>
    <w:p>
      <w:pPr>
        <w:ind w:right="180"/>
        <w:spacing w:after="0" w:line="309" w:lineRule="auto"/>
        <w:rPr>
          <w:sz w:val="20"/>
          <w:szCs w:val="20"/>
          <w:color w:val="auto"/>
        </w:rPr>
      </w:pPr>
      <w:r>
        <w:rPr>
          <w:rFonts w:ascii="Arial" w:cs="Arial" w:eastAsia="Arial" w:hAnsi="Arial"/>
          <w:sz w:val="22"/>
          <w:szCs w:val="22"/>
          <w:color w:val="auto"/>
        </w:rPr>
        <w:t>The power of attorney is granted: to secure the compliance by the Borrower with its obligations to the Bank under the Transaction Documents and any proprietary interests of the Bank under the Transaction Documents; and for valuable consideration (receipt of which is acknowledged) which includes entry into of this document by the Bank at the Borrower’s request.</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General</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98</w:t>
      </w:r>
    </w:p>
    <w:p>
      <w:pPr>
        <w:sectPr>
          <w:pgSz w:w="11900" w:h="16838" w:orient="portrait"/>
          <w:cols w:equalWidth="0" w:num="1">
            <w:col w:w="9400"/>
          </w:cols>
          <w:pgMar w:left="1260" w:top="1177" w:right="1246" w:bottom="0" w:gutter="0" w:footer="0" w:header="0"/>
          <w:type w:val="continuous"/>
        </w:sectPr>
      </w:pPr>
    </w:p>
    <w:bookmarkStart w:id="236" w:name="page237"/>
    <w:bookmarkEnd w:id="236"/>
    <w:p>
      <w:pPr>
        <w:spacing w:after="0"/>
        <w:rPr>
          <w:sz w:val="20"/>
          <w:szCs w:val="20"/>
          <w:color w:val="auto"/>
        </w:rPr>
      </w:pPr>
      <w:r>
        <w:rPr>
          <w:rFonts w:ascii="Arial" w:cs="Arial" w:eastAsia="Arial" w:hAnsi="Arial"/>
          <w:sz w:val="22"/>
          <w:szCs w:val="22"/>
          <w:b w:val="1"/>
          <w:bCs w:val="1"/>
          <w:color w:val="auto"/>
        </w:rPr>
        <w:t>Set-off</w:t>
      </w:r>
    </w:p>
    <w:p>
      <w:pPr>
        <w:spacing w:after="0" w:line="88" w:lineRule="exact"/>
        <w:rPr>
          <w:sz w:val="20"/>
          <w:szCs w:val="20"/>
          <w:color w:val="auto"/>
        </w:rPr>
      </w:pPr>
    </w:p>
    <w:p>
      <w:pPr>
        <w:jc w:val="both"/>
        <w:spacing w:after="0" w:line="327" w:lineRule="auto"/>
        <w:rPr>
          <w:sz w:val="20"/>
          <w:szCs w:val="20"/>
          <w:color w:val="auto"/>
        </w:rPr>
      </w:pPr>
      <w:r>
        <w:rPr>
          <w:rFonts w:ascii="Arial" w:cs="Arial" w:eastAsia="Arial" w:hAnsi="Arial"/>
          <w:sz w:val="21"/>
          <w:szCs w:val="21"/>
          <w:color w:val="auto"/>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p>
    <w:p>
      <w:pPr>
        <w:spacing w:after="0" w:line="232" w:lineRule="auto"/>
        <w:rPr>
          <w:sz w:val="20"/>
          <w:szCs w:val="20"/>
          <w:color w:val="auto"/>
        </w:rPr>
      </w:pPr>
      <w:r>
        <w:rPr>
          <w:rFonts w:ascii="Arial" w:cs="Arial" w:eastAsia="Arial" w:hAnsi="Arial"/>
          <w:sz w:val="22"/>
          <w:szCs w:val="22"/>
          <w:b w:val="1"/>
          <w:bCs w:val="1"/>
          <w:color w:val="auto"/>
        </w:rPr>
        <w:t>Bank’s certificate</w:t>
      </w:r>
    </w:p>
    <w:p>
      <w:pPr>
        <w:spacing w:after="0" w:line="88" w:lineRule="exact"/>
        <w:rPr>
          <w:sz w:val="20"/>
          <w:szCs w:val="20"/>
          <w:color w:val="auto"/>
        </w:rPr>
      </w:pPr>
    </w:p>
    <w:p>
      <w:pPr>
        <w:jc w:val="both"/>
        <w:ind w:right="80"/>
        <w:spacing w:after="0" w:line="307" w:lineRule="auto"/>
        <w:rPr>
          <w:sz w:val="20"/>
          <w:szCs w:val="20"/>
          <w:color w:val="auto"/>
        </w:rPr>
      </w:pPr>
      <w:r>
        <w:rPr>
          <w:rFonts w:ascii="Arial" w:cs="Arial" w:eastAsia="Arial" w:hAnsi="Arial"/>
          <w:sz w:val="22"/>
          <w:szCs w:val="22"/>
          <w:color w:val="auto"/>
        </w:rPr>
        <w:t>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w:t>
      </w:r>
    </w:p>
    <w:p>
      <w:pPr>
        <w:spacing w:after="0" w:line="349" w:lineRule="exact"/>
        <w:rPr>
          <w:sz w:val="20"/>
          <w:szCs w:val="20"/>
          <w:color w:val="auto"/>
        </w:rPr>
      </w:pPr>
    </w:p>
    <w:p>
      <w:pPr>
        <w:jc w:val="both"/>
        <w:ind w:right="20"/>
        <w:spacing w:after="0" w:line="307" w:lineRule="auto"/>
        <w:rPr>
          <w:sz w:val="20"/>
          <w:szCs w:val="20"/>
          <w:color w:val="auto"/>
        </w:rPr>
      </w:pPr>
      <w:r>
        <w:rPr>
          <w:rFonts w:ascii="Arial" w:cs="Arial" w:eastAsia="Arial" w:hAnsi="Arial"/>
          <w:sz w:val="22"/>
          <w:szCs w:val="22"/>
          <w:color w:val="auto"/>
        </w:rPr>
        <w:t>The Bank is not obliged to give the reasons for its determination or opinion in relation to any matter under any Transaction Document. Any certification, determination or opinion relating to an amount must contain reasonable detail as to how the amount was calculated.</w:t>
      </w:r>
    </w:p>
    <w:p>
      <w:pPr>
        <w:spacing w:after="0" w:line="349" w:lineRule="exact"/>
        <w:rPr>
          <w:sz w:val="20"/>
          <w:szCs w:val="20"/>
          <w:color w:val="auto"/>
        </w:rPr>
      </w:pPr>
    </w:p>
    <w:p>
      <w:pPr>
        <w:ind w:right="340"/>
        <w:spacing w:after="0" w:line="307" w:lineRule="auto"/>
        <w:rPr>
          <w:sz w:val="20"/>
          <w:szCs w:val="20"/>
          <w:color w:val="auto"/>
        </w:rPr>
      </w:pPr>
      <w:r>
        <w:rPr>
          <w:rFonts w:ascii="Arial" w:cs="Arial" w:eastAsia="Arial" w:hAnsi="Arial"/>
          <w:sz w:val="22"/>
          <w:szCs w:val="22"/>
          <w:color w:val="auto"/>
        </w:rPr>
        <w:t>A determination or an opinion of an Authorised Representative of the Bank which is given to the Borrower or otherwise expressed or acted on by the Bank as being a determination or an opinion of the Bank will be deemed to be a determination or opinion of the Bank.</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Supervening legislation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Any present or future legislation which operates:</w:t>
      </w:r>
    </w:p>
    <w:p>
      <w:pPr>
        <w:spacing w:after="0" w:line="200" w:lineRule="exact"/>
        <w:rPr>
          <w:sz w:val="20"/>
          <w:szCs w:val="20"/>
          <w:color w:val="auto"/>
        </w:rPr>
      </w:pPr>
    </w:p>
    <w:p>
      <w:pPr>
        <w:spacing w:after="0" w:line="218" w:lineRule="exact"/>
        <w:rPr>
          <w:sz w:val="20"/>
          <w:szCs w:val="20"/>
          <w:color w:val="auto"/>
        </w:rPr>
      </w:pPr>
    </w:p>
    <w:p>
      <w:pPr>
        <w:ind w:right="80"/>
        <w:spacing w:after="0" w:line="350" w:lineRule="auto"/>
        <w:rPr>
          <w:sz w:val="20"/>
          <w:szCs w:val="20"/>
          <w:color w:val="auto"/>
        </w:rPr>
      </w:pPr>
      <w:r>
        <w:rPr>
          <w:rFonts w:ascii="Arial" w:cs="Arial" w:eastAsia="Arial" w:hAnsi="Arial"/>
          <w:sz w:val="20"/>
          <w:szCs w:val="20"/>
          <w:color w:val="auto"/>
        </w:rPr>
        <w:t>to lessen or vary in favour of the Borrower any of its obligations in connection with the Transaction Documents; or to postpone, stay, suspend or curtail any rights of the Bank under the Transaction Documents, is excluded except to the extent that its exclusion is prohibited or rendered ineffective by law.</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of the essence</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Time is of the essence as regards any obligations of the Borrower or any date or period determined under the Transaction Documents, and if any date or period is altered by agreement between the parties, time is of the essence as regards such altered date or period.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Days</w:t>
      </w:r>
    </w:p>
    <w:p>
      <w:pPr>
        <w:spacing w:after="0" w:line="88" w:lineRule="exact"/>
        <w:rPr>
          <w:sz w:val="20"/>
          <w:szCs w:val="20"/>
          <w:color w:val="auto"/>
        </w:rPr>
      </w:pPr>
    </w:p>
    <w:p>
      <w:pPr>
        <w:ind w:right="200"/>
        <w:spacing w:after="0" w:line="307" w:lineRule="auto"/>
        <w:rPr>
          <w:sz w:val="20"/>
          <w:szCs w:val="20"/>
          <w:color w:val="auto"/>
        </w:rPr>
      </w:pPr>
      <w:r>
        <w:rPr>
          <w:rFonts w:ascii="Arial" w:cs="Arial" w:eastAsia="Arial" w:hAnsi="Arial"/>
          <w:sz w:val="22"/>
          <w:szCs w:val="22"/>
          <w:color w:val="auto"/>
        </w:rPr>
        <w:t>If the day on or by which anything, other than making a payment, must be done by the Borrower under a Transaction Document is not a Business Day, that thing must be done on or by the preceding Business Day.</w:t>
      </w:r>
    </w:p>
    <w:p>
      <w:pPr>
        <w:spacing w:after="0" w:line="19" w:lineRule="exact"/>
        <w:rPr>
          <w:sz w:val="20"/>
          <w:szCs w:val="20"/>
          <w:color w:val="auto"/>
        </w:rPr>
      </w:pPr>
    </w:p>
    <w:p>
      <w:pPr>
        <w:ind w:right="80"/>
        <w:spacing w:after="0" w:line="311" w:lineRule="auto"/>
        <w:rPr>
          <w:sz w:val="20"/>
          <w:szCs w:val="20"/>
          <w:color w:val="auto"/>
        </w:rPr>
      </w:pPr>
      <w:r>
        <w:rPr>
          <w:rFonts w:ascii="Arial" w:cs="Arial" w:eastAsia="Arial" w:hAnsi="Arial"/>
          <w:sz w:val="22"/>
          <w:szCs w:val="22"/>
          <w:color w:val="auto"/>
        </w:rPr>
        <w:t>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 If anything, including making a payment, is to be done by the Borrower on or by a particular day and it is done: after the time by which a Transaction Document states it must be done or, if the Transaction Document does not state a time, after 4.00 pm in the place where it is to be done; or on a day which is not a Business Day, it will be deemed to have been done at 9.00 am on the next Business Day.</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w:t>
      </w:r>
    </w:p>
    <w:p>
      <w:pPr>
        <w:spacing w:after="0" w:line="88" w:lineRule="exact"/>
        <w:rPr>
          <w:sz w:val="20"/>
          <w:szCs w:val="20"/>
          <w:color w:val="auto"/>
        </w:rPr>
      </w:pPr>
    </w:p>
    <w:p>
      <w:pPr>
        <w:jc w:val="both"/>
        <w:ind w:right="140"/>
        <w:spacing w:after="0" w:line="350" w:lineRule="auto"/>
        <w:rPr>
          <w:sz w:val="20"/>
          <w:szCs w:val="20"/>
          <w:color w:val="auto"/>
        </w:rPr>
      </w:pPr>
      <w:r>
        <w:rPr>
          <w:rFonts w:ascii="Arial" w:cs="Arial" w:eastAsia="Arial" w:hAnsi="Arial"/>
          <w:sz w:val="20"/>
          <w:szCs w:val="20"/>
          <w:color w:val="auto"/>
        </w:rPr>
        <w:t>The Bank must keep any information or document relating to a Transaction Party confidential. However, the Bank may disclose to any person any information or document relating to a Transaction Party: where permitted in a Transaction Document; to another party to a Transaction Document;</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98</w:t>
      </w:r>
    </w:p>
    <w:p>
      <w:pPr>
        <w:sectPr>
          <w:pgSz w:w="11900" w:h="16838" w:orient="portrait"/>
          <w:cols w:equalWidth="0" w:num="1">
            <w:col w:w="9400"/>
          </w:cols>
          <w:pgMar w:left="1260" w:top="1166" w:right="1246" w:bottom="0" w:gutter="0" w:footer="0" w:header="0"/>
          <w:type w:val="continuous"/>
        </w:sectPr>
      </w:pPr>
    </w:p>
    <w:bookmarkStart w:id="237" w:name="page238"/>
    <w:bookmarkEnd w:id="237"/>
    <w:p>
      <w:pPr>
        <w:spacing w:after="0" w:line="67" w:lineRule="exact"/>
        <w:rPr>
          <w:sz w:val="20"/>
          <w:szCs w:val="20"/>
          <w:color w:val="auto"/>
        </w:rPr>
      </w:pPr>
    </w:p>
    <w:p>
      <w:pPr>
        <w:spacing w:after="0" w:line="328" w:lineRule="auto"/>
        <w:rPr>
          <w:sz w:val="20"/>
          <w:szCs w:val="20"/>
          <w:color w:val="auto"/>
        </w:rPr>
      </w:pPr>
      <w:r>
        <w:rPr>
          <w:rFonts w:ascii="Arial" w:cs="Arial" w:eastAsia="Arial" w:hAnsi="Arial"/>
          <w:sz w:val="21"/>
          <w:szCs w:val="21"/>
          <w:color w:val="auto"/>
        </w:rPr>
        <w:t>to a potential transferee, assignee, participant or sub-participant of the Bank’s interests under a Transaction Document or to any other person who is considering entering into contractual relations with it in connection with a Transaction Document; to the Bank’s related bodies corporate and shareholders, or to any employee, banker, lawyer, auditor or other consultant of the Bank, its related bodies corporate or its shareholders; to the professional advisers or consultants of any party involved in connection with any Facility who are bound by a duty or obligation of confidence; if required by law or by any Government Body or stock exchange; in connection with any legal proceedings relating to a Transaction Document or a document delivered under or in relation to a Transaction Document;</w:t>
      </w:r>
    </w:p>
    <w:p>
      <w:pPr>
        <w:spacing w:after="0" w:line="330" w:lineRule="exact"/>
        <w:rPr>
          <w:sz w:val="20"/>
          <w:szCs w:val="20"/>
          <w:color w:val="auto"/>
        </w:rPr>
      </w:pPr>
    </w:p>
    <w:p>
      <w:pPr>
        <w:ind w:right="220"/>
        <w:spacing w:after="0" w:line="350" w:lineRule="auto"/>
        <w:rPr>
          <w:sz w:val="20"/>
          <w:szCs w:val="20"/>
          <w:color w:val="auto"/>
        </w:rPr>
      </w:pPr>
      <w:r>
        <w:rPr>
          <w:rFonts w:ascii="Arial" w:cs="Arial" w:eastAsia="Arial" w:hAnsi="Arial"/>
          <w:sz w:val="20"/>
          <w:szCs w:val="20"/>
          <w:color w:val="auto"/>
        </w:rPr>
        <w:t>if the information or document is in the public domain; or with the consent of the Borrower (which must not be unreasonably withheld or delayed). Subject to paragraph (c), the Transaction Parties shall keep confidential and not disclose to any other person the terms of the Transaction Documents.</w:t>
      </w:r>
    </w:p>
    <w:p>
      <w:pPr>
        <w:spacing w:after="0" w:line="314" w:lineRule="exact"/>
        <w:rPr>
          <w:sz w:val="20"/>
          <w:szCs w:val="20"/>
          <w:color w:val="auto"/>
        </w:rPr>
      </w:pPr>
    </w:p>
    <w:p>
      <w:pPr>
        <w:ind w:right="40"/>
        <w:spacing w:after="0" w:line="345" w:lineRule="auto"/>
        <w:rPr>
          <w:sz w:val="20"/>
          <w:szCs w:val="20"/>
          <w:color w:val="auto"/>
        </w:rPr>
      </w:pPr>
      <w:r>
        <w:rPr>
          <w:rFonts w:ascii="Arial" w:cs="Arial" w:eastAsia="Arial" w:hAnsi="Arial"/>
          <w:sz w:val="20"/>
          <w:szCs w:val="20"/>
          <w:color w:val="auto"/>
        </w:rPr>
        <w:t>However, the Transaction Parties and any officers or employees of each Transaction Party may disclose such information: with the prior written consent of the Bank; to the extent required by any applicable law or regulation; to the extent it reasonably deems necessary in connection with any actual or contemplated proceedings or a claim with respect to this clause 18.6; or to the extent permitted by clause 18.6(a) (other than paragraph (iii)) as if each reference in that clause to the ‘Bank’ were to a ‘Transaction Party’ and each reference to the ‘Borrower’ were to the ‘Bank’; or Reading International, Inc. or any other holding company of a Transaction Party (who in turn may disclose such information to their officers or employees or to the extent required by any applicable law or regulation or rule of any stock exchange). The Bank and the Transaction Parties agree that: neither of them will disclose information of the kind mentioned in section 275(1) of the PPS Act; and this document does not create a Security Interest. This clause 18.6 survives the termination of this document.</w:t>
      </w:r>
    </w:p>
    <w:p>
      <w:pPr>
        <w:spacing w:after="0" w:line="323" w:lineRule="exact"/>
        <w:rPr>
          <w:sz w:val="20"/>
          <w:szCs w:val="20"/>
          <w:color w:val="auto"/>
        </w:rPr>
      </w:pPr>
    </w:p>
    <w:p>
      <w:pPr>
        <w:ind w:right="80"/>
        <w:spacing w:after="0" w:line="328" w:lineRule="auto"/>
        <w:rPr>
          <w:sz w:val="20"/>
          <w:szCs w:val="20"/>
          <w:color w:val="auto"/>
        </w:rPr>
      </w:pPr>
      <w:r>
        <w:rPr>
          <w:rFonts w:ascii="Arial" w:cs="Arial" w:eastAsia="Arial" w:hAnsi="Arial"/>
          <w:sz w:val="21"/>
          <w:szCs w:val="21"/>
          <w:color w:val="auto"/>
        </w:rPr>
        <w:t>The Bank acknowledges that: information provided from time to time by the Transaction Parties to the Bank may constitute confidential non-public information; and trading in marketable securities of Reading International Inc while in possession of the information referred to clause 18.6(f)(i) will violate United States' federal securities laws. The Bank agrees to: take reasonable precautions to maintain the confidentiality of the information referred to in clause 18.6(f)(i); and advise any party to whom the information referred to in clause 18.6(f)(i) is disclosed that it may not trade in the marketable securities of Reading International Inc while in the possession of such information.</w:t>
      </w:r>
    </w:p>
    <w:p>
      <w:pPr>
        <w:spacing w:after="0" w:line="330" w:lineRule="exact"/>
        <w:rPr>
          <w:sz w:val="20"/>
          <w:szCs w:val="20"/>
          <w:color w:val="auto"/>
        </w:rPr>
      </w:pPr>
    </w:p>
    <w:p>
      <w:pPr>
        <w:ind w:right="360"/>
        <w:spacing w:after="0" w:line="302" w:lineRule="auto"/>
        <w:rPr>
          <w:sz w:val="20"/>
          <w:szCs w:val="20"/>
          <w:color w:val="auto"/>
        </w:rPr>
      </w:pPr>
      <w:r>
        <w:rPr>
          <w:rFonts w:ascii="Arial" w:cs="Arial" w:eastAsia="Arial" w:hAnsi="Arial"/>
          <w:sz w:val="22"/>
          <w:szCs w:val="22"/>
          <w:color w:val="auto"/>
        </w:rPr>
        <w:t>This clause 18.6 will not be deemed to restrict the provision of information by any party to the Internal Revenue Service of the United States of America.</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rate</w:t>
      </w:r>
    </w:p>
    <w:p>
      <w:pPr>
        <w:spacing w:after="0" w:line="88" w:lineRule="exact"/>
        <w:rPr>
          <w:sz w:val="20"/>
          <w:szCs w:val="20"/>
          <w:color w:val="auto"/>
        </w:rPr>
      </w:pPr>
    </w:p>
    <w:p>
      <w:pPr>
        <w:jc w:val="both"/>
        <w:spacing w:after="0" w:line="327" w:lineRule="auto"/>
        <w:rPr>
          <w:sz w:val="20"/>
          <w:szCs w:val="20"/>
          <w:color w:val="auto"/>
        </w:rPr>
      </w:pPr>
      <w:r>
        <w:rPr>
          <w:rFonts w:ascii="Arial" w:cs="Arial" w:eastAsia="Arial" w:hAnsi="Arial"/>
          <w:sz w:val="21"/>
          <w:szCs w:val="21"/>
          <w:color w:val="auto"/>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p>
    <w:p>
      <w:pPr>
        <w:spacing w:after="0" w:line="232" w:lineRule="auto"/>
        <w:rPr>
          <w:sz w:val="20"/>
          <w:szCs w:val="20"/>
          <w:color w:val="auto"/>
        </w:rPr>
      </w:pPr>
      <w:r>
        <w:rPr>
          <w:rFonts w:ascii="Arial" w:cs="Arial" w:eastAsia="Arial" w:hAnsi="Arial"/>
          <w:sz w:val="22"/>
          <w:szCs w:val="22"/>
          <w:b w:val="1"/>
          <w:bCs w:val="1"/>
          <w:color w:val="auto"/>
        </w:rPr>
        <w:t>Records as evidence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Bank may maintain records specifying: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98</w:t>
      </w:r>
    </w:p>
    <w:p>
      <w:pPr>
        <w:sectPr>
          <w:pgSz w:w="11900" w:h="16838" w:orient="portrait"/>
          <w:cols w:equalWidth="0" w:num="1">
            <w:col w:w="9400"/>
          </w:cols>
          <w:pgMar w:left="1260" w:top="1440" w:right="1246" w:bottom="0" w:gutter="0" w:footer="0" w:header="0"/>
          <w:type w:val="continuous"/>
        </w:sectPr>
      </w:pPr>
    </w:p>
    <w:bookmarkStart w:id="238" w:name="page239"/>
    <w:bookmarkEnd w:id="238"/>
    <w:p>
      <w:pPr>
        <w:spacing w:after="0"/>
        <w:rPr>
          <w:sz w:val="20"/>
          <w:szCs w:val="20"/>
          <w:color w:val="auto"/>
        </w:rPr>
      </w:pPr>
      <w:r>
        <w:rPr>
          <w:rFonts w:ascii="Arial" w:cs="Arial" w:eastAsia="Arial" w:hAnsi="Arial"/>
          <w:sz w:val="22"/>
          <w:szCs w:val="22"/>
          <w:color w:val="auto"/>
        </w:rPr>
        <w:t>payments made by the Bank for the account of a Transaction Party under a Transaction</w:t>
      </w:r>
    </w:p>
    <w:p>
      <w:pPr>
        <w:spacing w:after="0" w:line="88" w:lineRule="exact"/>
        <w:rPr>
          <w:sz w:val="20"/>
          <w:szCs w:val="20"/>
          <w:color w:val="auto"/>
        </w:rPr>
      </w:pPr>
    </w:p>
    <w:p>
      <w:pPr>
        <w:ind w:right="40"/>
        <w:spacing w:after="0" w:line="344" w:lineRule="auto"/>
        <w:rPr>
          <w:sz w:val="20"/>
          <w:szCs w:val="20"/>
          <w:color w:val="auto"/>
        </w:rPr>
      </w:pPr>
      <w:r>
        <w:rPr>
          <w:rFonts w:ascii="Arial" w:cs="Arial" w:eastAsia="Arial" w:hAnsi="Arial"/>
          <w:sz w:val="20"/>
          <w:szCs w:val="20"/>
          <w:color w:val="auto"/>
        </w:rPr>
        <w:t>Document; payments by a Transaction Party for the account of the Bank under a Transaction Document; and interest, fees, charges, costs and expenses payable in relation to the Transaction Documents, and those records will against the Borrower constitute prima facie evidence of the matters set out in them.</w:t>
      </w:r>
    </w:p>
    <w:p>
      <w:pPr>
        <w:spacing w:after="0" w:line="230" w:lineRule="auto"/>
        <w:rPr>
          <w:sz w:val="20"/>
          <w:szCs w:val="20"/>
          <w:color w:val="auto"/>
        </w:rPr>
      </w:pPr>
      <w:r>
        <w:rPr>
          <w:rFonts w:ascii="Arial" w:cs="Arial" w:eastAsia="Arial" w:hAnsi="Arial"/>
          <w:sz w:val="22"/>
          <w:szCs w:val="22"/>
          <w:b w:val="1"/>
          <w:bCs w:val="1"/>
          <w:color w:val="auto"/>
        </w:rPr>
        <w:t>Further assurances</w:t>
      </w:r>
    </w:p>
    <w:p>
      <w:pPr>
        <w:spacing w:after="0" w:line="89" w:lineRule="exact"/>
        <w:rPr>
          <w:sz w:val="20"/>
          <w:szCs w:val="20"/>
          <w:color w:val="auto"/>
        </w:rPr>
      </w:pPr>
    </w:p>
    <w:p>
      <w:pPr>
        <w:jc w:val="both"/>
        <w:spacing w:after="0" w:line="344" w:lineRule="auto"/>
        <w:rPr>
          <w:sz w:val="20"/>
          <w:szCs w:val="20"/>
          <w:color w:val="auto"/>
        </w:rPr>
      </w:pPr>
      <w:r>
        <w:rPr>
          <w:rFonts w:ascii="Arial" w:cs="Arial" w:eastAsia="Arial" w:hAnsi="Arial"/>
          <w:sz w:val="20"/>
          <w:szCs w:val="20"/>
          <w:color w:val="auto"/>
        </w:rPr>
        <w:t>The Borrower must promptly execute all documents and do all things that the Bank from time to time reasonably requires to: effect, perfect or complete the provisions of each Transaction Document or any transaction contemplated by it; establish the priority of or reserve or create any Security Interest contemplated by or purported to be reserved or created by a Transaction Document; andnstamp and register each Transaction Document in any relevant jurisdiction and by any person that the Bank thinks fit.</w:t>
      </w:r>
    </w:p>
    <w:p>
      <w:pPr>
        <w:spacing w:after="0" w:line="231" w:lineRule="auto"/>
        <w:rPr>
          <w:sz w:val="20"/>
          <w:szCs w:val="20"/>
          <w:color w:val="auto"/>
        </w:rPr>
      </w:pPr>
      <w:r>
        <w:rPr>
          <w:rFonts w:ascii="Arial" w:cs="Arial" w:eastAsia="Arial" w:hAnsi="Arial"/>
          <w:sz w:val="22"/>
          <w:szCs w:val="22"/>
          <w:b w:val="1"/>
          <w:bCs w:val="1"/>
          <w:color w:val="auto"/>
        </w:rPr>
        <w:t>Amendment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This document may only be varied or replaced by a document executed by the parties.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 and exercise of rights</w:t>
      </w:r>
    </w:p>
    <w:p>
      <w:pPr>
        <w:spacing w:after="0" w:line="88" w:lineRule="exact"/>
        <w:rPr>
          <w:sz w:val="20"/>
          <w:szCs w:val="20"/>
          <w:color w:val="auto"/>
        </w:rPr>
      </w:pPr>
    </w:p>
    <w:p>
      <w:pPr>
        <w:ind w:right="160"/>
        <w:spacing w:after="0" w:line="309" w:lineRule="auto"/>
        <w:rPr>
          <w:sz w:val="20"/>
          <w:szCs w:val="20"/>
          <w:color w:val="auto"/>
        </w:rPr>
      </w:pPr>
      <w:r>
        <w:rPr>
          <w:rFonts w:ascii="Arial" w:cs="Arial" w:eastAsia="Arial" w:hAnsi="Arial"/>
          <w:sz w:val="22"/>
          <w:szCs w:val="22"/>
          <w:color w:val="auto"/>
        </w:rPr>
        <w:t>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p>
    <w:p>
      <w:pPr>
        <w:spacing w:after="0" w:line="347" w:lineRule="exact"/>
        <w:rPr>
          <w:sz w:val="20"/>
          <w:szCs w:val="20"/>
          <w:color w:val="auto"/>
        </w:rPr>
      </w:pPr>
    </w:p>
    <w:p>
      <w:pPr>
        <w:ind w:right="220"/>
        <w:spacing w:after="0" w:line="302" w:lineRule="auto"/>
        <w:rPr>
          <w:sz w:val="20"/>
          <w:szCs w:val="20"/>
          <w:color w:val="auto"/>
        </w:rPr>
      </w:pPr>
      <w:r>
        <w:rPr>
          <w:rFonts w:ascii="Arial" w:cs="Arial" w:eastAsia="Arial" w:hAnsi="Arial"/>
          <w:sz w:val="22"/>
          <w:szCs w:val="22"/>
          <w:color w:val="auto"/>
        </w:rPr>
        <w:t>A single or partial exercise or waiver by the Bank of a right relating to a Transaction Document does not prevent any other exercise of that right or the exercise of any other right.</w:t>
      </w:r>
    </w:p>
    <w:p>
      <w:pPr>
        <w:spacing w:after="0" w:line="353" w:lineRule="exact"/>
        <w:rPr>
          <w:sz w:val="20"/>
          <w:szCs w:val="20"/>
          <w:color w:val="auto"/>
        </w:rPr>
      </w:pPr>
    </w:p>
    <w:p>
      <w:pPr>
        <w:ind w:right="180"/>
        <w:spacing w:after="0" w:line="350" w:lineRule="auto"/>
        <w:rPr>
          <w:sz w:val="20"/>
          <w:szCs w:val="20"/>
          <w:color w:val="auto"/>
        </w:rPr>
      </w:pPr>
      <w:r>
        <w:rPr>
          <w:rFonts w:ascii="Arial" w:cs="Arial" w:eastAsia="Arial" w:hAnsi="Arial"/>
          <w:sz w:val="20"/>
          <w:szCs w:val="20"/>
          <w:color w:val="auto"/>
        </w:rPr>
        <w:t>The Bank and its Representatives are not liable for any loss, cost or expense of the Borrower caused or contributed to by the waiver, exercise, attempted exercise, failure to exercise or delay in the exercise of a right and the Bank holds the benefit of this clause 18.11 on trust for itself and its Representatives.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cumulative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The rights of the Bank under the Transaction Documents are cumulative and in addition to its other rights.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and consent</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Except where a Transaction Document expressly provides otherwise, the Bank may conditionally or unconditionally give or withhold any consent under a Transaction Document and is not obliged to give its reasons for doing so.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Assignment</w:t>
      </w:r>
    </w:p>
    <w:p>
      <w:pPr>
        <w:spacing w:after="0" w:line="88" w:lineRule="exact"/>
        <w:rPr>
          <w:sz w:val="20"/>
          <w:szCs w:val="20"/>
          <w:color w:val="auto"/>
        </w:rPr>
      </w:pPr>
    </w:p>
    <w:p>
      <w:pPr>
        <w:ind w:right="280"/>
        <w:spacing w:after="0" w:line="302" w:lineRule="auto"/>
        <w:rPr>
          <w:sz w:val="20"/>
          <w:szCs w:val="20"/>
          <w:color w:val="auto"/>
        </w:rPr>
      </w:pPr>
      <w:r>
        <w:rPr>
          <w:rFonts w:ascii="Arial" w:cs="Arial" w:eastAsia="Arial" w:hAnsi="Arial"/>
          <w:sz w:val="22"/>
          <w:szCs w:val="22"/>
          <w:color w:val="auto"/>
        </w:rPr>
        <w:t>The Borrower must not dispose of or Encumber any right under the Transaction Documents without the consent of the Bank.</w:t>
      </w:r>
    </w:p>
    <w:p>
      <w:pPr>
        <w:spacing w:after="0" w:line="353" w:lineRule="exact"/>
        <w:rPr>
          <w:sz w:val="20"/>
          <w:szCs w:val="20"/>
          <w:color w:val="auto"/>
        </w:rPr>
      </w:pPr>
    </w:p>
    <w:p>
      <w:pPr>
        <w:ind w:right="60"/>
        <w:spacing w:after="0" w:line="307" w:lineRule="auto"/>
        <w:rPr>
          <w:sz w:val="20"/>
          <w:szCs w:val="20"/>
          <w:color w:val="auto"/>
        </w:rPr>
      </w:pPr>
      <w:r>
        <w:rPr>
          <w:rFonts w:ascii="Arial" w:cs="Arial" w:eastAsia="Arial" w:hAnsi="Arial"/>
          <w:sz w:val="22"/>
          <w:szCs w:val="22"/>
          <w:color w:val="auto"/>
        </w:rPr>
        <w:t>The Bank may assign any of its rights or novate, sub-participate, sell-down or transfer by whatever form or otherwise deal with any or all of its rights and obligations under any Transaction Document without the consent of, or notice to, the Borrower.</w:t>
      </w:r>
    </w:p>
    <w:p>
      <w:pPr>
        <w:spacing w:after="0" w:line="349" w:lineRule="exact"/>
        <w:rPr>
          <w:sz w:val="20"/>
          <w:szCs w:val="20"/>
          <w:color w:val="auto"/>
        </w:rPr>
      </w:pPr>
    </w:p>
    <w:p>
      <w:pPr>
        <w:ind w:right="100"/>
        <w:spacing w:after="0" w:line="368" w:lineRule="auto"/>
        <w:rPr>
          <w:sz w:val="20"/>
          <w:szCs w:val="20"/>
          <w:color w:val="auto"/>
        </w:rPr>
      </w:pPr>
      <w:r>
        <w:rPr>
          <w:rFonts w:ascii="Arial" w:cs="Arial" w:eastAsia="Arial" w:hAnsi="Arial"/>
          <w:sz w:val="19"/>
          <w:szCs w:val="19"/>
          <w:color w:val="auto"/>
        </w:rPr>
        <w:t>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 under any Transaction Document. Any such notice is effective on the time of delivery to separate and sever the rights described in the notice so that: those rights and obligations are independent</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98</w:t>
      </w:r>
    </w:p>
    <w:p>
      <w:pPr>
        <w:sectPr>
          <w:pgSz w:w="11900" w:h="16838" w:orient="portrait"/>
          <w:cols w:equalWidth="0" w:num="1">
            <w:col w:w="9400"/>
          </w:cols>
          <w:pgMar w:left="1260" w:top="1166" w:right="1246" w:bottom="0" w:gutter="0" w:footer="0" w:header="0"/>
          <w:type w:val="continuous"/>
        </w:sectPr>
      </w:pPr>
    </w:p>
    <w:bookmarkStart w:id="239" w:name="page240"/>
    <w:bookmarkEnd w:id="239"/>
    <w:p>
      <w:pPr>
        <w:spacing w:after="0" w:line="344" w:lineRule="auto"/>
        <w:rPr>
          <w:sz w:val="20"/>
          <w:szCs w:val="20"/>
          <w:color w:val="auto"/>
        </w:rPr>
      </w:pPr>
      <w:r>
        <w:rPr>
          <w:rFonts w:ascii="Arial" w:cs="Arial" w:eastAsia="Arial" w:hAnsi="Arial"/>
          <w:sz w:val="20"/>
          <w:szCs w:val="20"/>
          <w:color w:val="auto"/>
        </w:rPr>
        <w:t>from, and may be assigned (including at law), novated, sub-participated, sold-down, transferred or otherwise dealt with separately from, any other of the rights and obligations of the Bank under that Transaction Document; those rights and obligations may be exercised differently from any other rights and obligations of the Bank under that Transaction Document; and the Outstanding Accommodation in respect of those rights may be calculated separately from the other Outstanding Accommodation.</w:t>
      </w:r>
    </w:p>
    <w:p>
      <w:pPr>
        <w:spacing w:after="0" w:line="2" w:lineRule="exact"/>
        <w:rPr>
          <w:sz w:val="20"/>
          <w:szCs w:val="20"/>
          <w:color w:val="auto"/>
        </w:rPr>
      </w:pPr>
    </w:p>
    <w:p>
      <w:pPr>
        <w:ind w:right="500"/>
        <w:spacing w:after="0" w:line="375" w:lineRule="auto"/>
        <w:rPr>
          <w:sz w:val="20"/>
          <w:szCs w:val="20"/>
          <w:color w:val="auto"/>
        </w:rPr>
      </w:pPr>
      <w:r>
        <w:rPr>
          <w:rFonts w:ascii="Arial" w:cs="Arial" w:eastAsia="Arial" w:hAnsi="Arial"/>
          <w:sz w:val="19"/>
          <w:szCs w:val="19"/>
          <w:color w:val="auto"/>
        </w:rPr>
        <w:t>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Counterparts</w:t>
      </w:r>
    </w:p>
    <w:p>
      <w:pPr>
        <w:spacing w:after="0" w:line="8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This document may consist of a number of counterparts and, if so, the counterparts taken together constitute one document.</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Sovereign immunity</w:t>
      </w:r>
    </w:p>
    <w:p>
      <w:pPr>
        <w:spacing w:after="0" w:line="88" w:lineRule="exact"/>
        <w:rPr>
          <w:sz w:val="20"/>
          <w:szCs w:val="20"/>
          <w:color w:val="auto"/>
        </w:rPr>
      </w:pPr>
    </w:p>
    <w:p>
      <w:pPr>
        <w:ind w:right="280"/>
        <w:spacing w:after="0" w:line="311" w:lineRule="auto"/>
        <w:rPr>
          <w:sz w:val="20"/>
          <w:szCs w:val="20"/>
          <w:color w:val="auto"/>
        </w:rPr>
      </w:pPr>
      <w:r>
        <w:rPr>
          <w:rFonts w:ascii="Arial" w:cs="Arial" w:eastAsia="Arial" w:hAnsi="Arial"/>
          <w:sz w:val="22"/>
          <w:szCs w:val="22"/>
          <w:color w:val="auto"/>
        </w:rPr>
        <w:t>The Borrower irrevocably waives any immunity that it or its property has from: set-off; legal, arbitral or administrative proceedings; any process or order of any court, administrative tribunal or arbitrator for the satisfaction or enforcement of a judgment, order or arbitral award or for the arrest, detention or sale of any property; or service on it of any process, judgment, order or arbitral award, on the grounds of sovereignty or otherwise under any law of any jurisdiction where any proceedings may be brought or enforced in relation to any Event of Default under a Transaction Document.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 and jurisdiction</w:t>
      </w:r>
    </w:p>
    <w:p>
      <w:pPr>
        <w:spacing w:after="0" w:line="88" w:lineRule="exact"/>
        <w:rPr>
          <w:sz w:val="20"/>
          <w:szCs w:val="20"/>
          <w:color w:val="auto"/>
        </w:rPr>
      </w:pPr>
    </w:p>
    <w:p>
      <w:pPr>
        <w:ind w:right="760"/>
        <w:spacing w:after="0" w:line="302" w:lineRule="auto"/>
        <w:rPr>
          <w:sz w:val="20"/>
          <w:szCs w:val="20"/>
          <w:color w:val="auto"/>
        </w:rPr>
      </w:pPr>
      <w:r>
        <w:rPr>
          <w:rFonts w:ascii="Arial" w:cs="Arial" w:eastAsia="Arial" w:hAnsi="Arial"/>
          <w:sz w:val="22"/>
          <w:szCs w:val="22"/>
          <w:color w:val="auto"/>
        </w:rPr>
        <w:t>This document is governed by and is to be construed in accordance with the laws applicable in the Relevant Jurisdiction.</w:t>
      </w:r>
    </w:p>
    <w:p>
      <w:pPr>
        <w:spacing w:after="0" w:line="353" w:lineRule="exact"/>
        <w:rPr>
          <w:sz w:val="20"/>
          <w:szCs w:val="20"/>
          <w:color w:val="auto"/>
        </w:rPr>
      </w:pPr>
    </w:p>
    <w:p>
      <w:pPr>
        <w:ind w:right="140"/>
        <w:spacing w:after="0" w:line="375" w:lineRule="auto"/>
        <w:rPr>
          <w:sz w:val="20"/>
          <w:szCs w:val="20"/>
          <w:color w:val="auto"/>
        </w:rPr>
      </w:pPr>
      <w:r>
        <w:rPr>
          <w:rFonts w:ascii="Arial" w:cs="Arial" w:eastAsia="Arial" w:hAnsi="Arial"/>
          <w:sz w:val="19"/>
          <w:szCs w:val="19"/>
          <w:color w:val="auto"/>
        </w:rPr>
        <w:t>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Telephone recording</w:t>
      </w:r>
    </w:p>
    <w:p>
      <w:pPr>
        <w:spacing w:after="0" w:line="88" w:lineRule="exact"/>
        <w:rPr>
          <w:sz w:val="20"/>
          <w:szCs w:val="20"/>
          <w:color w:val="auto"/>
        </w:rPr>
      </w:pPr>
    </w:p>
    <w:p>
      <w:pPr>
        <w:jc w:val="both"/>
        <w:spacing w:after="0" w:line="344" w:lineRule="auto"/>
        <w:rPr>
          <w:sz w:val="20"/>
          <w:szCs w:val="20"/>
          <w:color w:val="auto"/>
        </w:rPr>
      </w:pPr>
      <w:r>
        <w:rPr>
          <w:rFonts w:ascii="Arial" w:cs="Arial" w:eastAsia="Arial" w:hAnsi="Arial"/>
          <w:sz w:val="20"/>
          <w:szCs w:val="20"/>
          <w:color w:val="auto"/>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p>
    <w:p>
      <w:pPr>
        <w:spacing w:after="0" w:line="230" w:lineRule="auto"/>
        <w:rPr>
          <w:sz w:val="20"/>
          <w:szCs w:val="20"/>
          <w:color w:val="auto"/>
        </w:rPr>
      </w:pPr>
      <w:r>
        <w:rPr>
          <w:rFonts w:ascii="Arial" w:cs="Arial" w:eastAsia="Arial" w:hAnsi="Arial"/>
          <w:sz w:val="22"/>
          <w:szCs w:val="22"/>
          <w:b w:val="1"/>
          <w:bCs w:val="1"/>
          <w:color w:val="auto"/>
        </w:rPr>
        <w:t>Legal advice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The Borrower acknowledges that, except as expressly set out in a Transaction Document:</w:t>
      </w:r>
    </w:p>
    <w:p>
      <w:pPr>
        <w:spacing w:after="0" w:line="88" w:lineRule="exact"/>
        <w:rPr>
          <w:sz w:val="20"/>
          <w:szCs w:val="20"/>
          <w:color w:val="auto"/>
        </w:rPr>
      </w:pPr>
    </w:p>
    <w:p>
      <w:pPr>
        <w:ind w:right="180"/>
        <w:spacing w:after="0" w:line="310" w:lineRule="auto"/>
        <w:rPr>
          <w:sz w:val="20"/>
          <w:szCs w:val="20"/>
          <w:color w:val="auto"/>
        </w:rPr>
      </w:pPr>
      <w:r>
        <w:rPr>
          <w:rFonts w:ascii="Arial" w:cs="Arial" w:eastAsia="Arial" w:hAnsi="Arial"/>
          <w:sz w:val="22"/>
          <w:szCs w:val="22"/>
          <w:color w:val="auto"/>
        </w:rPr>
        <w:t>none of the Bank or any of its advisers have given any representation or warranty or other assurance to it in relation to any Transaction Document or the transactions contemplated by any Transaction Document, including as to Tax or other effects; it has not relied on the Bank or any of its advisers or on any conduct (including any recommendation) by the Bank or any of its advisers; and it has obtained its own independent financial, Tax and legal advice.</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Further assurances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Whenever the Bank requests a Transaction Party to do anything:</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98</w:t>
      </w:r>
    </w:p>
    <w:p>
      <w:pPr>
        <w:sectPr>
          <w:pgSz w:w="11900" w:h="16838" w:orient="portrait"/>
          <w:cols w:equalWidth="0" w:num="1">
            <w:col w:w="9400"/>
          </w:cols>
          <w:pgMar w:left="1260" w:top="1177" w:right="1246" w:bottom="0" w:gutter="0" w:footer="0" w:header="0"/>
          <w:type w:val="continuous"/>
        </w:sectPr>
      </w:pPr>
    </w:p>
    <w:bookmarkStart w:id="240" w:name="page241"/>
    <w:bookmarkEnd w:id="240"/>
    <w:p>
      <w:pPr>
        <w:ind w:right="60"/>
        <w:spacing w:after="0" w:line="344" w:lineRule="auto"/>
        <w:rPr>
          <w:sz w:val="20"/>
          <w:szCs w:val="20"/>
          <w:color w:val="auto"/>
        </w:rPr>
      </w:pPr>
      <w:r>
        <w:rPr>
          <w:rFonts w:ascii="Arial" w:cs="Arial" w:eastAsia="Arial" w:hAnsi="Arial"/>
          <w:sz w:val="20"/>
          <w:szCs w:val="20"/>
          <w:color w:val="auto"/>
        </w:rPr>
        <w:t>to ensure any Transaction Document (or any security interest (as defined in the PPS Act) or other Security Interest, right or power under any Transaction Document) is fully effective, enforceable and perfected with the contemplated priority; for more satisfactorily assuring or securing to the Bank the property the subject of any such security interest or other Security in a manner consistent with the Transaction Documents; or for aiding the exercise of any right or power in any Transaction Document,</w:t>
      </w:r>
    </w:p>
    <w:p>
      <w:pPr>
        <w:spacing w:after="0" w:line="2" w:lineRule="exact"/>
        <w:rPr>
          <w:sz w:val="20"/>
          <w:szCs w:val="20"/>
          <w:color w:val="auto"/>
        </w:rPr>
      </w:pPr>
    </w:p>
    <w:p>
      <w:pPr>
        <w:ind w:right="180"/>
        <w:spacing w:after="0" w:line="344" w:lineRule="auto"/>
        <w:rPr>
          <w:sz w:val="20"/>
          <w:szCs w:val="20"/>
          <w:color w:val="auto"/>
        </w:rPr>
      </w:pPr>
      <w:r>
        <w:rPr>
          <w:rFonts w:ascii="Arial" w:cs="Arial" w:eastAsia="Arial" w:hAnsi="Arial"/>
          <w:sz w:val="20"/>
          <w:szCs w:val="20"/>
          <w:color w:val="auto"/>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p>
    <w:p>
      <w:pPr>
        <w:spacing w:after="0" w:line="230" w:lineRule="auto"/>
        <w:rPr>
          <w:sz w:val="20"/>
          <w:szCs w:val="20"/>
          <w:color w:val="auto"/>
        </w:rPr>
      </w:pPr>
      <w:r>
        <w:rPr>
          <w:rFonts w:ascii="Arial" w:cs="Arial" w:eastAsia="Arial" w:hAnsi="Arial"/>
          <w:sz w:val="22"/>
          <w:szCs w:val="22"/>
          <w:b w:val="1"/>
          <w:bCs w:val="1"/>
          <w:color w:val="auto"/>
        </w:rPr>
        <w:t>Exclusion of certain provisions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Where there is a Security Interest under any Transaction Document:</w:t>
      </w:r>
    </w:p>
    <w:p>
      <w:pPr>
        <w:spacing w:after="0" w:line="88" w:lineRule="exact"/>
        <w:rPr>
          <w:sz w:val="20"/>
          <w:szCs w:val="20"/>
          <w:color w:val="auto"/>
        </w:rPr>
      </w:pPr>
    </w:p>
    <w:p>
      <w:pPr>
        <w:ind w:right="80"/>
        <w:spacing w:after="0" w:line="310" w:lineRule="auto"/>
        <w:rPr>
          <w:sz w:val="20"/>
          <w:szCs w:val="20"/>
          <w:color w:val="auto"/>
        </w:rPr>
      </w:pPr>
      <w:r>
        <w:rPr>
          <w:rFonts w:ascii="Arial" w:cs="Arial" w:eastAsia="Arial" w:hAnsi="Arial"/>
          <w:sz w:val="22"/>
          <w:szCs w:val="22"/>
          <w:color w:val="auto"/>
        </w:rPr>
        <w:t>to the extent permitted, sections 142 and 143 of the PPS Act are excluded in full and will not apply to that Security Interest and the Bank need not comply with sections 95, 118, 121(4), 125, 130 ,132(3)(d), and 132(4) of the PPS Act; and each Transaction Party waives its right to receive from the Bank any notice required under s157 of the PPS Act or the provisions of the PPS Act referred to in s144 of the PPS Act, except section 135.</w:t>
      </w:r>
    </w:p>
    <w:p>
      <w:pPr>
        <w:spacing w:after="0" w:line="346" w:lineRule="exact"/>
        <w:rPr>
          <w:sz w:val="20"/>
          <w:szCs w:val="20"/>
          <w:color w:val="auto"/>
        </w:rPr>
      </w:pPr>
    </w:p>
    <w:p>
      <w:pPr>
        <w:ind w:right="40"/>
        <w:spacing w:after="0" w:line="302" w:lineRule="auto"/>
        <w:rPr>
          <w:sz w:val="20"/>
          <w:szCs w:val="20"/>
          <w:color w:val="auto"/>
        </w:rPr>
      </w:pPr>
      <w:r>
        <w:rPr>
          <w:rFonts w:ascii="Arial" w:cs="Arial" w:eastAsia="Arial" w:hAnsi="Arial"/>
          <w:sz w:val="22"/>
          <w:szCs w:val="22"/>
          <w:color w:val="auto"/>
        </w:rPr>
        <w:t>This does not affect any rights a person has or would have other than by reason of the PPS Act and applies despite any other clause in any Transaction Document.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changes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Each Transaction Party agrees to notify the Bank at least 14 days before:</w:t>
      </w:r>
    </w:p>
    <w:p>
      <w:pPr>
        <w:spacing w:after="0" w:line="88" w:lineRule="exact"/>
        <w:rPr>
          <w:sz w:val="20"/>
          <w:szCs w:val="20"/>
          <w:color w:val="auto"/>
        </w:rPr>
      </w:pPr>
    </w:p>
    <w:p>
      <w:pPr>
        <w:ind w:right="80"/>
        <w:spacing w:after="0" w:line="346" w:lineRule="auto"/>
        <w:rPr>
          <w:sz w:val="20"/>
          <w:szCs w:val="20"/>
          <w:color w:val="auto"/>
        </w:rPr>
      </w:pPr>
      <w:r>
        <w:rPr>
          <w:rFonts w:ascii="Arial" w:cs="Arial" w:eastAsia="Arial" w:hAnsi="Arial"/>
          <w:sz w:val="20"/>
          <w:szCs w:val="20"/>
          <w:color w:val="auto"/>
        </w:rPr>
        <w:t>a Transaction Party (or if the Transaction Party is trustee of a Trust or a partner of a partnership, the Trust or the partnership) changes its name; 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 the Borrower becomes trustee of a trust, or a partner in a partnership, which is not expressly contemplated in the Transaction Documents.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88" w:lineRule="exact"/>
        <w:rPr>
          <w:sz w:val="20"/>
          <w:szCs w:val="20"/>
          <w:color w:val="auto"/>
        </w:rPr>
      </w:pPr>
    </w:p>
    <w:p>
      <w:pPr>
        <w:spacing w:after="0" w:line="327" w:lineRule="auto"/>
        <w:rPr>
          <w:sz w:val="20"/>
          <w:szCs w:val="20"/>
          <w:color w:val="auto"/>
        </w:rPr>
      </w:pPr>
      <w:r>
        <w:rPr>
          <w:rFonts w:ascii="Arial" w:cs="Arial" w:eastAsia="Arial" w:hAnsi="Arial"/>
          <w:sz w:val="21"/>
          <w:szCs w:val="21"/>
          <w:color w:val="auto"/>
        </w:rPr>
        <w:t>A notice, demand, certification, process or other communication relating to a Transaction Document must be in writing in English and may be given by an Authorised Representative of the sender.</w:t>
      </w:r>
    </w:p>
    <w:p>
      <w:pPr>
        <w:spacing w:after="0" w:line="231" w:lineRule="auto"/>
        <w:rPr>
          <w:sz w:val="20"/>
          <w:szCs w:val="20"/>
          <w:color w:val="auto"/>
        </w:rPr>
      </w:pPr>
      <w:r>
        <w:rPr>
          <w:rFonts w:ascii="Arial" w:cs="Arial" w:eastAsia="Arial" w:hAnsi="Arial"/>
          <w:sz w:val="22"/>
          <w:szCs w:val="22"/>
          <w:b w:val="1"/>
          <w:bCs w:val="1"/>
          <w:color w:val="auto"/>
        </w:rPr>
        <w:t>How to give a communication</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In addition to any other lawful means, a communication may be given by being:</w:t>
      </w:r>
    </w:p>
    <w:p>
      <w:pPr>
        <w:spacing w:after="0" w:line="88" w:lineRule="exact"/>
        <w:rPr>
          <w:sz w:val="20"/>
          <w:szCs w:val="20"/>
          <w:color w:val="auto"/>
        </w:rPr>
      </w:pPr>
    </w:p>
    <w:p>
      <w:pPr>
        <w:jc w:val="both"/>
        <w:ind w:right="140"/>
        <w:spacing w:after="0" w:line="307" w:lineRule="auto"/>
        <w:rPr>
          <w:sz w:val="20"/>
          <w:szCs w:val="20"/>
          <w:color w:val="auto"/>
        </w:rPr>
      </w:pPr>
      <w:r>
        <w:rPr>
          <w:rFonts w:ascii="Arial" w:cs="Arial" w:eastAsia="Arial" w:hAnsi="Arial"/>
          <w:sz w:val="22"/>
          <w:szCs w:val="22"/>
          <w:color w:val="auto"/>
        </w:rPr>
        <w:t>personally delivered; left at the party’s current address for notices; sent to the party’s current address for notices by pre-paid ordinary mail or, if the address is outside Australia, by pre-paid airmail; or emailed to the email address last notified by the addressee.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Particulars for delivery of notices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particulars for delivery of notices are initially:</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Transaction Parties:</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 xml:space="preserve">As set out in </w:t>
      </w:r>
      <w:r>
        <w:rPr>
          <w:rFonts w:ascii="Arial" w:cs="Arial" w:eastAsia="Arial" w:hAnsi="Arial"/>
          <w:sz w:val="22"/>
          <w:szCs w:val="22"/>
          <w:b w:val="1"/>
          <w:bCs w:val="1"/>
          <w:color w:val="auto"/>
        </w:rPr>
        <w:t>schedule 1.</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Bank:</w:t>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59 / 98</w:t>
      </w:r>
    </w:p>
    <w:p>
      <w:pPr>
        <w:sectPr>
          <w:pgSz w:w="11900" w:h="16838" w:orient="portrait"/>
          <w:cols w:equalWidth="0" w:num="1">
            <w:col w:w="9400"/>
          </w:cols>
          <w:pgMar w:left="1260" w:top="1177" w:right="1246" w:bottom="0" w:gutter="0" w:footer="0" w:header="0"/>
          <w:type w:val="continuous"/>
        </w:sectPr>
      </w:pPr>
    </w:p>
    <w:bookmarkStart w:id="241" w:name="page242"/>
    <w:bookmarkEnd w:id="241"/>
    <w:p>
      <w:pPr>
        <w:ind w:left="1440"/>
        <w:spacing w:after="0"/>
        <w:tabs>
          <w:tab w:leader="none" w:pos="2500" w:val="left"/>
        </w:tabs>
        <w:rPr>
          <w:sz w:val="20"/>
          <w:szCs w:val="20"/>
          <w:color w:val="auto"/>
        </w:rPr>
      </w:pPr>
      <w:r>
        <w:rPr>
          <w:rFonts w:ascii="Arial" w:cs="Arial" w:eastAsia="Arial" w:hAnsi="Arial"/>
          <w:sz w:val="24"/>
          <w:szCs w:val="24"/>
          <w:color w:val="auto"/>
        </w:rPr>
        <w:t>Address:</w:t>
      </w:r>
      <w:r>
        <w:rPr>
          <w:sz w:val="20"/>
          <w:szCs w:val="20"/>
          <w:color w:val="auto"/>
        </w:rPr>
        <w:tab/>
      </w:r>
      <w:r>
        <w:rPr>
          <w:rFonts w:ascii="Arial" w:cs="Arial" w:eastAsia="Arial" w:hAnsi="Arial"/>
          <w:sz w:val="22"/>
          <w:szCs w:val="22"/>
          <w:color w:val="auto"/>
        </w:rPr>
        <w:t>Level 17, 395 Bourke Street, Melbourne, Victoria 300</w:t>
      </w:r>
    </w:p>
    <w:p>
      <w:pPr>
        <w:spacing w:after="0" w:line="8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Attention:  Meagan Zwerwer</w:t>
      </w:r>
    </w:p>
    <w:p>
      <w:pPr>
        <w:spacing w:after="0" w:line="77" w:lineRule="exact"/>
        <w:rPr>
          <w:sz w:val="20"/>
          <w:szCs w:val="20"/>
          <w:color w:val="auto"/>
        </w:rPr>
      </w:pPr>
    </w:p>
    <w:p>
      <w:pPr>
        <w:ind w:left="1440"/>
        <w:spacing w:after="0"/>
        <w:tabs>
          <w:tab w:leader="none" w:pos="2320" w:val="left"/>
        </w:tabs>
        <w:rPr>
          <w:sz w:val="20"/>
          <w:szCs w:val="20"/>
          <w:color w:val="auto"/>
        </w:rPr>
      </w:pPr>
      <w:r>
        <w:rPr>
          <w:rFonts w:ascii="Arial" w:cs="Arial" w:eastAsia="Arial" w:hAnsi="Arial"/>
          <w:sz w:val="22"/>
          <w:szCs w:val="22"/>
          <w:color w:val="auto"/>
        </w:rPr>
        <w:t>Email:</w:t>
        <w:tab/>
        <w:t>Meagan.Zwerwer@nab.com.au</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Each party may change its particulars for delivery of notices by notice to each other party.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by post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Subject to clause 19.6, a communication is given if posted:</w:t>
      </w:r>
    </w:p>
    <w:p>
      <w:pPr>
        <w:spacing w:after="0" w:line="88" w:lineRule="exact"/>
        <w:rPr>
          <w:sz w:val="20"/>
          <w:szCs w:val="20"/>
          <w:color w:val="auto"/>
        </w:rPr>
      </w:pPr>
    </w:p>
    <w:p>
      <w:pPr>
        <w:ind w:right="2480"/>
        <w:spacing w:after="0" w:line="302" w:lineRule="auto"/>
        <w:rPr>
          <w:sz w:val="20"/>
          <w:szCs w:val="20"/>
          <w:color w:val="auto"/>
        </w:rPr>
      </w:pPr>
      <w:r>
        <w:rPr>
          <w:rFonts w:ascii="Arial" w:cs="Arial" w:eastAsia="Arial" w:hAnsi="Arial"/>
          <w:sz w:val="22"/>
          <w:szCs w:val="22"/>
          <w:color w:val="auto"/>
        </w:rPr>
        <w:t>within Australia to an Australian address, three Business Days after posting; or in any other case, ten Business Days after posting.</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by email</w:t>
      </w:r>
    </w:p>
    <w:p>
      <w:pPr>
        <w:spacing w:after="0" w:line="88" w:lineRule="exact"/>
        <w:rPr>
          <w:sz w:val="20"/>
          <w:szCs w:val="20"/>
          <w:color w:val="auto"/>
        </w:rPr>
      </w:pPr>
    </w:p>
    <w:p>
      <w:pPr>
        <w:ind w:right="120"/>
        <w:spacing w:after="0" w:line="327"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color w:val="auto"/>
        </w:rPr>
        <w:t>clause 19.6</w:t>
      </w:r>
      <w:r>
        <w:rPr>
          <w:rFonts w:ascii="Arial" w:cs="Arial" w:eastAsia="Arial" w:hAnsi="Arial"/>
          <w:sz w:val="21"/>
          <w:szCs w:val="21"/>
          <w:color w:val="auto"/>
        </w:rPr>
        <w:t>, a communication is given if sent by email, when received and opened by the recipient.. After hours communications If a communication is given: after 5.00 pm in the place of receipt; or on a day which is a Saturday, Sunday or bank or public holiday in the place of receipt,</w:t>
      </w:r>
    </w:p>
    <w:p>
      <w:pPr>
        <w:spacing w:after="0" w:line="3" w:lineRule="exact"/>
        <w:rPr>
          <w:sz w:val="20"/>
          <w:szCs w:val="20"/>
          <w:color w:val="auto"/>
        </w:rPr>
      </w:pPr>
    </w:p>
    <w:p>
      <w:pPr>
        <w:ind w:right="420"/>
        <w:spacing w:after="0" w:line="302" w:lineRule="auto"/>
        <w:rPr>
          <w:sz w:val="20"/>
          <w:szCs w:val="20"/>
          <w:color w:val="auto"/>
        </w:rPr>
      </w:pPr>
      <w:r>
        <w:rPr>
          <w:rFonts w:ascii="Arial" w:cs="Arial" w:eastAsia="Arial" w:hAnsi="Arial"/>
          <w:sz w:val="22"/>
          <w:szCs w:val="22"/>
          <w:color w:val="auto"/>
        </w:rPr>
        <w:t>it is taken as having been given at 9.00 am on the next day which is not a Saturday, Sunday or bank or public holiday in that place.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 service</w:t>
      </w:r>
    </w:p>
    <w:p>
      <w:pPr>
        <w:spacing w:after="0" w:line="8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Any process or other document relating to litigation, administrative or arbitral proceedings relating to a Transaction Document may be served on a party to this document by any method contemplated by this </w:t>
      </w:r>
      <w:r>
        <w:rPr>
          <w:rFonts w:ascii="Arial" w:cs="Arial" w:eastAsia="Arial" w:hAnsi="Arial"/>
          <w:sz w:val="22"/>
          <w:szCs w:val="22"/>
          <w:b w:val="1"/>
          <w:bCs w:val="1"/>
          <w:color w:val="auto"/>
        </w:rPr>
        <w:t xml:space="preserve">clause 19.7 </w:t>
      </w:r>
      <w:r>
        <w:rPr>
          <w:rFonts w:ascii="Arial" w:cs="Arial" w:eastAsia="Arial" w:hAnsi="Arial"/>
          <w:sz w:val="22"/>
          <w:szCs w:val="22"/>
          <w:color w:val="auto"/>
        </w:rPr>
        <w:t>or in accordance with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60"/>
        <w:spacing w:after="0"/>
        <w:rPr>
          <w:sz w:val="20"/>
          <w:szCs w:val="20"/>
          <w:color w:val="auto"/>
        </w:rPr>
      </w:pPr>
      <w:r>
        <w:rPr>
          <w:rFonts w:ascii="Arial" w:cs="Arial" w:eastAsia="Arial" w:hAnsi="Arial"/>
          <w:sz w:val="40"/>
          <w:szCs w:val="40"/>
          <w:color w:val="auto"/>
        </w:rPr>
        <w:t>Schedule 1</w:t>
      </w:r>
    </w:p>
    <w:p>
      <w:pPr>
        <w:spacing w:after="0" w:line="200" w:lineRule="exact"/>
        <w:rPr>
          <w:sz w:val="20"/>
          <w:szCs w:val="20"/>
          <w:color w:val="auto"/>
        </w:rPr>
      </w:pPr>
    </w:p>
    <w:p>
      <w:pPr>
        <w:spacing w:after="0" w:line="284" w:lineRule="exact"/>
        <w:rPr>
          <w:sz w:val="20"/>
          <w:szCs w:val="20"/>
          <w:color w:val="auto"/>
        </w:rPr>
      </w:pPr>
    </w:p>
    <w:p>
      <w:pPr>
        <w:ind w:left="188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624840</wp:posOffset>
            </wp:positionV>
            <wp:extent cx="4291330"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400"/>
          </w:cols>
          <w:pgMar w:left="1260" w:top="117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98</w:t>
      </w:r>
    </w:p>
    <w:p>
      <w:pPr>
        <w:sectPr>
          <w:pgSz w:w="11900" w:h="16838" w:orient="portrait"/>
          <w:cols w:equalWidth="0" w:num="1">
            <w:col w:w="9400"/>
          </w:cols>
          <w:pgMar w:left="1260" w:top="1170" w:right="1246" w:bottom="0" w:gutter="0" w:footer="0" w:header="0"/>
          <w:type w:val="continuous"/>
        </w:sectPr>
      </w:pPr>
    </w:p>
    <w:bookmarkStart w:id="242" w:name="page243"/>
    <w:bookmarkEnd w:id="242"/>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680"/>
        <w:spacing w:after="0"/>
        <w:rPr>
          <w:sz w:val="20"/>
          <w:szCs w:val="20"/>
          <w:color w:val="auto"/>
        </w:rPr>
      </w:pPr>
      <w:r>
        <w:rPr>
          <w:rFonts w:ascii="Arial" w:cs="Arial" w:eastAsia="Arial" w:hAnsi="Arial"/>
          <w:sz w:val="40"/>
          <w:szCs w:val="40"/>
          <w:color w:val="auto"/>
        </w:rPr>
        <w:t>Schedule 2</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565150</wp:posOffset>
            </wp:positionV>
            <wp:extent cx="429133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98</w:t>
      </w:r>
    </w:p>
    <w:p>
      <w:pPr>
        <w:sectPr>
          <w:pgSz w:w="11900" w:h="16838" w:orient="portrait"/>
          <w:cols w:equalWidth="0" w:num="1">
            <w:col w:w="9026"/>
          </w:cols>
          <w:pgMar w:left="1440" w:top="1157" w:right="1440" w:bottom="0" w:gutter="0" w:footer="0" w:header="0"/>
          <w:type w:val="continuous"/>
        </w:sectPr>
      </w:pPr>
    </w:p>
    <w:bookmarkStart w:id="243" w:name="page244"/>
    <w:bookmarkEnd w:id="243"/>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2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3</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535940</wp:posOffset>
            </wp:positionV>
            <wp:extent cx="4291330"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98</w:t>
      </w:r>
    </w:p>
    <w:p>
      <w:pPr>
        <w:sectPr>
          <w:pgSz w:w="11900" w:h="16838" w:orient="portrait"/>
          <w:cols w:equalWidth="0" w:num="1">
            <w:col w:w="9026"/>
          </w:cols>
          <w:pgMar w:left="1440" w:top="1157" w:right="1440" w:bottom="0" w:gutter="0" w:footer="0" w:header="0"/>
          <w:type w:val="continuous"/>
        </w:sectPr>
      </w:pPr>
    </w:p>
    <w:bookmarkStart w:id="244" w:name="page245"/>
    <w:bookmarkEnd w:id="244"/>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4</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554990</wp:posOffset>
            </wp:positionV>
            <wp:extent cx="429133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98</w:t>
      </w:r>
    </w:p>
    <w:p>
      <w:pPr>
        <w:sectPr>
          <w:pgSz w:w="11900" w:h="16838" w:orient="portrait"/>
          <w:cols w:equalWidth="0" w:num="1">
            <w:col w:w="9026"/>
          </w:cols>
          <w:pgMar w:left="1440" w:top="1157" w:right="1440" w:bottom="0" w:gutter="0" w:footer="0" w:header="0"/>
          <w:type w:val="continuous"/>
        </w:sectPr>
      </w:pPr>
    </w:p>
    <w:bookmarkStart w:id="245" w:name="page246"/>
    <w:bookmarkEnd w:id="245"/>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2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5</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764540</wp:posOffset>
            </wp:positionV>
            <wp:extent cx="42913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98</w:t>
      </w:r>
    </w:p>
    <w:p>
      <w:pPr>
        <w:sectPr>
          <w:pgSz w:w="11900" w:h="16838" w:orient="portrait"/>
          <w:cols w:equalWidth="0" w:num="1">
            <w:col w:w="9026"/>
          </w:cols>
          <w:pgMar w:left="1440" w:top="1157" w:right="1440" w:bottom="0" w:gutter="0" w:footer="0" w:header="0"/>
          <w:type w:val="continuous"/>
        </w:sectPr>
      </w:pPr>
    </w:p>
    <w:bookmarkStart w:id="246" w:name="page247"/>
    <w:bookmarkEnd w:id="246"/>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345440</wp:posOffset>
            </wp:positionV>
            <wp:extent cx="42913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98</w:t>
      </w:r>
    </w:p>
    <w:p>
      <w:pPr>
        <w:sectPr>
          <w:pgSz w:w="11900" w:h="16838" w:orient="portrait"/>
          <w:cols w:equalWidth="0" w:num="1">
            <w:col w:w="9026"/>
          </w:cols>
          <w:pgMar w:left="1440" w:top="1157" w:right="1440" w:bottom="0" w:gutter="0" w:footer="0" w:header="0"/>
          <w:type w:val="continuous"/>
        </w:sectPr>
      </w:pPr>
    </w:p>
    <w:bookmarkStart w:id="247" w:name="page248"/>
    <w:bookmarkEnd w:id="247"/>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7</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554990</wp:posOffset>
            </wp:positionV>
            <wp:extent cx="429133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98</w:t>
      </w:r>
    </w:p>
    <w:p>
      <w:pPr>
        <w:sectPr>
          <w:pgSz w:w="11900" w:h="16838" w:orient="portrait"/>
          <w:cols w:equalWidth="0" w:num="1">
            <w:col w:w="9026"/>
          </w:cols>
          <w:pgMar w:left="1440" w:top="1157" w:right="1440" w:bottom="0" w:gutter="0" w:footer="0" w:header="0"/>
          <w:type w:val="continuous"/>
        </w:sectPr>
      </w:pPr>
    </w:p>
    <w:bookmarkStart w:id="248" w:name="page249"/>
    <w:bookmarkEnd w:id="248"/>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8</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95"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332105</wp:posOffset>
            </wp:positionV>
            <wp:extent cx="42913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98</w:t>
      </w:r>
    </w:p>
    <w:p>
      <w:pPr>
        <w:sectPr>
          <w:pgSz w:w="11900" w:h="16838" w:orient="portrait"/>
          <w:cols w:equalWidth="0" w:num="1">
            <w:col w:w="9026"/>
          </w:cols>
          <w:pgMar w:left="1440" w:top="1157" w:right="1440" w:bottom="0" w:gutter="0" w:footer="0" w:header="0"/>
          <w:type w:val="continuous"/>
        </w:sectPr>
      </w:pPr>
    </w:p>
    <w:bookmarkStart w:id="249" w:name="page250"/>
    <w:bookmarkEnd w:id="249"/>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9</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554990</wp:posOffset>
            </wp:positionV>
            <wp:extent cx="4291330"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68 / 98</w:t>
      </w:r>
    </w:p>
    <w:p>
      <w:pPr>
        <w:sectPr>
          <w:pgSz w:w="11900" w:h="16838" w:orient="portrait"/>
          <w:cols w:equalWidth="0" w:num="1">
            <w:col w:w="9026"/>
          </w:cols>
          <w:pgMar w:left="1440" w:top="1157" w:right="1440" w:bottom="0" w:gutter="0" w:footer="0" w:header="0"/>
          <w:type w:val="continuous"/>
        </w:sectPr>
      </w:pPr>
    </w:p>
    <w:bookmarkStart w:id="250" w:name="page251"/>
    <w:bookmarkEnd w:id="250"/>
    <w:p>
      <w:pPr>
        <w:jc w:val="right"/>
        <w:ind w:right="1126"/>
        <w:spacing w:after="0"/>
        <w:rPr>
          <w:sz w:val="20"/>
          <w:szCs w:val="20"/>
          <w:color w:val="auto"/>
        </w:rPr>
      </w:pPr>
      <w:r>
        <w:rPr>
          <w:rFonts w:ascii="Arial" w:cs="Arial" w:eastAsia="Arial" w:hAnsi="Arial"/>
          <w:sz w:val="16"/>
          <w:szCs w:val="16"/>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00"/>
        <w:spacing w:after="0"/>
        <w:rPr>
          <w:sz w:val="20"/>
          <w:szCs w:val="20"/>
          <w:color w:val="auto"/>
        </w:rPr>
      </w:pPr>
      <w:r>
        <w:rPr>
          <w:rFonts w:ascii="Arial" w:cs="Arial" w:eastAsia="Arial" w:hAnsi="Arial"/>
          <w:sz w:val="40"/>
          <w:szCs w:val="40"/>
          <w:color w:val="auto"/>
        </w:rPr>
        <w:t>Schedule 10</w:t>
      </w: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764540</wp:posOffset>
            </wp:positionV>
            <wp:extent cx="429133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4291330" cy="19050"/>
                    </a:xfrm>
                    <a:prstGeom prst="rect">
                      <a:avLst/>
                    </a:prstGeom>
                    <a:noFill/>
                  </pic:spPr>
                </pic:pic>
              </a:graphicData>
            </a:graphic>
          </wp:anchor>
        </w:drawing>
      </w:r>
    </w:p>
    <w:p>
      <w:pPr>
        <w:sectPr>
          <w:pgSz w:w="11900" w:h="16838" w:orient="portrait"/>
          <w:cols w:equalWidth="0" w:num="1">
            <w:col w:w="9026"/>
          </w:cols>
          <w:pgMar w:left="1440" w:top="115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69 / 98</w:t>
      </w:r>
    </w:p>
    <w:p>
      <w:pPr>
        <w:sectPr>
          <w:pgSz w:w="11900" w:h="16838" w:orient="portrait"/>
          <w:cols w:equalWidth="0" w:num="1">
            <w:col w:w="9026"/>
          </w:cols>
          <w:pgMar w:left="1440" w:top="1157" w:right="1440" w:bottom="0" w:gutter="0" w:footer="0" w:header="0"/>
          <w:type w:val="continuous"/>
        </w:sectPr>
      </w:pPr>
    </w:p>
    <w:bookmarkStart w:id="251" w:name="page252"/>
    <w:bookmarkEnd w:id="251"/>
    <w:p>
      <w:pPr>
        <w:ind w:left="5160"/>
        <w:spacing w:after="0"/>
        <w:rPr>
          <w:sz w:val="20"/>
          <w:szCs w:val="20"/>
          <w:color w:val="auto"/>
        </w:rPr>
      </w:pPr>
      <w:r>
        <w:rPr>
          <w:rFonts w:ascii="Arial" w:cs="Arial" w:eastAsia="Arial" w:hAnsi="Arial"/>
          <w:sz w:val="24"/>
          <w:szCs w:val="24"/>
          <w:b w:val="1"/>
          <w:bCs w:val="1"/>
          <w:color w:val="auto"/>
        </w:rPr>
        <w:t>EXECUTION VERSION</w:t>
      </w:r>
    </w:p>
    <w:p>
      <w:pPr>
        <w:spacing w:after="0" w:line="282" w:lineRule="exact"/>
        <w:rPr>
          <w:sz w:val="20"/>
          <w:szCs w:val="20"/>
          <w:color w:val="auto"/>
        </w:rPr>
      </w:pPr>
    </w:p>
    <w:p>
      <w:pPr>
        <w:jc w:val="both"/>
        <w:ind w:left="900" w:right="2260"/>
        <w:spacing w:after="0" w:line="313" w:lineRule="auto"/>
        <w:rPr>
          <w:sz w:val="20"/>
          <w:szCs w:val="20"/>
          <w:color w:val="auto"/>
        </w:rPr>
      </w:pPr>
      <w:r>
        <w:rPr>
          <w:rFonts w:ascii="Arial" w:cs="Arial" w:eastAsia="Arial" w:hAnsi="Arial"/>
          <w:sz w:val="22"/>
          <w:szCs w:val="22"/>
          <w:b w:val="1"/>
          <w:bCs w:val="1"/>
          <w:u w:val="single" w:color="auto"/>
          <w:color w:val="auto"/>
        </w:rPr>
        <w:t>PORTIONS OF THIS EXHIBIT HAVE BEEN OMITTED BECAUSE THEY ARE BOTH (I) NOT MATERIAL AND (II) WOULD BE COMPETITIVELY HARMFUL IF PUBLICLY DISCLOSED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ELEVENTH AMENDMENT TO</w:t>
      </w:r>
    </w:p>
    <w:p>
      <w:pPr>
        <w:spacing w:after="0" w:line="78" w:lineRule="exact"/>
        <w:rPr>
          <w:sz w:val="20"/>
          <w:szCs w:val="20"/>
          <w:color w:val="auto"/>
        </w:rPr>
      </w:pPr>
    </w:p>
    <w:p>
      <w:pPr>
        <w:ind w:left="2300"/>
        <w:spacing w:after="0"/>
        <w:rPr>
          <w:sz w:val="20"/>
          <w:szCs w:val="20"/>
          <w:color w:val="auto"/>
        </w:rPr>
      </w:pPr>
      <w:r>
        <w:rPr>
          <w:rFonts w:ascii="Arial" w:cs="Arial" w:eastAsia="Arial" w:hAnsi="Arial"/>
          <w:sz w:val="22"/>
          <w:szCs w:val="22"/>
          <w:b w:val="1"/>
          <w:bCs w:val="1"/>
          <w:u w:val="single" w:color="auto"/>
          <w:color w:val="auto"/>
        </w:rPr>
        <w:t>SECOND AMENDED AND RESTATED CREDIT AGREEMENT</w:t>
      </w:r>
    </w:p>
    <w:p>
      <w:pPr>
        <w:spacing w:after="0" w:line="368"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THIS ELEVENTH AMENDMENT TO SECOND AMENDED AND RESTATED CREDIT</w:t>
      </w:r>
    </w:p>
    <w:p>
      <w:pPr>
        <w:spacing w:after="0" w:line="49" w:lineRule="exact"/>
        <w:rPr>
          <w:sz w:val="20"/>
          <w:szCs w:val="20"/>
          <w:color w:val="auto"/>
        </w:rPr>
      </w:pPr>
    </w:p>
    <w:p>
      <w:pPr>
        <w:ind w:left="900"/>
        <w:spacing w:after="0" w:line="302" w:lineRule="auto"/>
        <w:rPr>
          <w:sz w:val="20"/>
          <w:szCs w:val="20"/>
          <w:color w:val="auto"/>
        </w:rPr>
      </w:pPr>
      <w:r>
        <w:rPr>
          <w:rFonts w:ascii="Arial" w:cs="Arial" w:eastAsia="Arial" w:hAnsi="Arial"/>
          <w:sz w:val="22"/>
          <w:szCs w:val="22"/>
          <w:color w:val="auto"/>
        </w:rPr>
        <w:t>AGREEMENT (this “</w:t>
      </w:r>
      <w:r>
        <w:rPr>
          <w:rFonts w:ascii="Arial" w:cs="Arial" w:eastAsia="Arial" w:hAnsi="Arial"/>
          <w:sz w:val="22"/>
          <w:szCs w:val="22"/>
          <w:u w:val="single" w:color="auto"/>
          <w:color w:val="auto"/>
        </w:rPr>
        <w:t>Eleventh Amendment</w:t>
      </w:r>
      <w:r>
        <w:rPr>
          <w:rFonts w:ascii="Arial" w:cs="Arial" w:eastAsia="Arial" w:hAnsi="Arial"/>
          <w:sz w:val="22"/>
          <w:szCs w:val="22"/>
          <w:color w:val="auto"/>
        </w:rPr>
        <w:t>”), dated as of December 29, 2025, is entered into by and among Consolidated Amusement Holdings, LLC, a Nevada limited liability company</w:t>
      </w:r>
    </w:p>
    <w:p>
      <w:pPr>
        <w:spacing w:after="0" w:line="23" w:lineRule="exact"/>
        <w:rPr>
          <w:sz w:val="20"/>
          <w:szCs w:val="20"/>
          <w:color w:val="auto"/>
        </w:rPr>
      </w:pPr>
    </w:p>
    <w:p>
      <w:pPr>
        <w:jc w:val="both"/>
        <w:ind w:left="900" w:right="2640"/>
        <w:spacing w:after="0" w:line="31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Borrower</w:t>
      </w:r>
      <w:r>
        <w:rPr>
          <w:rFonts w:ascii="Arial" w:cs="Arial" w:eastAsia="Arial" w:hAnsi="Arial"/>
          <w:sz w:val="22"/>
          <w:szCs w:val="22"/>
          <w:color w:val="auto"/>
        </w:rPr>
        <w:t>”), the Affiliates of the Borrower identified on the signature pages hereto (collectively, the “</w:t>
      </w:r>
      <w:r>
        <w:rPr>
          <w:rFonts w:ascii="Arial" w:cs="Arial" w:eastAsia="Arial" w:hAnsi="Arial"/>
          <w:sz w:val="22"/>
          <w:szCs w:val="22"/>
          <w:u w:val="single" w:color="auto"/>
          <w:color w:val="auto"/>
        </w:rPr>
        <w:t>Guarantors</w:t>
      </w:r>
      <w:r>
        <w:rPr>
          <w:rFonts w:ascii="Arial" w:cs="Arial" w:eastAsia="Arial" w:hAnsi="Arial"/>
          <w:sz w:val="22"/>
          <w:szCs w:val="22"/>
          <w:color w:val="auto"/>
        </w:rPr>
        <w:t>”), the financial institutions identified on the signature pages 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Bank of America, N.A., as Administrative Agent, Swingline Lender and L/ C Issuer, with reference to the following facts:</w:t>
      </w:r>
    </w:p>
    <w:p>
      <w:pPr>
        <w:spacing w:after="0" w:line="24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RECITALS</w:t>
      </w:r>
    </w:p>
    <w:p>
      <w:pPr>
        <w:sectPr>
          <w:pgSz w:w="11900" w:h="16838" w:orient="portrait"/>
          <w:cols w:equalWidth="0" w:num="1">
            <w:col w:w="10440"/>
          </w:cols>
          <w:pgMar w:left="1440" w:top="1247"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70 / 98</w:t>
      </w:r>
    </w:p>
    <w:p>
      <w:pPr>
        <w:sectPr>
          <w:pgSz w:w="11900" w:h="16838" w:orient="portrait"/>
          <w:cols w:equalWidth="0" w:num="1">
            <w:col w:w="10440"/>
          </w:cols>
          <w:pgMar w:left="1440" w:top="1247" w:right="26" w:bottom="0" w:gutter="0" w:footer="0" w:header="0"/>
          <w:type w:val="continuous"/>
        </w:sectPr>
      </w:pPr>
    </w:p>
    <w:bookmarkStart w:id="252" w:name="page253"/>
    <w:bookmarkEnd w:id="252"/>
    <w:p>
      <w:pPr>
        <w:ind w:left="1700"/>
        <w:spacing w:after="0"/>
        <w:rPr>
          <w:sz w:val="20"/>
          <w:szCs w:val="20"/>
          <w:color w:val="auto"/>
        </w:rPr>
      </w:pPr>
      <w:r>
        <w:rPr>
          <w:rFonts w:ascii="Arial" w:cs="Arial" w:eastAsia="Arial" w:hAnsi="Arial"/>
          <w:sz w:val="22"/>
          <w:szCs w:val="22"/>
          <w:color w:val="auto"/>
        </w:rPr>
        <w:t>A.</w:t>
      </w:r>
    </w:p>
    <w:p>
      <w:pPr>
        <w:spacing w:after="0" w:line="77"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The Borrower, the Guarantors, the Lenders, and Bank of America as Administrative Agent,</w:t>
      </w:r>
    </w:p>
    <w:p>
      <w:pPr>
        <w:spacing w:after="0" w:line="88" w:lineRule="exact"/>
        <w:rPr>
          <w:sz w:val="20"/>
          <w:szCs w:val="20"/>
          <w:color w:val="auto"/>
        </w:rPr>
      </w:pPr>
    </w:p>
    <w:p>
      <w:pPr>
        <w:ind w:left="1000" w:right="2360"/>
        <w:spacing w:after="0" w:line="307" w:lineRule="auto"/>
        <w:rPr>
          <w:sz w:val="20"/>
          <w:szCs w:val="20"/>
          <w:color w:val="auto"/>
        </w:rPr>
      </w:pPr>
      <w:r>
        <w:rPr>
          <w:rFonts w:ascii="Arial" w:cs="Arial" w:eastAsia="Arial" w:hAnsi="Arial"/>
          <w:sz w:val="22"/>
          <w:szCs w:val="22"/>
          <w:color w:val="auto"/>
        </w:rPr>
        <w:t>Swingline Lender and L/ C Issuer are parties to a Second Amended and Restated Credit Agreement, dated as of March 6, 2020, as amended by a Waiver and First Amendment to</w:t>
      </w:r>
    </w:p>
    <w:p>
      <w:pPr>
        <w:spacing w:after="0" w:line="8" w:lineRule="exact"/>
        <w:rPr>
          <w:sz w:val="20"/>
          <w:szCs w:val="20"/>
          <w:color w:val="auto"/>
        </w:rPr>
      </w:pPr>
    </w:p>
    <w:p>
      <w:pPr>
        <w:ind w:left="1000"/>
        <w:spacing w:after="0"/>
        <w:tabs>
          <w:tab w:leader="none" w:pos="3060" w:val="left"/>
          <w:tab w:leader="none" w:pos="5340" w:val="left"/>
          <w:tab w:leader="none" w:pos="7080" w:val="left"/>
        </w:tabs>
        <w:rPr>
          <w:sz w:val="20"/>
          <w:szCs w:val="20"/>
          <w:color w:val="auto"/>
        </w:rPr>
      </w:pPr>
      <w:r>
        <w:rPr>
          <w:rFonts w:ascii="Arial" w:cs="Arial" w:eastAsia="Arial" w:hAnsi="Arial"/>
          <w:sz w:val="22"/>
          <w:szCs w:val="22"/>
          <w:color w:val="auto"/>
        </w:rPr>
        <w:t>Second</w:t>
      </w:r>
      <w:r>
        <w:rPr>
          <w:sz w:val="20"/>
          <w:szCs w:val="20"/>
          <w:color w:val="auto"/>
        </w:rPr>
        <w:tab/>
      </w:r>
      <w:r>
        <w:rPr>
          <w:rFonts w:ascii="Arial" w:cs="Arial" w:eastAsia="Arial" w:hAnsi="Arial"/>
          <w:sz w:val="22"/>
          <w:szCs w:val="22"/>
          <w:color w:val="auto"/>
        </w:rPr>
        <w:t>Amended</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18"/>
          <w:szCs w:val="18"/>
          <w:color w:val="auto"/>
        </w:rPr>
        <w:t>Restated</w:t>
      </w:r>
    </w:p>
    <w:p>
      <w:pPr>
        <w:spacing w:after="0" w:line="88" w:lineRule="exact"/>
        <w:rPr>
          <w:sz w:val="20"/>
          <w:szCs w:val="20"/>
          <w:color w:val="auto"/>
        </w:rPr>
      </w:pPr>
    </w:p>
    <w:p>
      <w:pPr>
        <w:ind w:left="1000"/>
        <w:spacing w:after="0" w:line="307" w:lineRule="auto"/>
        <w:rPr>
          <w:sz w:val="20"/>
          <w:szCs w:val="20"/>
          <w:color w:val="auto"/>
        </w:rPr>
      </w:pPr>
      <w:r>
        <w:rPr>
          <w:rFonts w:ascii="Arial" w:cs="Arial" w:eastAsia="Arial" w:hAnsi="Arial"/>
          <w:sz w:val="22"/>
          <w:szCs w:val="22"/>
          <w:color w:val="auto"/>
        </w:rPr>
        <w:t>Credit Agreement dated as of May 15, 2020 (the “</w:t>
      </w:r>
      <w:r>
        <w:rPr>
          <w:rFonts w:ascii="Arial" w:cs="Arial" w:eastAsia="Arial" w:hAnsi="Arial"/>
          <w:sz w:val="22"/>
          <w:szCs w:val="22"/>
          <w:u w:val="single" w:color="auto"/>
          <w:color w:val="auto"/>
        </w:rPr>
        <w:t>First Amendment</w:t>
      </w:r>
      <w:r>
        <w:rPr>
          <w:rFonts w:ascii="Arial" w:cs="Arial" w:eastAsia="Arial" w:hAnsi="Arial"/>
          <w:sz w:val="22"/>
          <w:szCs w:val="22"/>
          <w:color w:val="auto"/>
        </w:rPr>
        <w:t>”), by a Waiver and Second Amendmen to Second Amended and Restated Credit Agreement dated as of August 7, 2020 (the “</w:t>
      </w:r>
      <w:r>
        <w:rPr>
          <w:rFonts w:ascii="Arial" w:cs="Arial" w:eastAsia="Arial" w:hAnsi="Arial"/>
          <w:sz w:val="22"/>
          <w:szCs w:val="22"/>
          <w:u w:val="single" w:color="auto"/>
          <w:color w:val="auto"/>
        </w:rPr>
        <w:t>Second Amendment</w:t>
      </w:r>
      <w:r>
        <w:rPr>
          <w:rFonts w:ascii="Arial" w:cs="Arial" w:eastAsia="Arial" w:hAnsi="Arial"/>
          <w:sz w:val="22"/>
          <w:szCs w:val="22"/>
          <w:color w:val="auto"/>
        </w:rPr>
        <w:t>”), by a Waiver and Third Amendment to</w:t>
      </w:r>
    </w:p>
    <w:p>
      <w:pPr>
        <w:spacing w:after="0" w:line="8" w:lineRule="exact"/>
        <w:rPr>
          <w:sz w:val="20"/>
          <w:szCs w:val="20"/>
          <w:color w:val="auto"/>
        </w:rPr>
      </w:pPr>
    </w:p>
    <w:p>
      <w:pPr>
        <w:ind w:left="1000"/>
        <w:spacing w:after="0"/>
        <w:tabs>
          <w:tab w:leader="none" w:pos="2180" w:val="left"/>
          <w:tab w:leader="none" w:pos="3600" w:val="left"/>
          <w:tab w:leader="none" w:pos="4460" w:val="left"/>
          <w:tab w:leader="none" w:pos="5780" w:val="left"/>
          <w:tab w:leader="none" w:pos="6880" w:val="left"/>
        </w:tabs>
        <w:rPr>
          <w:sz w:val="20"/>
          <w:szCs w:val="20"/>
          <w:color w:val="auto"/>
        </w:rPr>
      </w:pPr>
      <w:r>
        <w:rPr>
          <w:rFonts w:ascii="Arial" w:cs="Arial" w:eastAsia="Arial" w:hAnsi="Arial"/>
          <w:sz w:val="22"/>
          <w:szCs w:val="22"/>
          <w:color w:val="auto"/>
        </w:rPr>
        <w:t>Second</w:t>
      </w:r>
      <w:r>
        <w:rPr>
          <w:sz w:val="20"/>
          <w:szCs w:val="20"/>
          <w:color w:val="auto"/>
        </w:rPr>
        <w:tab/>
      </w:r>
      <w:r>
        <w:rPr>
          <w:rFonts w:ascii="Arial" w:cs="Arial" w:eastAsia="Arial" w:hAnsi="Arial"/>
          <w:sz w:val="22"/>
          <w:szCs w:val="22"/>
          <w:color w:val="auto"/>
        </w:rPr>
        <w:t>Amended</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Restated</w:t>
      </w:r>
      <w:r>
        <w:rPr>
          <w:sz w:val="20"/>
          <w:szCs w:val="20"/>
          <w:color w:val="auto"/>
        </w:rPr>
        <w:tab/>
      </w:r>
      <w:r>
        <w:rPr>
          <w:rFonts w:ascii="Arial" w:cs="Arial" w:eastAsia="Arial" w:hAnsi="Arial"/>
          <w:sz w:val="22"/>
          <w:szCs w:val="22"/>
          <w:color w:val="auto"/>
        </w:rPr>
        <w:t>Credit</w:t>
      </w:r>
      <w:r>
        <w:rPr>
          <w:sz w:val="20"/>
          <w:szCs w:val="20"/>
          <w:color w:val="auto"/>
        </w:rPr>
        <w:tab/>
      </w:r>
      <w:r>
        <w:rPr>
          <w:rFonts w:ascii="Arial" w:cs="Arial" w:eastAsia="Arial" w:hAnsi="Arial"/>
          <w:sz w:val="20"/>
          <w:szCs w:val="20"/>
          <w:color w:val="auto"/>
        </w:rPr>
        <w:t>Agreement</w:t>
      </w:r>
    </w:p>
    <w:p>
      <w:pPr>
        <w:spacing w:after="0" w:line="88" w:lineRule="exact"/>
        <w:rPr>
          <w:sz w:val="20"/>
          <w:szCs w:val="20"/>
          <w:color w:val="auto"/>
        </w:rPr>
      </w:pPr>
    </w:p>
    <w:p>
      <w:pPr>
        <w:ind w:left="1000"/>
        <w:spacing w:after="0" w:line="302" w:lineRule="auto"/>
        <w:rPr>
          <w:sz w:val="20"/>
          <w:szCs w:val="20"/>
          <w:color w:val="auto"/>
        </w:rPr>
      </w:pPr>
      <w:r>
        <w:rPr>
          <w:rFonts w:ascii="Arial" w:cs="Arial" w:eastAsia="Arial" w:hAnsi="Arial"/>
          <w:sz w:val="22"/>
          <w:szCs w:val="22"/>
          <w:color w:val="auto"/>
        </w:rPr>
        <w:t>dated as of November 8, 2021 (the “</w:t>
      </w:r>
      <w:r>
        <w:rPr>
          <w:rFonts w:ascii="Arial" w:cs="Arial" w:eastAsia="Arial" w:hAnsi="Arial"/>
          <w:sz w:val="22"/>
          <w:szCs w:val="22"/>
          <w:u w:val="single" w:color="auto"/>
          <w:color w:val="auto"/>
        </w:rPr>
        <w:t>Third Amendment</w:t>
      </w:r>
      <w:r>
        <w:rPr>
          <w:rFonts w:ascii="Arial" w:cs="Arial" w:eastAsia="Arial" w:hAnsi="Arial"/>
          <w:sz w:val="22"/>
          <w:szCs w:val="22"/>
          <w:color w:val="auto"/>
        </w:rPr>
        <w:t>”), by a Fourth Amendment to Second Amended and Restated Credit Agreement dated as of November 29, 2022 (the “</w:t>
      </w:r>
      <w:r>
        <w:rPr>
          <w:rFonts w:ascii="Arial" w:cs="Arial" w:eastAsia="Arial" w:hAnsi="Arial"/>
          <w:sz w:val="22"/>
          <w:szCs w:val="22"/>
          <w:u w:val="single" w:color="auto"/>
          <w:color w:val="auto"/>
        </w:rPr>
        <w:t>Fourth</w:t>
      </w:r>
    </w:p>
    <w:p>
      <w:pPr>
        <w:spacing w:after="0" w:line="23" w:lineRule="exact"/>
        <w:rPr>
          <w:sz w:val="20"/>
          <w:szCs w:val="20"/>
          <w:color w:val="auto"/>
        </w:rPr>
      </w:pPr>
    </w:p>
    <w:p>
      <w:pPr>
        <w:jc w:val="both"/>
        <w:ind w:left="1000" w:right="2560"/>
        <w:spacing w:after="0" w:line="327" w:lineRule="auto"/>
        <w:rPr>
          <w:sz w:val="20"/>
          <w:szCs w:val="20"/>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by a Waiver and Fifth Amendment to Second Amended and Restated Credit Agreement dated as of March 30, 2023 (the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w:t>
      </w:r>
      <w:r>
        <w:rPr>
          <w:rFonts w:ascii="Arial" w:cs="Arial" w:eastAsia="Arial" w:hAnsi="Arial"/>
          <w:sz w:val="21"/>
          <w:szCs w:val="21"/>
          <w:color w:val="auto"/>
        </w:rPr>
        <w:t>”), by a Waiver and Sixth Amendment to Second Amended and Restated Credit Agreement dated as of March 27, 2024 (the “</w:t>
      </w:r>
      <w:r>
        <w:rPr>
          <w:rFonts w:ascii="Arial" w:cs="Arial" w:eastAsia="Arial" w:hAnsi="Arial"/>
          <w:sz w:val="21"/>
          <w:szCs w:val="21"/>
          <w:u w:val="single" w:color="auto"/>
          <w:color w:val="auto"/>
        </w:rPr>
        <w:t>Sixth</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w:t>
      </w:r>
      <w:r>
        <w:rPr>
          <w:rFonts w:ascii="Arial" w:cs="Arial" w:eastAsia="Arial" w:hAnsi="Arial"/>
          <w:sz w:val="21"/>
          <w:szCs w:val="21"/>
          <w:color w:val="auto"/>
        </w:rPr>
        <w:t>”), by a Waiver and Seventh Amendment to Second Amended and Restated Credit Agreement dated as of October 3, 2024 (the “</w:t>
      </w:r>
      <w:r>
        <w:rPr>
          <w:rFonts w:ascii="Arial" w:cs="Arial" w:eastAsia="Arial" w:hAnsi="Arial"/>
          <w:sz w:val="21"/>
          <w:szCs w:val="21"/>
          <w:u w:val="single" w:color="auto"/>
          <w:color w:val="auto"/>
        </w:rPr>
        <w:t>Seventh Amendment</w:t>
      </w:r>
      <w:r>
        <w:rPr>
          <w:rFonts w:ascii="Arial" w:cs="Arial" w:eastAsia="Arial" w:hAnsi="Arial"/>
          <w:sz w:val="21"/>
          <w:szCs w:val="21"/>
          <w:color w:val="auto"/>
        </w:rPr>
        <w:t>”), by an Eighth Amendment to Second Amended and Restated Credit Agreement dated as of January 3, 2025 (the “</w:t>
      </w:r>
      <w:r>
        <w:rPr>
          <w:rFonts w:ascii="Arial" w:cs="Arial" w:eastAsia="Arial" w:hAnsi="Arial"/>
          <w:sz w:val="21"/>
          <w:szCs w:val="21"/>
          <w:u w:val="single" w:color="auto"/>
          <w:color w:val="auto"/>
        </w:rPr>
        <w:t>Eighth</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w:t>
      </w:r>
      <w:r>
        <w:rPr>
          <w:rFonts w:ascii="Arial" w:cs="Arial" w:eastAsia="Arial" w:hAnsi="Arial"/>
          <w:sz w:val="21"/>
          <w:szCs w:val="21"/>
          <w:color w:val="auto"/>
        </w:rPr>
        <w:t>”), by a Ninth Amendment to Second Amended and Restated Credit Agreement dated as of April 3, 2025 (the “</w:t>
      </w:r>
      <w:r>
        <w:rPr>
          <w:rFonts w:ascii="Arial" w:cs="Arial" w:eastAsia="Arial" w:hAnsi="Arial"/>
          <w:sz w:val="21"/>
          <w:szCs w:val="21"/>
          <w:u w:val="single" w:color="auto"/>
          <w:color w:val="auto"/>
        </w:rPr>
        <w:t>Ninth Amendment</w:t>
      </w:r>
      <w:r>
        <w:rPr>
          <w:rFonts w:ascii="Arial" w:cs="Arial" w:eastAsia="Arial" w:hAnsi="Arial"/>
          <w:sz w:val="21"/>
          <w:szCs w:val="21"/>
          <w:color w:val="auto"/>
        </w:rPr>
        <w:t>”), and by a Tenth Amendment to Second Amended and Restated Credit Agreement dated as of July 3, 2025 (the “</w:t>
      </w:r>
      <w:r>
        <w:rPr>
          <w:rFonts w:ascii="Arial" w:cs="Arial" w:eastAsia="Arial" w:hAnsi="Arial"/>
          <w:sz w:val="21"/>
          <w:szCs w:val="21"/>
          <w:u w:val="single" w:color="auto"/>
          <w:color w:val="auto"/>
        </w:rPr>
        <w:t>Tenth Amendment</w:t>
      </w:r>
      <w:r>
        <w:rPr>
          <w:rFonts w:ascii="Arial" w:cs="Arial" w:eastAsia="Arial" w:hAnsi="Arial"/>
          <w:sz w:val="21"/>
          <w:szCs w:val="21"/>
          <w:color w:val="auto"/>
        </w:rPr>
        <w:t>”) and</w:t>
      </w:r>
    </w:p>
    <w:p>
      <w:pPr>
        <w:spacing w:after="0" w:line="12" w:lineRule="exact"/>
        <w:rPr>
          <w:sz w:val="20"/>
          <w:szCs w:val="20"/>
          <w:color w:val="auto"/>
        </w:rPr>
      </w:pPr>
    </w:p>
    <w:p>
      <w:pPr>
        <w:ind w:left="1000"/>
        <w:spacing w:after="0" w:line="310" w:lineRule="auto"/>
        <w:rPr>
          <w:sz w:val="20"/>
          <w:szCs w:val="20"/>
          <w:color w:val="auto"/>
        </w:rPr>
      </w:pPr>
      <w:r>
        <w:rPr>
          <w:rFonts w:ascii="Arial" w:cs="Arial" w:eastAsia="Arial" w:hAnsi="Arial"/>
          <w:sz w:val="22"/>
          <w:szCs w:val="22"/>
          <w:color w:val="auto"/>
        </w:rPr>
        <w:t>collectively with the First Amendment, Second Amendment, Third Amendment, Fourth Amendment, Fifth Amendment, Sixth Amendment, Seventh Amendment, Eighth Amendment, Ninth Amendment, and Second Amended and Restated Credit Agreement,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provide a revolving credit facility to the Borrower in an aggregate amount of up to $55,000,000.00.</w:t>
      </w:r>
    </w:p>
    <w:p>
      <w:pPr>
        <w:spacing w:after="0" w:line="293" w:lineRule="exact"/>
        <w:rPr>
          <w:sz w:val="20"/>
          <w:szCs w:val="20"/>
          <w:color w:val="auto"/>
        </w:rPr>
      </w:pPr>
    </w:p>
    <w:p>
      <w:pPr>
        <w:jc w:val="both"/>
        <w:ind w:left="1000" w:right="2600" w:firstLine="699"/>
        <w:spacing w:after="0" w:line="218" w:lineRule="auto"/>
        <w:tabs>
          <w:tab w:leader="none" w:pos="287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parties are entering into this Eleventh Amendment by which the Lenders will amend and supplement the Credit Agreement as set forth below.</w:t>
      </w:r>
    </w:p>
    <w:p>
      <w:pPr>
        <w:spacing w:after="0" w:line="301" w:lineRule="exact"/>
        <w:rPr>
          <w:sz w:val="20"/>
          <w:szCs w:val="20"/>
          <w:color w:val="auto"/>
        </w:rPr>
      </w:pPr>
    </w:p>
    <w:p>
      <w:pPr>
        <w:ind w:left="1620"/>
        <w:spacing w:after="0"/>
        <w:rPr>
          <w:sz w:val="20"/>
          <w:szCs w:val="20"/>
          <w:color w:val="auto"/>
        </w:rPr>
      </w:pPr>
      <w:r>
        <w:rPr>
          <w:rFonts w:ascii="Arial" w:cs="Arial" w:eastAsia="Arial" w:hAnsi="Arial"/>
          <w:sz w:val="22"/>
          <w:szCs w:val="22"/>
          <w:i w:val="1"/>
          <w:iCs w:val="1"/>
          <w:color w:val="auto"/>
        </w:rPr>
        <w:t>NOW, THEREFORE</w:t>
      </w:r>
      <w:r>
        <w:rPr>
          <w:rFonts w:ascii="Arial" w:cs="Arial" w:eastAsia="Arial" w:hAnsi="Arial"/>
          <w:sz w:val="22"/>
          <w:szCs w:val="22"/>
          <w:color w:val="auto"/>
        </w:rPr>
        <w:t>, the parties hereby agree as follows:</w:t>
      </w:r>
    </w:p>
    <w:p>
      <w:pPr>
        <w:spacing w:after="0" w:line="285"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1.</w:t>
      </w:r>
    </w:p>
    <w:p>
      <w:pPr>
        <w:ind w:left="1000"/>
        <w:spacing w:after="0" w:line="210" w:lineRule="auto"/>
        <w:rPr>
          <w:sz w:val="20"/>
          <w:szCs w:val="20"/>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initially  capitalized  terms  used  in  this</w:t>
      </w:r>
    </w:p>
    <w:p>
      <w:pPr>
        <w:ind w:left="1000"/>
        <w:spacing w:after="0" w:line="210" w:lineRule="auto"/>
        <w:tabs>
          <w:tab w:leader="none" w:pos="6740" w:val="left"/>
        </w:tabs>
        <w:rPr>
          <w:sz w:val="20"/>
          <w:szCs w:val="20"/>
          <w:color w:val="auto"/>
        </w:rPr>
      </w:pPr>
      <w:r>
        <w:rPr>
          <w:rFonts w:ascii="Arial" w:cs="Arial" w:eastAsia="Arial" w:hAnsi="Arial"/>
          <w:sz w:val="22"/>
          <w:szCs w:val="22"/>
          <w:color w:val="auto"/>
        </w:rPr>
        <w:t>Eleventh</w:t>
      </w:r>
      <w:r>
        <w:rPr>
          <w:sz w:val="20"/>
          <w:szCs w:val="20"/>
          <w:color w:val="auto"/>
        </w:rPr>
        <w:tab/>
      </w:r>
      <w:r>
        <w:rPr>
          <w:rFonts w:ascii="Arial" w:cs="Arial" w:eastAsia="Arial" w:hAnsi="Arial"/>
          <w:sz w:val="22"/>
          <w:szCs w:val="22"/>
          <w:color w:val="auto"/>
        </w:rPr>
        <w:t>Amendment</w:t>
      </w:r>
    </w:p>
    <w:p>
      <w:pPr>
        <w:spacing w:after="0" w:line="1" w:lineRule="exact"/>
        <w:rPr>
          <w:sz w:val="20"/>
          <w:szCs w:val="20"/>
          <w:color w:val="auto"/>
        </w:rPr>
      </w:pPr>
    </w:p>
    <w:p>
      <w:pPr>
        <w:ind w:left="1000" w:right="20"/>
        <w:spacing w:after="0" w:line="220" w:lineRule="auto"/>
        <w:rPr>
          <w:sz w:val="20"/>
          <w:szCs w:val="20"/>
          <w:color w:val="auto"/>
        </w:rPr>
      </w:pPr>
      <w:r>
        <w:rPr>
          <w:rFonts w:ascii="Arial" w:cs="Arial" w:eastAsia="Arial" w:hAnsi="Arial"/>
          <w:sz w:val="22"/>
          <w:szCs w:val="22"/>
          <w:color w:val="auto"/>
        </w:rPr>
        <w:t>without definition (including, without limitation, in the recitals to this Eleventh Amendment) shall have the respective meanings set forth for such terms in the Credit Agreement.</w:t>
      </w:r>
    </w:p>
    <w:p>
      <w:pPr>
        <w:spacing w:after="0" w:line="350" w:lineRule="exact"/>
        <w:rPr>
          <w:sz w:val="20"/>
          <w:szCs w:val="20"/>
          <w:color w:val="auto"/>
        </w:rPr>
      </w:pPr>
    </w:p>
    <w:p>
      <w:pPr>
        <w:ind w:left="2460" w:hanging="771"/>
        <w:spacing w:after="0"/>
        <w:tabs>
          <w:tab w:leader="none" w:pos="2460"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Credit Agreement</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0"/>
          <w:szCs w:val="20"/>
          <w:u w:val="single" w:color="auto"/>
          <w:color w:val="auto"/>
        </w:rPr>
        <w:t>Extension of Maturity Date</w:t>
      </w:r>
      <w:r>
        <w:rPr>
          <w:rFonts w:ascii="Arial" w:cs="Arial" w:eastAsia="Arial" w:hAnsi="Arial"/>
          <w:sz w:val="20"/>
          <w:szCs w:val="20"/>
          <w:color w:val="auto"/>
        </w:rPr>
        <w:t>. The definition of “Maturity Date” set forth in Section</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1.01 of the Credit Agreement is amended and restated to read as follows:</w:t>
      </w:r>
    </w:p>
    <w:p>
      <w:pPr>
        <w:sectPr>
          <w:pgSz w:w="11900" w:h="16838" w:orient="portrait"/>
          <w:cols w:equalWidth="0" w:num="1">
            <w:col w:w="10460"/>
          </w:cols>
          <w:pgMar w:left="1440" w:top="1211"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71 / 98</w:t>
      </w:r>
    </w:p>
    <w:p>
      <w:pPr>
        <w:sectPr>
          <w:pgSz w:w="11900" w:h="16838" w:orient="portrait"/>
          <w:cols w:equalWidth="0" w:num="1">
            <w:col w:w="10460"/>
          </w:cols>
          <w:pgMar w:left="1440" w:top="1211" w:right="6" w:bottom="0" w:gutter="0" w:footer="0" w:header="0"/>
          <w:type w:val="continuous"/>
        </w:sectPr>
      </w:pPr>
    </w:p>
    <w:bookmarkStart w:id="253" w:name="page254"/>
    <w:bookmarkEnd w:id="253"/>
    <w:p>
      <w:pPr>
        <w:ind w:left="900"/>
        <w:spacing w:after="0"/>
        <w:rPr>
          <w:sz w:val="20"/>
          <w:szCs w:val="20"/>
          <w:color w:val="auto"/>
        </w:rPr>
      </w:pPr>
      <w:r>
        <w:rPr>
          <w:rFonts w:ascii="Arial" w:cs="Arial" w:eastAsia="Arial" w:hAnsi="Arial"/>
          <w:sz w:val="14"/>
          <w:szCs w:val="14"/>
          <w:color w:val="auto"/>
        </w:rPr>
        <w:t>#90642192v1&lt;BN&gt; - Eleventh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335280</wp:posOffset>
            </wp:positionV>
            <wp:extent cx="459613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026"/>
          </w:cols>
          <w:pgMar w:left="1440" w:top="14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72 / 98</w:t>
      </w:r>
    </w:p>
    <w:p>
      <w:pPr>
        <w:sectPr>
          <w:pgSz w:w="11900" w:h="16838" w:orient="portrait"/>
          <w:cols w:equalWidth="0" w:num="1">
            <w:col w:w="9026"/>
          </w:cols>
          <w:pgMar w:left="1440" w:top="1405" w:right="1440" w:bottom="0" w:gutter="0" w:footer="0" w:header="0"/>
          <w:type w:val="continuous"/>
        </w:sectPr>
      </w:pPr>
    </w:p>
    <w:bookmarkStart w:id="254" w:name="page255"/>
    <w:bookmarkEnd w:id="254"/>
    <w:p>
      <w:pPr>
        <w:ind w:left="2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means the date that is September 18, 2026;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w:t>
      </w:r>
    </w:p>
    <w:p>
      <w:pPr>
        <w:ind w:left="2340"/>
        <w:spacing w:after="0" w:line="211" w:lineRule="auto"/>
        <w:rPr>
          <w:sz w:val="20"/>
          <w:szCs w:val="20"/>
          <w:color w:val="auto"/>
        </w:rPr>
      </w:pPr>
      <w:r>
        <w:rPr>
          <w:rFonts w:ascii="Arial" w:cs="Arial" w:eastAsia="Arial" w:hAnsi="Arial"/>
          <w:sz w:val="22"/>
          <w:szCs w:val="22"/>
          <w:color w:val="auto"/>
        </w:rPr>
        <w:t>if such date is not a Business Day, the Maturity Date</w:t>
      </w:r>
    </w:p>
    <w:p>
      <w:pPr>
        <w:ind w:left="2340"/>
        <w:spacing w:after="0" w:line="229" w:lineRule="auto"/>
        <w:rPr>
          <w:sz w:val="20"/>
          <w:szCs w:val="20"/>
          <w:color w:val="auto"/>
        </w:rPr>
      </w:pPr>
      <w:r>
        <w:rPr>
          <w:rFonts w:ascii="Arial" w:cs="Arial" w:eastAsia="Arial" w:hAnsi="Arial"/>
          <w:sz w:val="22"/>
          <w:szCs w:val="22"/>
          <w:color w:val="auto"/>
        </w:rPr>
        <w:t>shall be the next preceding Business Day.”</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2.2.</w:t>
      </w:r>
    </w:p>
    <w:p>
      <w:pPr>
        <w:ind w:left="1680" w:right="1700"/>
        <w:spacing w:after="0" w:line="220" w:lineRule="auto"/>
        <w:rPr>
          <w:sz w:val="20"/>
          <w:szCs w:val="20"/>
          <w:color w:val="auto"/>
        </w:rPr>
      </w:pPr>
      <w:r>
        <w:rPr>
          <w:rFonts w:ascii="Arial" w:cs="Arial" w:eastAsia="Arial" w:hAnsi="Arial"/>
          <w:sz w:val="22"/>
          <w:szCs w:val="22"/>
          <w:u w:val="single" w:color="auto"/>
          <w:color w:val="auto"/>
        </w:rPr>
        <w:t>Dispositions of Real Property</w:t>
      </w:r>
      <w:r>
        <w:rPr>
          <w:rFonts w:ascii="Arial" w:cs="Arial" w:eastAsia="Arial" w:hAnsi="Arial"/>
          <w:sz w:val="22"/>
          <w:szCs w:val="22"/>
          <w:color w:val="auto"/>
        </w:rPr>
        <w:t>. Sections 2.05(b)B. of the Credit Agreement is amended and restated to read as follows:</w:t>
      </w:r>
    </w:p>
    <w:p>
      <w:pPr>
        <w:spacing w:after="0" w:line="303" w:lineRule="exact"/>
        <w:rPr>
          <w:sz w:val="20"/>
          <w:szCs w:val="20"/>
          <w:color w:val="auto"/>
        </w:rPr>
      </w:pPr>
    </w:p>
    <w:p>
      <w:pPr>
        <w:ind w:left="2340"/>
        <w:spacing w:after="0"/>
        <w:tabs>
          <w:tab w:leader="none" w:pos="2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0"/>
          <w:szCs w:val="20"/>
          <w:color w:val="auto"/>
        </w:rPr>
        <w:t>RESERVED.”</w:t>
      </w:r>
    </w:p>
    <w:p>
      <w:pPr>
        <w:spacing w:after="0" w:line="325" w:lineRule="exact"/>
        <w:rPr>
          <w:sz w:val="20"/>
          <w:szCs w:val="20"/>
          <w:color w:val="auto"/>
        </w:rPr>
      </w:pPr>
    </w:p>
    <w:p>
      <w:pPr>
        <w:ind w:left="2340"/>
        <w:spacing w:after="0" w:line="307" w:lineRule="auto"/>
        <w:rPr>
          <w:sz w:val="20"/>
          <w:szCs w:val="20"/>
          <w:color w:val="auto"/>
        </w:rPr>
      </w:pPr>
      <w:r>
        <w:rPr>
          <w:rFonts w:ascii="Arial" w:cs="Arial" w:eastAsia="Arial" w:hAnsi="Arial"/>
          <w:sz w:val="22"/>
          <w:szCs w:val="22"/>
          <w:color w:val="auto"/>
        </w:rPr>
        <w:t>For the avoidance of doubt, the Borrower Group’s obligation to pay the Net Property Sale Proceeds in the event of a sale of [***] shall remain in full force and effect.</w:t>
      </w:r>
    </w:p>
    <w:p>
      <w:pPr>
        <w:spacing w:after="0" w:line="22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2.3.</w:t>
      </w:r>
    </w:p>
    <w:p>
      <w:pPr>
        <w:ind w:left="1680" w:right="1400"/>
        <w:spacing w:after="0" w:line="220" w:lineRule="auto"/>
        <w:rPr>
          <w:sz w:val="20"/>
          <w:szCs w:val="20"/>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Section 2.08(a) of the Credit Agreement is amended and restated to read as follows:</w:t>
      </w:r>
    </w:p>
    <w:p>
      <w:pPr>
        <w:spacing w:after="0" w:line="301"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Interest</w:t>
      </w:r>
      <w:r>
        <w:rPr>
          <w:rFonts w:ascii="Arial" w:cs="Arial" w:eastAsia="Arial" w:hAnsi="Arial"/>
          <w:sz w:val="22"/>
          <w:szCs w:val="22"/>
          <w:color w:val="auto"/>
        </w:rPr>
        <w:t>. All Borrowings shall bear interest at the</w:t>
      </w:r>
    </w:p>
    <w:p>
      <w:pPr>
        <w:spacing w:after="0" w:line="77"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Base Rate. Subject to the provisions of Section</w:t>
      </w:r>
    </w:p>
    <w:p>
      <w:pPr>
        <w:spacing w:after="0" w:line="77"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2.08(b), through and including December 31, 2025,</w:t>
      </w:r>
    </w:p>
    <w:p>
      <w:pPr>
        <w:spacing w:after="0" w:line="77"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each Loan shall bear interest on the outstanding</w:t>
      </w:r>
    </w:p>
    <w:p>
      <w:pPr>
        <w:spacing w:after="0" w:line="77" w:lineRule="exact"/>
        <w:rPr>
          <w:sz w:val="20"/>
          <w:szCs w:val="20"/>
          <w:color w:val="auto"/>
        </w:rPr>
      </w:pPr>
    </w:p>
    <w:p>
      <w:pPr>
        <w:ind w:left="2340"/>
        <w:spacing w:after="0"/>
        <w:tabs>
          <w:tab w:leader="none" w:pos="3400" w:val="left"/>
          <w:tab w:leader="none" w:pos="4360" w:val="left"/>
          <w:tab w:leader="none" w:pos="5280" w:val="left"/>
          <w:tab w:leader="none" w:pos="5740" w:val="left"/>
          <w:tab w:leader="none" w:pos="6120" w:val="left"/>
          <w:tab w:leader="none" w:pos="6760" w:val="left"/>
        </w:tabs>
        <w:rPr>
          <w:sz w:val="20"/>
          <w:szCs w:val="20"/>
          <w:color w:val="auto"/>
        </w:rPr>
      </w:pPr>
      <w:r>
        <w:rPr>
          <w:rFonts w:ascii="Arial" w:cs="Arial" w:eastAsia="Arial" w:hAnsi="Arial"/>
          <w:sz w:val="22"/>
          <w:szCs w:val="22"/>
          <w:color w:val="auto"/>
        </w:rPr>
        <w:t>principal</w:t>
        <w:tab/>
        <w:t>amount</w:t>
        <w:tab/>
        <w:t>thereof</w:t>
        <w:tab/>
        <w:t>at</w:t>
        <w:tab/>
        <w:t>a</w:t>
        <w:tab/>
        <w:t>rate</w:t>
      </w:r>
      <w:r>
        <w:rPr>
          <w:sz w:val="20"/>
          <w:szCs w:val="20"/>
          <w:color w:val="auto"/>
        </w:rPr>
        <w:tab/>
      </w:r>
      <w:r>
        <w:rPr>
          <w:rFonts w:ascii="Arial" w:cs="Arial" w:eastAsia="Arial" w:hAnsi="Arial"/>
          <w:sz w:val="19"/>
          <w:szCs w:val="19"/>
          <w:color w:val="auto"/>
        </w:rPr>
        <w:t>per</w:t>
      </w:r>
    </w:p>
    <w:p>
      <w:pPr>
        <w:spacing w:after="0" w:line="88" w:lineRule="exact"/>
        <w:rPr>
          <w:sz w:val="20"/>
          <w:szCs w:val="20"/>
          <w:color w:val="auto"/>
        </w:rPr>
      </w:pPr>
    </w:p>
    <w:p>
      <w:pPr>
        <w:ind w:left="2340" w:right="620"/>
        <w:spacing w:after="0" w:line="307" w:lineRule="auto"/>
        <w:rPr>
          <w:sz w:val="20"/>
          <w:szCs w:val="20"/>
          <w:color w:val="auto"/>
        </w:rPr>
      </w:pPr>
      <w:r>
        <w:rPr>
          <w:rFonts w:ascii="Arial" w:cs="Arial" w:eastAsia="Arial" w:hAnsi="Arial"/>
          <w:sz w:val="22"/>
          <w:szCs w:val="22"/>
          <w:color w:val="auto"/>
        </w:rPr>
        <w:t>annum equal to the Base Rate plus two hundred fifty (250) basis points. Beginning January 1, 2026 and continuing through and including June 30, 2026, each Loan</w:t>
      </w:r>
    </w:p>
    <w:p>
      <w:pPr>
        <w:spacing w:after="0" w:line="19" w:lineRule="exact"/>
        <w:rPr>
          <w:sz w:val="20"/>
          <w:szCs w:val="20"/>
          <w:color w:val="auto"/>
        </w:rPr>
      </w:pPr>
    </w:p>
    <w:p>
      <w:pPr>
        <w:ind w:left="2340" w:right="700"/>
        <w:spacing w:after="0" w:line="310" w:lineRule="auto"/>
        <w:rPr>
          <w:sz w:val="20"/>
          <w:szCs w:val="20"/>
          <w:color w:val="auto"/>
        </w:rPr>
      </w:pPr>
      <w:r>
        <w:rPr>
          <w:rFonts w:ascii="Arial" w:cs="Arial" w:eastAsia="Arial" w:hAnsi="Arial"/>
          <w:sz w:val="22"/>
          <w:szCs w:val="22"/>
          <w:color w:val="auto"/>
        </w:rPr>
        <w:t>shall bear interest on the outstanding principal amount thereof at a rate per annum equal to the Base Rate plus three hundred fifty (350) basis points. Beginning July 1, 2026, each Loan shall bear interest on the outstanding principal amount thereof at a rate per annum equal to the Base Rate plus five hundred (500) basis points.”</w:t>
      </w:r>
    </w:p>
    <w:p>
      <w:pPr>
        <w:spacing w:after="0" w:line="294" w:lineRule="exact"/>
        <w:rPr>
          <w:sz w:val="20"/>
          <w:szCs w:val="20"/>
          <w:color w:val="auto"/>
        </w:rPr>
      </w:pPr>
    </w:p>
    <w:p>
      <w:pPr>
        <w:ind w:left="2860" w:hanging="451"/>
        <w:spacing w:after="0"/>
        <w:tabs>
          <w:tab w:leader="none" w:pos="28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Default Rate</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ind w:left="2400" w:right="1700" w:firstLine="720"/>
        <w:spacing w:after="0" w:line="302" w:lineRule="auto"/>
        <w:rPr>
          <w:sz w:val="20"/>
          <w:szCs w:val="20"/>
          <w:color w:val="auto"/>
        </w:rPr>
      </w:pPr>
      <w:r>
        <w:rPr>
          <w:rFonts w:ascii="Arial" w:cs="Arial" w:eastAsia="Arial" w:hAnsi="Arial"/>
          <w:sz w:val="22"/>
          <w:szCs w:val="22"/>
          <w:color w:val="auto"/>
        </w:rPr>
        <w:t>(i) If any amount of principal of any Loan is not paid when due (without regard to any applicable grace</w:t>
      </w:r>
    </w:p>
    <w:p>
      <w:pPr>
        <w:spacing w:after="0" w:line="12" w:lineRule="exact"/>
        <w:rPr>
          <w:sz w:val="20"/>
          <w:szCs w:val="20"/>
          <w:color w:val="auto"/>
        </w:rPr>
      </w:pPr>
    </w:p>
    <w:p>
      <w:pPr>
        <w:ind w:left="2400"/>
        <w:spacing w:after="0"/>
        <w:tabs>
          <w:tab w:leader="none" w:pos="3760" w:val="left"/>
          <w:tab w:leader="none" w:pos="5060" w:val="left"/>
          <w:tab w:leader="none" w:pos="5820" w:val="left"/>
          <w:tab w:leader="none" w:pos="6920" w:val="left"/>
          <w:tab w:leader="none" w:pos="8300" w:val="left"/>
        </w:tabs>
        <w:rPr>
          <w:sz w:val="20"/>
          <w:szCs w:val="20"/>
          <w:color w:val="auto"/>
        </w:rPr>
      </w:pPr>
      <w:r>
        <w:rPr>
          <w:rFonts w:ascii="Arial" w:cs="Arial" w:eastAsia="Arial" w:hAnsi="Arial"/>
          <w:sz w:val="22"/>
          <w:szCs w:val="22"/>
          <w:color w:val="auto"/>
        </w:rPr>
        <w:t>periods),</w:t>
      </w:r>
      <w:r>
        <w:rPr>
          <w:sz w:val="20"/>
          <w:szCs w:val="20"/>
          <w:color w:val="auto"/>
        </w:rPr>
        <w:tab/>
      </w:r>
      <w:r>
        <w:rPr>
          <w:rFonts w:ascii="Arial" w:cs="Arial" w:eastAsia="Arial" w:hAnsi="Arial"/>
          <w:sz w:val="22"/>
          <w:szCs w:val="22"/>
          <w:color w:val="auto"/>
        </w:rPr>
        <w:t>whether</w:t>
      </w:r>
      <w:r>
        <w:rPr>
          <w:sz w:val="20"/>
          <w:szCs w:val="20"/>
          <w:color w:val="auto"/>
        </w:rPr>
        <w:tab/>
      </w:r>
      <w:r>
        <w:rPr>
          <w:rFonts w:ascii="Arial" w:cs="Arial" w:eastAsia="Arial" w:hAnsi="Arial"/>
          <w:sz w:val="22"/>
          <w:szCs w:val="22"/>
          <w:color w:val="auto"/>
        </w:rPr>
        <w:t>at</w:t>
      </w:r>
      <w:r>
        <w:rPr>
          <w:sz w:val="20"/>
          <w:szCs w:val="20"/>
          <w:color w:val="auto"/>
        </w:rPr>
        <w:tab/>
      </w:r>
      <w:r>
        <w:rPr>
          <w:rFonts w:ascii="Arial" w:cs="Arial" w:eastAsia="Arial" w:hAnsi="Arial"/>
          <w:sz w:val="22"/>
          <w:szCs w:val="22"/>
          <w:color w:val="auto"/>
        </w:rPr>
        <w:t>stated</w:t>
      </w:r>
      <w:r>
        <w:rPr>
          <w:sz w:val="20"/>
          <w:szCs w:val="20"/>
          <w:color w:val="auto"/>
        </w:rPr>
        <w:tab/>
      </w:r>
      <w:r>
        <w:rPr>
          <w:rFonts w:ascii="Arial" w:cs="Arial" w:eastAsia="Arial" w:hAnsi="Arial"/>
          <w:sz w:val="22"/>
          <w:szCs w:val="22"/>
          <w:color w:val="auto"/>
        </w:rPr>
        <w:t>maturity,</w:t>
      </w:r>
      <w:r>
        <w:rPr>
          <w:sz w:val="20"/>
          <w:szCs w:val="20"/>
          <w:color w:val="auto"/>
        </w:rPr>
        <w:tab/>
      </w:r>
      <w:r>
        <w:rPr>
          <w:rFonts w:ascii="Arial" w:cs="Arial" w:eastAsia="Arial" w:hAnsi="Arial"/>
          <w:sz w:val="20"/>
          <w:szCs w:val="20"/>
          <w:color w:val="auto"/>
        </w:rPr>
        <w:t>by</w:t>
      </w:r>
    </w:p>
    <w:p>
      <w:pPr>
        <w:spacing w:after="0" w:line="88" w:lineRule="exact"/>
        <w:rPr>
          <w:sz w:val="20"/>
          <w:szCs w:val="20"/>
          <w:color w:val="auto"/>
        </w:rPr>
      </w:pPr>
    </w:p>
    <w:p>
      <w:pPr>
        <w:ind w:left="2400" w:right="520"/>
        <w:spacing w:after="0" w:line="307" w:lineRule="auto"/>
        <w:rPr>
          <w:sz w:val="20"/>
          <w:szCs w:val="20"/>
          <w:color w:val="auto"/>
        </w:rPr>
      </w:pPr>
      <w:r>
        <w:rPr>
          <w:rFonts w:ascii="Arial" w:cs="Arial" w:eastAsia="Arial" w:hAnsi="Arial"/>
          <w:sz w:val="22"/>
          <w:szCs w:val="22"/>
          <w:color w:val="auto"/>
        </w:rPr>
        <w:t>acceleration or otherwise, such amount shall thereafter bear interest at a fluctuating interest rate per annum at all times equal to the Default Rate to the fullest extent permitted by applicable Laws.</w:t>
      </w:r>
    </w:p>
    <w:p>
      <w:pPr>
        <w:sectPr>
          <w:pgSz w:w="11900" w:h="16838" w:orient="portrait"/>
          <w:cols w:equalWidth="0" w:num="1">
            <w:col w:w="10240"/>
          </w:cols>
          <w:pgMar w:left="1440" w:top="1201" w:right="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73 / 98</w:t>
      </w:r>
    </w:p>
    <w:p>
      <w:pPr>
        <w:sectPr>
          <w:pgSz w:w="11900" w:h="16838" w:orient="portrait"/>
          <w:cols w:equalWidth="0" w:num="1">
            <w:col w:w="10240"/>
          </w:cols>
          <w:pgMar w:left="1440" w:top="1201" w:right="226" w:bottom="0" w:gutter="0" w:footer="0" w:header="0"/>
          <w:type w:val="continuous"/>
        </w:sectPr>
      </w:pPr>
    </w:p>
    <w:bookmarkStart w:id="255" w:name="page256"/>
    <w:bookmarkEnd w:id="255"/>
    <w:p>
      <w:pPr>
        <w:spacing w:after="0" w:line="22" w:lineRule="exact"/>
        <w:rPr>
          <w:sz w:val="20"/>
          <w:szCs w:val="20"/>
          <w:color w:val="auto"/>
        </w:rPr>
      </w:pPr>
    </w:p>
    <w:p>
      <w:pPr>
        <w:ind w:left="2400" w:right="1120" w:firstLine="720"/>
        <w:spacing w:after="0" w:line="302" w:lineRule="auto"/>
        <w:rPr>
          <w:sz w:val="20"/>
          <w:szCs w:val="20"/>
          <w:color w:val="auto"/>
        </w:rPr>
      </w:pPr>
      <w:r>
        <w:rPr>
          <w:rFonts w:ascii="Arial" w:cs="Arial" w:eastAsia="Arial" w:hAnsi="Arial"/>
          <w:sz w:val="22"/>
          <w:szCs w:val="22"/>
          <w:color w:val="auto"/>
        </w:rPr>
        <w:t>(ii) If any amount (other than principal of any Loan) payable by the Borrower under any Loan Document is not</w:t>
      </w:r>
    </w:p>
    <w:p>
      <w:pPr>
        <w:spacing w:after="0" w:line="12" w:lineRule="exact"/>
        <w:rPr>
          <w:sz w:val="20"/>
          <w:szCs w:val="20"/>
          <w:color w:val="auto"/>
        </w:rPr>
      </w:pPr>
    </w:p>
    <w:p>
      <w:pPr>
        <w:ind w:left="2400"/>
        <w:spacing w:after="0"/>
        <w:tabs>
          <w:tab w:leader="none" w:pos="3300" w:val="left"/>
          <w:tab w:leader="none" w:pos="4300" w:val="left"/>
          <w:tab w:leader="none" w:pos="5140" w:val="left"/>
          <w:tab w:leader="none" w:pos="6420" w:val="left"/>
          <w:tab w:leader="none" w:pos="7500" w:val="left"/>
          <w:tab w:leader="none" w:pos="8200" w:val="left"/>
        </w:tabs>
        <w:rPr>
          <w:sz w:val="20"/>
          <w:szCs w:val="20"/>
          <w:color w:val="auto"/>
        </w:rPr>
      </w:pPr>
      <w:r>
        <w:rPr>
          <w:rFonts w:ascii="Arial" w:cs="Arial" w:eastAsia="Arial" w:hAnsi="Arial"/>
          <w:sz w:val="22"/>
          <w:szCs w:val="22"/>
          <w:color w:val="auto"/>
        </w:rPr>
        <w:t>paid</w:t>
      </w:r>
      <w:r>
        <w:rPr>
          <w:sz w:val="20"/>
          <w:szCs w:val="20"/>
          <w:color w:val="auto"/>
        </w:rPr>
        <w:tab/>
      </w:r>
      <w:r>
        <w:rPr>
          <w:rFonts w:ascii="Arial" w:cs="Arial" w:eastAsia="Arial" w:hAnsi="Arial"/>
          <w:sz w:val="22"/>
          <w:szCs w:val="22"/>
          <w:color w:val="auto"/>
        </w:rPr>
        <w:t>when</w:t>
      </w:r>
      <w:r>
        <w:rPr>
          <w:sz w:val="20"/>
          <w:szCs w:val="20"/>
          <w:color w:val="auto"/>
        </w:rPr>
        <w:tab/>
      </w:r>
      <w:r>
        <w:rPr>
          <w:rFonts w:ascii="Arial" w:cs="Arial" w:eastAsia="Arial" w:hAnsi="Arial"/>
          <w:sz w:val="22"/>
          <w:szCs w:val="22"/>
          <w:color w:val="auto"/>
        </w:rPr>
        <w:t>due</w:t>
      </w:r>
      <w:r>
        <w:rPr>
          <w:sz w:val="20"/>
          <w:szCs w:val="20"/>
          <w:color w:val="auto"/>
        </w:rPr>
        <w:tab/>
      </w:r>
      <w:r>
        <w:rPr>
          <w:rFonts w:ascii="Arial" w:cs="Arial" w:eastAsia="Arial" w:hAnsi="Arial"/>
          <w:sz w:val="22"/>
          <w:szCs w:val="22"/>
          <w:color w:val="auto"/>
        </w:rPr>
        <w:t>(without</w:t>
      </w:r>
      <w:r>
        <w:rPr>
          <w:sz w:val="20"/>
          <w:szCs w:val="20"/>
          <w:color w:val="auto"/>
        </w:rPr>
        <w:tab/>
      </w:r>
      <w:r>
        <w:rPr>
          <w:rFonts w:ascii="Arial" w:cs="Arial" w:eastAsia="Arial" w:hAnsi="Arial"/>
          <w:sz w:val="22"/>
          <w:szCs w:val="22"/>
          <w:color w:val="auto"/>
        </w:rPr>
        <w:t>regard</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any</w:t>
      </w:r>
    </w:p>
    <w:p>
      <w:pPr>
        <w:spacing w:after="0" w:line="88" w:lineRule="exact"/>
        <w:rPr>
          <w:sz w:val="20"/>
          <w:szCs w:val="20"/>
          <w:color w:val="auto"/>
        </w:rPr>
      </w:pPr>
    </w:p>
    <w:p>
      <w:pPr>
        <w:ind w:left="2400"/>
        <w:spacing w:after="0" w:line="307" w:lineRule="auto"/>
        <w:rPr>
          <w:sz w:val="20"/>
          <w:szCs w:val="20"/>
          <w:color w:val="auto"/>
        </w:rPr>
      </w:pPr>
      <w:r>
        <w:rPr>
          <w:rFonts w:ascii="Arial" w:cs="Arial" w:eastAsia="Arial" w:hAnsi="Arial"/>
          <w:sz w:val="22"/>
          <w:szCs w:val="22"/>
          <w:color w:val="auto"/>
        </w:rPr>
        <w:t>applicable grace periods), whether at stated maturity, by acceleration or otherwise, then upon the request of the Required Lenders such amount shall thereafter bear interest at a fluctuating interest rate per annum at all</w:t>
      </w:r>
    </w:p>
    <w:p>
      <w:pPr>
        <w:spacing w:after="0" w:line="19" w:lineRule="exact"/>
        <w:rPr>
          <w:sz w:val="20"/>
          <w:szCs w:val="20"/>
          <w:color w:val="auto"/>
        </w:rPr>
      </w:pPr>
    </w:p>
    <w:p>
      <w:pPr>
        <w:jc w:val="both"/>
        <w:ind w:left="2400" w:right="1120"/>
        <w:spacing w:after="0" w:line="302" w:lineRule="auto"/>
        <w:rPr>
          <w:sz w:val="20"/>
          <w:szCs w:val="20"/>
          <w:color w:val="auto"/>
        </w:rPr>
      </w:pPr>
      <w:r>
        <w:rPr>
          <w:rFonts w:ascii="Arial" w:cs="Arial" w:eastAsia="Arial" w:hAnsi="Arial"/>
          <w:sz w:val="22"/>
          <w:szCs w:val="22"/>
          <w:color w:val="auto"/>
        </w:rPr>
        <w:t>times equal to the Default Rate to the fullest extent permitted by applicable Laws.</w:t>
      </w:r>
    </w:p>
    <w:p>
      <w:pPr>
        <w:spacing w:after="0" w:line="352" w:lineRule="exact"/>
        <w:rPr>
          <w:sz w:val="20"/>
          <w:szCs w:val="20"/>
          <w:color w:val="auto"/>
        </w:rPr>
      </w:pPr>
    </w:p>
    <w:p>
      <w:pPr>
        <w:jc w:val="both"/>
        <w:ind w:left="2400" w:right="1120" w:firstLine="720"/>
        <w:spacing w:after="0" w:line="302" w:lineRule="auto"/>
        <w:rPr>
          <w:sz w:val="20"/>
          <w:szCs w:val="20"/>
          <w:color w:val="auto"/>
        </w:rPr>
      </w:pPr>
      <w:r>
        <w:rPr>
          <w:rFonts w:ascii="Arial" w:cs="Arial" w:eastAsia="Arial" w:hAnsi="Arial"/>
          <w:sz w:val="22"/>
          <w:szCs w:val="22"/>
          <w:color w:val="auto"/>
        </w:rPr>
        <w:t>(iii) Upon the request of the Required Lenders, while any Event of Default exists (including a payment</w:t>
      </w:r>
    </w:p>
    <w:p>
      <w:pPr>
        <w:spacing w:after="0" w:line="23" w:lineRule="exact"/>
        <w:rPr>
          <w:sz w:val="20"/>
          <w:szCs w:val="20"/>
          <w:color w:val="auto"/>
        </w:rPr>
      </w:pPr>
    </w:p>
    <w:p>
      <w:pPr>
        <w:jc w:val="both"/>
        <w:ind w:left="2400" w:right="1120"/>
        <w:spacing w:after="0" w:line="309" w:lineRule="auto"/>
        <w:rPr>
          <w:sz w:val="20"/>
          <w:szCs w:val="20"/>
          <w:color w:val="auto"/>
        </w:rPr>
      </w:pPr>
      <w:r>
        <w:rPr>
          <w:rFonts w:ascii="Arial" w:cs="Arial" w:eastAsia="Arial" w:hAnsi="Arial"/>
          <w:sz w:val="22"/>
          <w:szCs w:val="22"/>
          <w:color w:val="auto"/>
        </w:rPr>
        <w:t>default), all outstanding Obligations (including Letter of Credit Fees) may accrue at a fluctuating interest rate per annum at all times equal to the Default Rate to the fullest extent permitted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5398135</wp:posOffset>
            </wp:positionH>
            <wp:positionV relativeFrom="paragraph">
              <wp:posOffset>-520065</wp:posOffset>
            </wp:positionV>
            <wp:extent cx="26035" cy="27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26035" cy="27305"/>
                    </a:xfrm>
                    <a:prstGeom prst="rect">
                      <a:avLst/>
                    </a:prstGeom>
                    <a:noFill/>
                  </pic:spPr>
                </pic:pic>
              </a:graphicData>
            </a:graphic>
          </wp:anchor>
        </w:drawing>
      </w:r>
    </w:p>
    <w:p>
      <w:pPr>
        <w:spacing w:after="0" w:line="327" w:lineRule="exact"/>
        <w:rPr>
          <w:sz w:val="20"/>
          <w:szCs w:val="20"/>
          <w:color w:val="auto"/>
        </w:rPr>
      </w:pPr>
    </w:p>
    <w:p>
      <w:pPr>
        <w:jc w:val="both"/>
        <w:ind w:left="2400" w:right="1120" w:firstLine="720"/>
        <w:spacing w:after="0" w:line="307" w:lineRule="auto"/>
        <w:rPr>
          <w:sz w:val="20"/>
          <w:szCs w:val="20"/>
          <w:color w:val="auto"/>
        </w:rPr>
      </w:pPr>
      <w:r>
        <w:rPr>
          <w:rFonts w:ascii="Arial" w:cs="Arial" w:eastAsia="Arial" w:hAnsi="Arial"/>
          <w:sz w:val="22"/>
          <w:szCs w:val="22"/>
          <w:color w:val="auto"/>
        </w:rPr>
        <w:t>(iv) Accrued and unpaid interest on past due amounts (including interest on past due interest) shall be due and payable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725170</wp:posOffset>
            </wp:positionV>
            <wp:extent cx="459613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660"/>
          </w:cols>
          <w:pgMar w:left="1440" w:top="1440" w:right="8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74 / 98</w:t>
      </w:r>
    </w:p>
    <w:p>
      <w:pPr>
        <w:sectPr>
          <w:pgSz w:w="11900" w:h="16838" w:orient="portrait"/>
          <w:cols w:equalWidth="0" w:num="1">
            <w:col w:w="9660"/>
          </w:cols>
          <w:pgMar w:left="1440" w:top="1440" w:right="806" w:bottom="0" w:gutter="0" w:footer="0" w:header="0"/>
          <w:type w:val="continuous"/>
        </w:sectPr>
      </w:pPr>
    </w:p>
    <w:bookmarkStart w:id="256" w:name="page257"/>
    <w:bookmarkEnd w:id="256"/>
    <w:p>
      <w:pPr>
        <w:ind w:left="2380"/>
        <w:spacing w:after="0"/>
        <w:rPr>
          <w:sz w:val="20"/>
          <w:szCs w:val="20"/>
          <w:color w:val="auto"/>
        </w:rPr>
      </w:pPr>
      <w:r>
        <w:rPr>
          <w:rFonts w:ascii="Arial" w:cs="Arial" w:eastAsia="Arial" w:hAnsi="Arial"/>
          <w:sz w:val="22"/>
          <w:szCs w:val="22"/>
          <w:u w:val="single" w:color="auto"/>
          <w:color w:val="auto"/>
        </w:rPr>
        <w:t>Interest Payments</w:t>
      </w:r>
      <w:r>
        <w:rPr>
          <w:rFonts w:ascii="Arial" w:cs="Arial" w:eastAsia="Arial" w:hAnsi="Arial"/>
          <w:sz w:val="22"/>
          <w:szCs w:val="22"/>
          <w:color w:val="auto"/>
        </w:rPr>
        <w:t>. Interest on each Loan shall be</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due and payable in arrears on each Interest Payment</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Date applicable thereto and at such other times as</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may be specified herein. Interest hereunder shall be</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due and payable in accordance with the terms hereof</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before and after judgment, and before and after the</w:t>
      </w:r>
    </w:p>
    <w:p>
      <w:pPr>
        <w:spacing w:after="0" w:line="77" w:lineRule="exact"/>
        <w:rPr>
          <w:sz w:val="20"/>
          <w:szCs w:val="20"/>
          <w:color w:val="auto"/>
        </w:rPr>
      </w:pPr>
    </w:p>
    <w:p>
      <w:pPr>
        <w:ind w:left="2380"/>
        <w:spacing w:after="0"/>
        <w:tabs>
          <w:tab w:leader="none" w:pos="3940" w:val="left"/>
          <w:tab w:leader="none" w:pos="4320" w:val="left"/>
          <w:tab w:leader="none" w:pos="4820" w:val="left"/>
          <w:tab w:leader="none" w:pos="5980" w:val="left"/>
          <w:tab w:leader="none" w:pos="6680" w:val="left"/>
        </w:tabs>
        <w:rPr>
          <w:sz w:val="20"/>
          <w:szCs w:val="20"/>
          <w:color w:val="auto"/>
        </w:rPr>
      </w:pPr>
      <w:r>
        <w:rPr>
          <w:rFonts w:ascii="Arial" w:cs="Arial" w:eastAsia="Arial" w:hAnsi="Arial"/>
          <w:sz w:val="22"/>
          <w:szCs w:val="22"/>
          <w:color w:val="auto"/>
        </w:rPr>
        <w:t>commencement</w:t>
        <w:tab/>
        <w:t>of</w:t>
        <w:tab/>
        <w:t>any</w:t>
        <w:tab/>
        <w:t>proceeding</w:t>
        <w:tab/>
        <w:t>under</w:t>
      </w:r>
      <w:r>
        <w:rPr>
          <w:sz w:val="20"/>
          <w:szCs w:val="20"/>
          <w:color w:val="auto"/>
        </w:rPr>
        <w:tab/>
      </w:r>
      <w:r>
        <w:rPr>
          <w:rFonts w:ascii="Arial" w:cs="Arial" w:eastAsia="Arial" w:hAnsi="Arial"/>
          <w:sz w:val="18"/>
          <w:szCs w:val="18"/>
          <w:color w:val="auto"/>
        </w:rPr>
        <w:t>any</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Debtor Relief Law.</w:t>
      </w:r>
    </w:p>
    <w:p>
      <w:pPr>
        <w:spacing w:after="0" w:line="200" w:lineRule="exact"/>
        <w:rPr>
          <w:sz w:val="20"/>
          <w:szCs w:val="20"/>
          <w:color w:val="auto"/>
        </w:rPr>
      </w:pPr>
    </w:p>
    <w:p>
      <w:pPr>
        <w:spacing w:after="0" w:line="207"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(d)</w:t>
      </w:r>
    </w:p>
    <w:p>
      <w:pPr>
        <w:spacing w:after="0" w:line="88" w:lineRule="exact"/>
        <w:rPr>
          <w:sz w:val="20"/>
          <w:szCs w:val="20"/>
          <w:color w:val="auto"/>
        </w:rPr>
      </w:pPr>
    </w:p>
    <w:p>
      <w:pPr>
        <w:ind w:left="2400" w:right="1380"/>
        <w:spacing w:after="0" w:line="344" w:lineRule="auto"/>
        <w:rPr>
          <w:sz w:val="20"/>
          <w:szCs w:val="20"/>
          <w:color w:val="auto"/>
        </w:rPr>
      </w:pPr>
      <w:r>
        <w:rPr>
          <w:rFonts w:ascii="Arial" w:cs="Arial" w:eastAsia="Arial" w:hAnsi="Arial"/>
          <w:sz w:val="20"/>
          <w:szCs w:val="20"/>
          <w:color w:val="auto"/>
        </w:rPr>
        <w:t>Borrower agrees to pay additional interest on the unpaid principal balance of the Loan at the rate of (i) one-half of one percent (0.50%) per</w:t>
      </w:r>
    </w:p>
    <w:p>
      <w:pPr>
        <w:spacing w:after="0" w:line="1" w:lineRule="exact"/>
        <w:rPr>
          <w:sz w:val="20"/>
          <w:szCs w:val="20"/>
          <w:color w:val="auto"/>
        </w:rPr>
      </w:pPr>
    </w:p>
    <w:p>
      <w:pPr>
        <w:jc w:val="both"/>
        <w:ind w:left="2400" w:right="1760"/>
        <w:spacing w:after="0" w:line="344" w:lineRule="auto"/>
        <w:rPr>
          <w:sz w:val="20"/>
          <w:szCs w:val="20"/>
          <w:color w:val="auto"/>
        </w:rPr>
      </w:pPr>
      <w:r>
        <w:rPr>
          <w:rFonts w:ascii="Arial" w:cs="Arial" w:eastAsia="Arial" w:hAnsi="Arial"/>
          <w:sz w:val="20"/>
          <w:szCs w:val="20"/>
          <w:color w:val="auto"/>
        </w:rPr>
        <w:t>annum commencing on January 1, 2024 and continuing until December 31, 2024 and (ii) one and one-half of one percent (1.50%) per annum commencing on January 1, 2025 and continuing until the Loan is paid in full (the “</w:t>
      </w:r>
      <w:r>
        <w:rPr>
          <w:rFonts w:ascii="Arial" w:cs="Arial" w:eastAsia="Arial" w:hAnsi="Arial"/>
          <w:sz w:val="20"/>
          <w:szCs w:val="20"/>
          <w:u w:val="single" w:color="auto"/>
          <w:color w:val="auto"/>
        </w:rPr>
        <w:t>PIK Interest</w:t>
      </w:r>
      <w:r>
        <w:rPr>
          <w:rFonts w:ascii="Arial" w:cs="Arial" w:eastAsia="Arial" w:hAnsi="Arial"/>
          <w:sz w:val="20"/>
          <w:szCs w:val="20"/>
          <w:color w:val="auto"/>
        </w:rPr>
        <w:t>”). The PIK</w:t>
      </w:r>
    </w:p>
    <w:p>
      <w:pPr>
        <w:spacing w:after="0" w:line="1" w:lineRule="exact"/>
        <w:rPr>
          <w:sz w:val="20"/>
          <w:szCs w:val="20"/>
          <w:color w:val="auto"/>
        </w:rPr>
      </w:pPr>
    </w:p>
    <w:p>
      <w:pPr>
        <w:ind w:left="2400" w:right="660"/>
        <w:spacing w:after="0" w:line="302" w:lineRule="auto"/>
        <w:rPr>
          <w:sz w:val="20"/>
          <w:szCs w:val="20"/>
          <w:color w:val="auto"/>
        </w:rPr>
      </w:pPr>
      <w:r>
        <w:rPr>
          <w:rFonts w:ascii="Arial" w:cs="Arial" w:eastAsia="Arial" w:hAnsi="Arial"/>
          <w:sz w:val="22"/>
          <w:szCs w:val="22"/>
          <w:color w:val="auto"/>
        </w:rPr>
        <w:t>Interest shall accrue but not be due and payable until the earlier of (i) the Maturity Date or (ii) the date on which the Loan is paid in full.”</w:t>
      </w:r>
    </w:p>
    <w:p>
      <w:pPr>
        <w:spacing w:after="0" w:line="343"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2.4.</w:t>
      </w:r>
    </w:p>
    <w:p>
      <w:pPr>
        <w:spacing w:after="0" w:line="88" w:lineRule="exact"/>
        <w:rPr>
          <w:sz w:val="20"/>
          <w:szCs w:val="20"/>
          <w:color w:val="auto"/>
        </w:rPr>
      </w:pPr>
    </w:p>
    <w:p>
      <w:pPr>
        <w:ind w:left="1680" w:right="1480"/>
        <w:spacing w:after="0" w:line="302" w:lineRule="auto"/>
        <w:rPr>
          <w:sz w:val="20"/>
          <w:szCs w:val="20"/>
          <w:color w:val="auto"/>
        </w:rPr>
      </w:pPr>
      <w:r>
        <w:rPr>
          <w:rFonts w:ascii="Arial" w:cs="Arial" w:eastAsia="Arial" w:hAnsi="Arial"/>
          <w:sz w:val="22"/>
          <w:szCs w:val="22"/>
          <w:u w:val="single" w:color="auto"/>
          <w:color w:val="auto"/>
        </w:rPr>
        <w:t>Mandatory Principal Payments</w:t>
      </w:r>
      <w:r>
        <w:rPr>
          <w:rFonts w:ascii="Arial" w:cs="Arial" w:eastAsia="Arial" w:hAnsi="Arial"/>
          <w:sz w:val="22"/>
          <w:szCs w:val="22"/>
          <w:color w:val="auto"/>
        </w:rPr>
        <w:t>. Section 4.3 of the Third Amendment is amended and restated to read as follows:</w:t>
      </w:r>
    </w:p>
    <w:p>
      <w:pPr>
        <w:spacing w:after="0" w:line="299"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“Borrower shall make the following principal payments on the Loan:</w:t>
      </w:r>
    </w:p>
    <w:p>
      <w:pPr>
        <w:spacing w:after="0" w:line="333" w:lineRule="exact"/>
        <w:rPr>
          <w:sz w:val="20"/>
          <w:szCs w:val="20"/>
          <w:color w:val="auto"/>
        </w:rPr>
      </w:pPr>
    </w:p>
    <w:tbl>
      <w:tblPr>
        <w:tblLayout w:type="fixed"/>
        <w:tblInd w:w="3070" w:type="dxa"/>
        <w:tblCellMar>
          <w:top w:w="0" w:type="dxa"/>
          <w:left w:w="0" w:type="dxa"/>
          <w:bottom w:w="0" w:type="dxa"/>
          <w:right w:w="0" w:type="dxa"/>
        </w:tblCellMar>
      </w:tblPr>
      <w:tr>
        <w:trPr>
          <w:trHeight w:val="357"/>
        </w:trPr>
        <w:tc>
          <w:tcPr>
            <w:tcW w:w="1580" w:type="dxa"/>
            <w:vAlign w:val="bottom"/>
            <w:tcBorders>
              <w:top w:val="single" w:sz="8" w:color="auto"/>
              <w:left w:val="single" w:sz="8" w:color="auto"/>
            </w:tcBorders>
          </w:tcPr>
          <w:p>
            <w:pPr>
              <w:spacing w:after="0"/>
              <w:rPr>
                <w:sz w:val="24"/>
                <w:szCs w:val="24"/>
                <w:color w:val="auto"/>
              </w:rPr>
            </w:pPr>
          </w:p>
        </w:tc>
        <w:tc>
          <w:tcPr>
            <w:tcW w:w="2000" w:type="dxa"/>
            <w:vAlign w:val="bottom"/>
            <w:tcBorders>
              <w:top w:val="single" w:sz="8" w:color="auto"/>
              <w:right w:val="single" w:sz="8" w:color="auto"/>
            </w:tcBorders>
            <w:gridSpan w:val="2"/>
          </w:tcPr>
          <w:p>
            <w:pPr>
              <w:jc w:val="center"/>
              <w:ind w:right="1560"/>
              <w:spacing w:after="0"/>
              <w:rPr>
                <w:sz w:val="20"/>
                <w:szCs w:val="20"/>
                <w:color w:val="auto"/>
              </w:rPr>
            </w:pPr>
            <w:r>
              <w:rPr>
                <w:rFonts w:ascii="Arial" w:cs="Arial" w:eastAsia="Arial" w:hAnsi="Arial"/>
                <w:sz w:val="22"/>
                <w:szCs w:val="22"/>
                <w:b w:val="1"/>
                <w:bCs w:val="1"/>
                <w:color w:val="auto"/>
                <w:w w:val="92"/>
              </w:rPr>
              <w:t>Date</w:t>
            </w:r>
          </w:p>
        </w:tc>
        <w:tc>
          <w:tcPr>
            <w:tcW w:w="3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Principal Payment Amount</w:t>
            </w:r>
          </w:p>
        </w:tc>
        <w:tc>
          <w:tcPr>
            <w:tcW w:w="0" w:type="dxa"/>
            <w:vAlign w:val="bottom"/>
          </w:tcPr>
          <w:p>
            <w:pPr>
              <w:spacing w:after="0"/>
              <w:rPr>
                <w:sz w:val="1"/>
                <w:szCs w:val="1"/>
                <w:color w:val="auto"/>
              </w:rPr>
            </w:pPr>
          </w:p>
        </w:tc>
      </w:tr>
      <w:tr>
        <w:trPr>
          <w:trHeight w:val="117"/>
        </w:trPr>
        <w:tc>
          <w:tcPr>
            <w:tcW w:w="1580" w:type="dxa"/>
            <w:vAlign w:val="bottom"/>
            <w:tcBorders>
              <w:left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8"/>
              </w:rPr>
              <w:t>January 2,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9"/>
              </w:rPr>
              <w:t>February 2,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6"/>
        </w:trPr>
        <w:tc>
          <w:tcPr>
            <w:tcW w:w="15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2"/>
              </w:rPr>
              <w:t>March 2,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$500,000.00</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9"/>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5"/>
              </w:rPr>
              <w:t>April 1,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2"/>
              </w:rPr>
              <w:t>May 1,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6"/>
        </w:trPr>
        <w:tc>
          <w:tcPr>
            <w:tcW w:w="15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8"/>
              </w:rPr>
              <w:t>June 1,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$500,000.00</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1"/>
              </w:rPr>
              <w:t>July 1,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6"/>
        </w:trPr>
        <w:tc>
          <w:tcPr>
            <w:tcW w:w="15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35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0"/>
              </w:rPr>
              <w:t>August 3, 2026</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$50,000.00</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3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94"/>
              </w:rPr>
              <w:t>Maturity Date</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The remaining outstanding balance of</w:t>
            </w:r>
          </w:p>
        </w:tc>
        <w:tc>
          <w:tcPr>
            <w:tcW w:w="0" w:type="dxa"/>
            <w:vAlign w:val="bottom"/>
          </w:tcPr>
          <w:p>
            <w:pPr>
              <w:spacing w:after="0"/>
              <w:rPr>
                <w:sz w:val="1"/>
                <w:szCs w:val="1"/>
                <w:color w:val="auto"/>
              </w:rPr>
            </w:pPr>
          </w:p>
        </w:tc>
      </w:tr>
      <w:tr>
        <w:trPr>
          <w:trHeight w:val="131"/>
        </w:trPr>
        <w:tc>
          <w:tcPr>
            <w:tcW w:w="3580" w:type="dxa"/>
            <w:vAlign w:val="bottom"/>
            <w:tcBorders>
              <w:left w:val="single" w:sz="8" w:color="auto"/>
              <w:right w:val="single" w:sz="8" w:color="auto"/>
            </w:tcBorders>
            <w:gridSpan w:val="3"/>
            <w:vMerge w:val="continue"/>
          </w:tcPr>
          <w:p>
            <w:pPr>
              <w:spacing w:after="0"/>
              <w:rPr>
                <w:sz w:val="11"/>
                <w:szCs w:val="11"/>
                <w:color w:val="auto"/>
              </w:rPr>
            </w:pPr>
          </w:p>
        </w:tc>
        <w:tc>
          <w:tcPr>
            <w:tcW w:w="3660" w:type="dxa"/>
            <w:vAlign w:val="bottom"/>
            <w:tcBorders>
              <w:right w:val="single" w:sz="8" w:color="auto"/>
            </w:tcBorders>
            <w:vMerge w:val="restart"/>
          </w:tcPr>
          <w:p>
            <w:pPr>
              <w:jc w:val="center"/>
              <w:spacing w:after="0" w:line="242" w:lineRule="exact"/>
              <w:rPr>
                <w:sz w:val="20"/>
                <w:szCs w:val="20"/>
                <w:color w:val="auto"/>
              </w:rPr>
            </w:pPr>
            <w:r>
              <w:rPr>
                <w:rFonts w:ascii="Arial" w:cs="Arial" w:eastAsia="Arial" w:hAnsi="Arial"/>
                <w:sz w:val="22"/>
                <w:szCs w:val="22"/>
                <w:color w:val="auto"/>
                <w:w w:val="92"/>
              </w:rPr>
              <w:t>the Loans”</w:t>
            </w:r>
          </w:p>
        </w:tc>
        <w:tc>
          <w:tcPr>
            <w:tcW w:w="0" w:type="dxa"/>
            <w:vAlign w:val="bottom"/>
          </w:tcPr>
          <w:p>
            <w:pPr>
              <w:spacing w:after="0"/>
              <w:rPr>
                <w:sz w:val="1"/>
                <w:szCs w:val="1"/>
                <w:color w:val="auto"/>
              </w:rPr>
            </w:pPr>
          </w:p>
        </w:tc>
      </w:tr>
      <w:tr>
        <w:trPr>
          <w:trHeight w:val="111"/>
        </w:trPr>
        <w:tc>
          <w:tcPr>
            <w:tcW w:w="1580" w:type="dxa"/>
            <w:vAlign w:val="bottom"/>
            <w:tcBorders>
              <w:lef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580" w:type="dxa"/>
            <w:vAlign w:val="bottom"/>
            <w:tcBorders>
              <w:left w:val="single" w:sz="8" w:color="auto"/>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3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-3038475</wp:posOffset>
            </wp:positionV>
            <wp:extent cx="230759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2307590" cy="12700"/>
                    </a:xfrm>
                    <a:prstGeom prst="rect">
                      <a:avLst/>
                    </a:prstGeom>
                    <a:noFill/>
                  </pic:spPr>
                </pic:pic>
              </a:graphicData>
            </a:graphic>
          </wp:anchor>
        </w:drawing>
      </w:r>
    </w:p>
    <w:p>
      <w:pPr>
        <w:sectPr>
          <w:pgSz w:w="11900" w:h="16838" w:orient="portrait"/>
          <w:cols w:equalWidth="0" w:num="1">
            <w:col w:w="10300"/>
          </w:cols>
          <w:pgMar w:left="1440" w:top="1290" w:right="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75 / 98</w:t>
      </w:r>
    </w:p>
    <w:p>
      <w:pPr>
        <w:sectPr>
          <w:pgSz w:w="11900" w:h="16838" w:orient="portrait"/>
          <w:cols w:equalWidth="0" w:num="1">
            <w:col w:w="10300"/>
          </w:cols>
          <w:pgMar w:left="1440" w:top="1290" w:right="166" w:bottom="0" w:gutter="0" w:footer="0" w:header="0"/>
          <w:type w:val="continuous"/>
        </w:sectPr>
      </w:pPr>
    </w:p>
    <w:bookmarkStart w:id="257" w:name="page258"/>
    <w:bookmarkEnd w:id="257"/>
    <w:p>
      <w:pPr>
        <w:jc w:val="both"/>
        <w:ind w:left="1680" w:right="1860" w:firstLine="720"/>
        <w:spacing w:after="0" w:line="215"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Marketing of [***]</w:t>
      </w:r>
      <w:r>
        <w:rPr>
          <w:rFonts w:ascii="Arial" w:cs="Arial" w:eastAsia="Arial" w:hAnsi="Arial"/>
          <w:sz w:val="22"/>
          <w:szCs w:val="22"/>
          <w:color w:val="auto"/>
        </w:rPr>
        <w:t>. By not later than February 13, 2026, [***] shall be listed for sale with a commercial broker pursuant a listing agreement approved by Administrative Agent in its reasonable discretion.</w:t>
      </w:r>
    </w:p>
    <w:p>
      <w:pPr>
        <w:spacing w:after="0" w:line="357" w:lineRule="exact"/>
        <w:rPr>
          <w:sz w:val="20"/>
          <w:szCs w:val="20"/>
          <w:color w:val="auto"/>
        </w:rPr>
      </w:pPr>
    </w:p>
    <w:p>
      <w:pPr>
        <w:jc w:val="both"/>
        <w:ind w:left="1000" w:right="2540" w:firstLine="699"/>
        <w:spacing w:after="0" w:line="362" w:lineRule="auto"/>
        <w:tabs>
          <w:tab w:leader="none" w:pos="2879"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 Release</w:t>
      </w:r>
      <w:r>
        <w:rPr>
          <w:rFonts w:ascii="Arial" w:cs="Arial" w:eastAsia="Arial" w:hAnsi="Arial"/>
          <w:sz w:val="19"/>
          <w:szCs w:val="19"/>
          <w:color w:val="auto"/>
        </w:rPr>
        <w:t>. From and after the effective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Eleventh Amendment, the Borrower and each Guarantor hereby agrees that, without any further act, the Administrative Agent, each Lender and each other Secured Party is fully and forever released and discharged from any and</w:t>
      </w:r>
    </w:p>
    <w:p>
      <w:pPr>
        <w:ind w:left="1000"/>
        <w:spacing w:after="0" w:line="231" w:lineRule="auto"/>
        <w:tabs>
          <w:tab w:leader="none" w:pos="7260" w:val="left"/>
        </w:tabs>
        <w:rPr>
          <w:sz w:val="20"/>
          <w:szCs w:val="20"/>
          <w:color w:val="auto"/>
        </w:rPr>
      </w:pPr>
      <w:r>
        <w:rPr>
          <w:rFonts w:ascii="Arial" w:cs="Arial" w:eastAsia="Arial" w:hAnsi="Arial"/>
          <w:sz w:val="22"/>
          <w:szCs w:val="22"/>
          <w:color w:val="auto"/>
        </w:rPr>
        <w:t>all</w:t>
      </w:r>
      <w:r>
        <w:rPr>
          <w:sz w:val="20"/>
          <w:szCs w:val="20"/>
          <w:color w:val="auto"/>
        </w:rPr>
        <w:tab/>
      </w:r>
      <w:r>
        <w:rPr>
          <w:rFonts w:ascii="Arial" w:cs="Arial" w:eastAsia="Arial" w:hAnsi="Arial"/>
          <w:sz w:val="22"/>
          <w:szCs w:val="22"/>
          <w:color w:val="auto"/>
        </w:rPr>
        <w:t>claims</w:t>
      </w:r>
    </w:p>
    <w:p>
      <w:pPr>
        <w:spacing w:after="0" w:line="88" w:lineRule="exact"/>
        <w:rPr>
          <w:sz w:val="20"/>
          <w:szCs w:val="20"/>
          <w:color w:val="auto"/>
        </w:rPr>
      </w:pPr>
    </w:p>
    <w:p>
      <w:pPr>
        <w:ind w:left="1000"/>
        <w:spacing w:after="0" w:line="307" w:lineRule="auto"/>
        <w:rPr>
          <w:sz w:val="20"/>
          <w:szCs w:val="20"/>
          <w:color w:val="auto"/>
        </w:rPr>
      </w:pPr>
      <w:r>
        <w:rPr>
          <w:rFonts w:ascii="Arial" w:cs="Arial" w:eastAsia="Arial" w:hAnsi="Arial"/>
          <w:sz w:val="22"/>
          <w:szCs w:val="22"/>
          <w:color w:val="auto"/>
        </w:rPr>
        <w:t>for damages or losses to the Borrower, any Guarantor, or to any property of the Borrower or any Guarantor (whether any such damages or losses are known or unknown, foreseen or unforeseen, or patent or latent),</w:t>
      </w:r>
    </w:p>
    <w:p>
      <w:pPr>
        <w:spacing w:after="0" w:line="200" w:lineRule="exact"/>
        <w:rPr>
          <w:sz w:val="20"/>
          <w:szCs w:val="20"/>
          <w:color w:val="auto"/>
        </w:rPr>
      </w:pPr>
    </w:p>
    <w:p>
      <w:pPr>
        <w:spacing w:after="0" w:line="285"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332105</wp:posOffset>
            </wp:positionV>
            <wp:extent cx="459613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10420"/>
          </w:cols>
          <w:pgMar w:left="1440" w:top="1167" w:right="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76 / 98</w:t>
      </w:r>
    </w:p>
    <w:p>
      <w:pPr>
        <w:sectPr>
          <w:pgSz w:w="11900" w:h="16838" w:orient="portrait"/>
          <w:cols w:equalWidth="0" w:num="1">
            <w:col w:w="10420"/>
          </w:cols>
          <w:pgMar w:left="1440" w:top="1167" w:right="46" w:bottom="0" w:gutter="0" w:footer="0" w:header="0"/>
          <w:type w:val="continuous"/>
        </w:sectPr>
      </w:pPr>
    </w:p>
    <w:bookmarkStart w:id="258" w:name="page259"/>
    <w:bookmarkEnd w:id="258"/>
    <w:p>
      <w:pPr>
        <w:jc w:val="both"/>
        <w:ind w:left="900" w:right="2660"/>
        <w:spacing w:after="0" w:line="344" w:lineRule="auto"/>
        <w:rPr>
          <w:sz w:val="20"/>
          <w:szCs w:val="20"/>
          <w:color w:val="auto"/>
        </w:rPr>
      </w:pPr>
      <w:r>
        <w:rPr>
          <w:rFonts w:ascii="Arial" w:cs="Arial" w:eastAsia="Arial" w:hAnsi="Arial"/>
          <w:sz w:val="20"/>
          <w:szCs w:val="20"/>
          <w:color w:val="auto"/>
        </w:rPr>
        <w:t>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w:t>
      </w:r>
    </w:p>
    <w:p>
      <w:pPr>
        <w:ind w:left="900"/>
        <w:spacing w:after="0"/>
        <w:tabs>
          <w:tab w:leader="none" w:pos="4200" w:val="left"/>
          <w:tab w:leader="none" w:pos="7220" w:val="left"/>
        </w:tabs>
        <w:rPr>
          <w:sz w:val="20"/>
          <w:szCs w:val="20"/>
          <w:color w:val="auto"/>
        </w:rPr>
      </w:pPr>
      <w:r>
        <w:rPr>
          <w:rFonts w:ascii="Arial" w:cs="Arial" w:eastAsia="Arial" w:hAnsi="Arial"/>
          <w:sz w:val="22"/>
          <w:szCs w:val="22"/>
          <w:color w:val="auto"/>
        </w:rPr>
        <w:t>Guarantor</w:t>
      </w:r>
      <w:r>
        <w:rPr>
          <w:sz w:val="20"/>
          <w:szCs w:val="20"/>
          <w:color w:val="auto"/>
        </w:rPr>
        <w:tab/>
      </w:r>
      <w:r>
        <w:rPr>
          <w:rFonts w:ascii="Arial" w:cs="Arial" w:eastAsia="Arial" w:hAnsi="Arial"/>
          <w:sz w:val="22"/>
          <w:szCs w:val="22"/>
          <w:color w:val="auto"/>
        </w:rPr>
        <w:t>hereby</w:t>
      </w:r>
      <w:r>
        <w:rPr>
          <w:sz w:val="20"/>
          <w:szCs w:val="20"/>
          <w:color w:val="auto"/>
        </w:rPr>
        <w:tab/>
      </w:r>
      <w:r>
        <w:rPr>
          <w:rFonts w:ascii="Arial" w:cs="Arial" w:eastAsia="Arial" w:hAnsi="Arial"/>
          <w:sz w:val="21"/>
          <w:szCs w:val="21"/>
          <w:color w:val="auto"/>
        </w:rPr>
        <w:t>waive</w:t>
      </w:r>
    </w:p>
    <w:p>
      <w:pPr>
        <w:spacing w:after="0" w:line="89" w:lineRule="exact"/>
        <w:rPr>
          <w:sz w:val="20"/>
          <w:szCs w:val="20"/>
          <w:color w:val="auto"/>
        </w:rPr>
      </w:pPr>
    </w:p>
    <w:p>
      <w:pPr>
        <w:ind w:left="900" w:right="120"/>
        <w:spacing w:after="0" w:line="302" w:lineRule="auto"/>
        <w:rPr>
          <w:sz w:val="20"/>
          <w:szCs w:val="20"/>
          <w:color w:val="auto"/>
        </w:rPr>
      </w:pPr>
      <w:r>
        <w:rPr>
          <w:rFonts w:ascii="Arial" w:cs="Arial" w:eastAsia="Arial" w:hAnsi="Arial"/>
          <w:sz w:val="22"/>
          <w:szCs w:val="22"/>
          <w:color w:val="auto"/>
        </w:rPr>
        <w:t>application of California Civil Code Section 1542. The Borrower and each Guarantor certify that they have read the following provisions of California Civil Code Section 1542:</w:t>
      </w:r>
    </w:p>
    <w:p>
      <w:pPr>
        <w:spacing w:after="0" w:line="263" w:lineRule="exact"/>
        <w:rPr>
          <w:sz w:val="20"/>
          <w:szCs w:val="20"/>
          <w:color w:val="auto"/>
        </w:rPr>
      </w:pPr>
    </w:p>
    <w:p>
      <w:pPr>
        <w:ind w:left="1620" w:right="100"/>
        <w:spacing w:after="0" w:line="302"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w:t>
      </w:r>
    </w:p>
    <w:p>
      <w:pPr>
        <w:spacing w:after="0" w:line="12" w:lineRule="exact"/>
        <w:rPr>
          <w:sz w:val="20"/>
          <w:szCs w:val="20"/>
          <w:color w:val="auto"/>
        </w:rPr>
      </w:pPr>
    </w:p>
    <w:p>
      <w:pPr>
        <w:ind w:left="1620"/>
        <w:spacing w:after="0"/>
        <w:tabs>
          <w:tab w:leader="none" w:pos="3220" w:val="left"/>
          <w:tab w:leader="none" w:pos="4580" w:val="left"/>
          <w:tab w:leader="none" w:pos="6000" w:val="left"/>
          <w:tab w:leader="none" w:pos="7120" w:val="left"/>
        </w:tabs>
        <w:rPr>
          <w:sz w:val="20"/>
          <w:szCs w:val="20"/>
          <w:color w:val="auto"/>
        </w:rPr>
      </w:pPr>
      <w:r>
        <w:rPr>
          <w:rFonts w:ascii="Arial" w:cs="Arial" w:eastAsia="Arial" w:hAnsi="Arial"/>
          <w:sz w:val="22"/>
          <w:szCs w:val="22"/>
          <w:b w:val="1"/>
          <w:bCs w:val="1"/>
          <w:color w:val="auto"/>
        </w:rPr>
        <w:t>release</w:t>
      </w:r>
      <w:r>
        <w:rPr>
          <w:sz w:val="20"/>
          <w:szCs w:val="20"/>
          <w:color w:val="auto"/>
        </w:rPr>
        <w:tab/>
      </w:r>
      <w:r>
        <w:rPr>
          <w:rFonts w:ascii="Arial" w:cs="Arial" w:eastAsia="Arial" w:hAnsi="Arial"/>
          <w:sz w:val="22"/>
          <w:szCs w:val="22"/>
          <w:b w:val="1"/>
          <w:bCs w:val="1"/>
          <w:color w:val="auto"/>
        </w:rPr>
        <w:t>and</w:t>
      </w:r>
      <w:r>
        <w:rPr>
          <w:sz w:val="20"/>
          <w:szCs w:val="20"/>
          <w:color w:val="auto"/>
        </w:rPr>
        <w:tab/>
      </w:r>
      <w:r>
        <w:rPr>
          <w:rFonts w:ascii="Arial" w:cs="Arial" w:eastAsia="Arial" w:hAnsi="Arial"/>
          <w:sz w:val="22"/>
          <w:szCs w:val="22"/>
          <w:b w:val="1"/>
          <w:bCs w:val="1"/>
          <w:color w:val="auto"/>
        </w:rPr>
        <w:t>that,</w:t>
      </w:r>
      <w:r>
        <w:rPr>
          <w:sz w:val="20"/>
          <w:szCs w:val="20"/>
          <w:color w:val="auto"/>
        </w:rPr>
        <w:tab/>
      </w:r>
      <w:r>
        <w:rPr>
          <w:rFonts w:ascii="Arial" w:cs="Arial" w:eastAsia="Arial" w:hAnsi="Arial"/>
          <w:sz w:val="22"/>
          <w:szCs w:val="22"/>
          <w:b w:val="1"/>
          <w:bCs w:val="1"/>
          <w:color w:val="auto"/>
        </w:rPr>
        <w:t>if</w:t>
      </w:r>
      <w:r>
        <w:rPr>
          <w:sz w:val="20"/>
          <w:szCs w:val="20"/>
          <w:color w:val="auto"/>
        </w:rPr>
        <w:tab/>
      </w:r>
      <w:r>
        <w:rPr>
          <w:rFonts w:ascii="Arial" w:cs="Arial" w:eastAsia="Arial" w:hAnsi="Arial"/>
          <w:sz w:val="20"/>
          <w:szCs w:val="20"/>
          <w:b w:val="1"/>
          <w:bCs w:val="1"/>
          <w:color w:val="auto"/>
        </w:rPr>
        <w:t>known</w:t>
      </w:r>
    </w:p>
    <w:p>
      <w:pPr>
        <w:spacing w:after="0" w:line="88" w:lineRule="exact"/>
        <w:rPr>
          <w:sz w:val="20"/>
          <w:szCs w:val="20"/>
          <w:color w:val="auto"/>
        </w:rPr>
      </w:pPr>
    </w:p>
    <w:p>
      <w:pPr>
        <w:ind w:left="1620"/>
        <w:spacing w:after="0" w:line="302" w:lineRule="auto"/>
        <w:rPr>
          <w:sz w:val="20"/>
          <w:szCs w:val="20"/>
          <w:color w:val="auto"/>
        </w:rPr>
      </w:pPr>
      <w:r>
        <w:rPr>
          <w:rFonts w:ascii="Arial" w:cs="Arial" w:eastAsia="Arial" w:hAnsi="Arial"/>
          <w:sz w:val="22"/>
          <w:szCs w:val="22"/>
          <w:b w:val="1"/>
          <w:bCs w:val="1"/>
          <w:color w:val="auto"/>
        </w:rPr>
        <w:t>by him or her, would have materially affected his or her settlement with the debtor or released party.</w:t>
      </w:r>
    </w:p>
    <w:p>
      <w:pPr>
        <w:spacing w:after="0" w:line="276" w:lineRule="exact"/>
        <w:rPr>
          <w:sz w:val="20"/>
          <w:szCs w:val="20"/>
          <w:color w:val="auto"/>
        </w:rPr>
      </w:pPr>
    </w:p>
    <w:p>
      <w:pPr>
        <w:ind w:left="900" w:right="140"/>
        <w:spacing w:after="0" w:line="302" w:lineRule="auto"/>
        <w:rPr>
          <w:sz w:val="20"/>
          <w:szCs w:val="20"/>
          <w:color w:val="auto"/>
        </w:rPr>
      </w:pPr>
      <w:r>
        <w:rPr>
          <w:rFonts w:ascii="Arial" w:cs="Arial" w:eastAsia="Arial" w:hAnsi="Arial"/>
          <w:sz w:val="22"/>
          <w:szCs w:val="22"/>
          <w:color w:val="auto"/>
        </w:rPr>
        <w:t>The Borrower and each Guarantor understands and acknowledges that the significance and consequence of this waiver of California Civil Code Section 1542 is that even if the Borrower</w:t>
      </w:r>
    </w:p>
    <w:p>
      <w:pPr>
        <w:spacing w:after="0" w:line="23" w:lineRule="exact"/>
        <w:rPr>
          <w:sz w:val="20"/>
          <w:szCs w:val="20"/>
          <w:color w:val="auto"/>
        </w:rPr>
      </w:pPr>
    </w:p>
    <w:p>
      <w:pPr>
        <w:ind w:left="900" w:right="2660"/>
        <w:spacing w:after="0" w:line="302" w:lineRule="auto"/>
        <w:rPr>
          <w:sz w:val="20"/>
          <w:szCs w:val="20"/>
          <w:color w:val="auto"/>
        </w:rPr>
      </w:pPr>
      <w:r>
        <w:rPr>
          <w:rFonts w:ascii="Arial" w:cs="Arial" w:eastAsia="Arial" w:hAnsi="Arial"/>
          <w:sz w:val="22"/>
          <w:szCs w:val="22"/>
          <w:color w:val="auto"/>
        </w:rPr>
        <w:t>or such Guarantor should eventually suffer additional damages arising out of the facts referred to above, it will not be able to make</w:t>
      </w:r>
    </w:p>
    <w:p>
      <w:pPr>
        <w:spacing w:after="0" w:line="23" w:lineRule="exact"/>
        <w:rPr>
          <w:sz w:val="20"/>
          <w:szCs w:val="20"/>
          <w:color w:val="auto"/>
        </w:rPr>
      </w:pPr>
    </w:p>
    <w:p>
      <w:pPr>
        <w:jc w:val="both"/>
        <w:ind w:left="900" w:right="100"/>
        <w:spacing w:after="0" w:line="327" w:lineRule="auto"/>
        <w:rPr>
          <w:sz w:val="20"/>
          <w:szCs w:val="20"/>
          <w:color w:val="auto"/>
        </w:rPr>
      </w:pPr>
      <w:r>
        <w:rPr>
          <w:rFonts w:ascii="Arial" w:cs="Arial" w:eastAsia="Arial" w:hAnsi="Arial"/>
          <w:sz w:val="21"/>
          <w:szCs w:val="21"/>
          <w:color w:val="auto"/>
        </w:rPr>
        <w:t>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w:t>
      </w:r>
    </w:p>
    <w:p>
      <w:pPr>
        <w:spacing w:after="0" w:line="3" w:lineRule="exact"/>
        <w:rPr>
          <w:sz w:val="20"/>
          <w:szCs w:val="20"/>
          <w:color w:val="auto"/>
        </w:rPr>
      </w:pPr>
    </w:p>
    <w:p>
      <w:pPr>
        <w:jc w:val="both"/>
        <w:ind w:left="900" w:right="2660"/>
        <w:spacing w:after="0" w:line="309" w:lineRule="auto"/>
        <w:rPr>
          <w:sz w:val="20"/>
          <w:szCs w:val="20"/>
          <w:color w:val="auto"/>
        </w:rPr>
      </w:pPr>
      <w:r>
        <w:rPr>
          <w:rFonts w:ascii="Arial" w:cs="Arial" w:eastAsia="Arial" w:hAnsi="Arial"/>
          <w:sz w:val="22"/>
          <w:szCs w:val="22"/>
          <w:color w:val="auto"/>
        </w:rPr>
        <w:t>materially affect the Borrower’s or such Guarantor’s decision to execute this Eleventh Amendment, regardless of whether the Borrower’s or such Guarantor’s lack of knowledge is the result of ignorance, oversight, error, negligence, or any other cause.</w:t>
      </w:r>
    </w:p>
    <w:p>
      <w:pPr>
        <w:spacing w:after="0" w:line="303" w:lineRule="exact"/>
        <w:rPr>
          <w:sz w:val="20"/>
          <w:szCs w:val="20"/>
          <w:color w:val="auto"/>
        </w:rPr>
      </w:pPr>
    </w:p>
    <w:p>
      <w:pPr>
        <w:jc w:val="both"/>
        <w:ind w:left="1000" w:right="2580" w:firstLine="699"/>
        <w:spacing w:after="0" w:line="307" w:lineRule="auto"/>
        <w:tabs>
          <w:tab w:leader="none" w:pos="2861" w:val="left"/>
        </w:tabs>
        <w:numPr>
          <w:ilvl w:val="0"/>
          <w:numId w:val="142"/>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Precedent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Eleventh Amendment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effective as of the date first set forth above upon satisfaction of the following conditions:</w:t>
      </w:r>
    </w:p>
    <w:p>
      <w:pPr>
        <w:spacing w:after="0" w:line="349" w:lineRule="exact"/>
        <w:rPr>
          <w:sz w:val="20"/>
          <w:szCs w:val="20"/>
          <w:color w:val="auto"/>
        </w:rPr>
      </w:pPr>
    </w:p>
    <w:p>
      <w:pPr>
        <w:jc w:val="both"/>
        <w:ind w:left="1680" w:right="1880" w:firstLine="720"/>
        <w:spacing w:after="0" w:line="307"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This Eleventh Amendment</w:t>
      </w:r>
      <w:r>
        <w:rPr>
          <w:rFonts w:ascii="Arial" w:cs="Arial" w:eastAsia="Arial" w:hAnsi="Arial"/>
          <w:sz w:val="22"/>
          <w:szCs w:val="22"/>
          <w:color w:val="auto"/>
        </w:rPr>
        <w:t>. The Administrative Agent shall have received this Eleventh Amendment duly executed by the Borrower, the Guarantors, and each of the Lenders, as applicable;</w:t>
      </w:r>
    </w:p>
    <w:p>
      <w:pPr>
        <w:spacing w:after="0" w:line="349" w:lineRule="exact"/>
        <w:rPr>
          <w:sz w:val="20"/>
          <w:szCs w:val="20"/>
          <w:color w:val="auto"/>
        </w:rPr>
      </w:pPr>
    </w:p>
    <w:p>
      <w:pPr>
        <w:jc w:val="both"/>
        <w:ind w:left="1680" w:right="1880" w:firstLine="720"/>
        <w:spacing w:after="0" w:line="307"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Officer’s Certificates</w:t>
      </w:r>
      <w:r>
        <w:rPr>
          <w:rFonts w:ascii="Arial" w:cs="Arial" w:eastAsia="Arial" w:hAnsi="Arial"/>
          <w:sz w:val="22"/>
          <w:szCs w:val="22"/>
          <w:color w:val="auto"/>
        </w:rPr>
        <w:t>. Administrative Agent shall have received officer’s certificates and resolutions authorizing this Eleventh Amendment; and</w:t>
      </w:r>
    </w:p>
    <w:p>
      <w:pPr>
        <w:sectPr>
          <w:pgSz w:w="11900" w:h="16838" w:orient="portrait"/>
          <w:cols w:equalWidth="0" w:num="1">
            <w:col w:w="10440"/>
          </w:cols>
          <w:pgMar w:left="1440" w:top="1256"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77 / 98</w:t>
      </w:r>
    </w:p>
    <w:p>
      <w:pPr>
        <w:sectPr>
          <w:pgSz w:w="11900" w:h="16838" w:orient="portrait"/>
          <w:cols w:equalWidth="0" w:num="1">
            <w:col w:w="10440"/>
          </w:cols>
          <w:pgMar w:left="1440" w:top="1256" w:right="26" w:bottom="0" w:gutter="0" w:footer="0" w:header="0"/>
          <w:type w:val="continuous"/>
        </w:sectPr>
      </w:pPr>
    </w:p>
    <w:bookmarkStart w:id="259" w:name="page260"/>
    <w:bookmarkEnd w:id="259"/>
    <w:p>
      <w:pPr>
        <w:spacing w:after="0" w:line="35" w:lineRule="exact"/>
        <w:rPr>
          <w:sz w:val="20"/>
          <w:szCs w:val="20"/>
          <w:color w:val="auto"/>
        </w:rPr>
      </w:pPr>
    </w:p>
    <w:p>
      <w:pPr>
        <w:jc w:val="both"/>
        <w:ind w:left="1680" w:right="1880" w:firstLine="720"/>
        <w:spacing w:after="0" w:line="309"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Due Diligence</w:t>
      </w:r>
      <w:r>
        <w:rPr>
          <w:rFonts w:ascii="Arial" w:cs="Arial" w:eastAsia="Arial" w:hAnsi="Arial"/>
          <w:sz w:val="22"/>
          <w:szCs w:val="22"/>
          <w:color w:val="auto"/>
        </w:rPr>
        <w:t xml:space="preserve">. Administrative Agent and Lenders have received and are reasonably satisfied with all reports, inspections, and examinations required by Administrative Agent and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Lenders shall not require updated certified articles of</w:t>
      </w:r>
    </w:p>
    <w:p>
      <w:pPr>
        <w:spacing w:after="0" w:line="17" w:lineRule="exact"/>
        <w:rPr>
          <w:sz w:val="20"/>
          <w:szCs w:val="20"/>
          <w:color w:val="auto"/>
        </w:rPr>
      </w:pPr>
    </w:p>
    <w:p>
      <w:pPr>
        <w:ind w:left="1680" w:right="100"/>
        <w:spacing w:after="0" w:line="307" w:lineRule="auto"/>
        <w:rPr>
          <w:sz w:val="20"/>
          <w:szCs w:val="20"/>
          <w:color w:val="auto"/>
        </w:rPr>
      </w:pPr>
      <w:r>
        <w:rPr>
          <w:rFonts w:ascii="Arial" w:cs="Arial" w:eastAsia="Arial" w:hAnsi="Arial"/>
          <w:sz w:val="22"/>
          <w:szCs w:val="22"/>
          <w:color w:val="auto"/>
        </w:rPr>
        <w:t>organization, so long as the Officer’s Certificates described above include a certification that there have been no changes to the articles of organization since the closing of the Tenth Amendment.</w:t>
      </w:r>
    </w:p>
    <w:p>
      <w:pPr>
        <w:spacing w:after="0" w:line="361" w:lineRule="exact"/>
        <w:rPr>
          <w:sz w:val="20"/>
          <w:szCs w:val="20"/>
          <w:color w:val="auto"/>
        </w:rPr>
      </w:pPr>
    </w:p>
    <w:p>
      <w:pPr>
        <w:jc w:val="both"/>
        <w:ind w:left="1000" w:right="2580" w:firstLine="699"/>
        <w:spacing w:after="0" w:line="327" w:lineRule="auto"/>
        <w:tabs>
          <w:tab w:leader="none" w:pos="2915"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Reaffirmation and Ratification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Borrower and</w:t>
      </w:r>
      <w:r>
        <w:rPr>
          <w:rFonts w:ascii="Arial" w:cs="Arial" w:eastAsia="Arial" w:hAnsi="Arial"/>
          <w:sz w:val="21"/>
          <w:szCs w:val="21"/>
          <w:b w:val="1"/>
          <w:bCs w:val="1"/>
          <w:color w:val="auto"/>
        </w:rPr>
        <w:t xml:space="preserve"> </w:t>
      </w:r>
      <w:r>
        <w:rPr>
          <w:rFonts w:ascii="Arial" w:cs="Arial" w:eastAsia="Arial" w:hAnsi="Arial"/>
          <w:sz w:val="21"/>
          <w:szCs w:val="21"/>
          <w:color w:val="auto"/>
        </w:rPr>
        <w:t>each Guarantor hereby reaffirms, ratifies and confirms its Obligations under the Credit Agreement (to the extent it is a party) and all other Loan Documents and acknowledges that all of the terms and conditions of the</w:t>
      </w:r>
    </w:p>
    <w:p>
      <w:pPr>
        <w:ind w:left="1000"/>
        <w:spacing w:after="0" w:line="233" w:lineRule="auto"/>
        <w:tabs>
          <w:tab w:leader="none" w:pos="3120" w:val="left"/>
          <w:tab w:leader="none" w:pos="5700" w:val="left"/>
          <w:tab w:leader="none" w:pos="7620" w:val="left"/>
        </w:tabs>
        <w:rPr>
          <w:sz w:val="20"/>
          <w:szCs w:val="20"/>
          <w:color w:val="auto"/>
        </w:rPr>
      </w:pPr>
      <w:r>
        <w:rPr>
          <w:rFonts w:ascii="Arial" w:cs="Arial" w:eastAsia="Arial" w:hAnsi="Arial"/>
          <w:sz w:val="22"/>
          <w:szCs w:val="22"/>
          <w:color w:val="auto"/>
        </w:rPr>
        <w:t>Credit</w:t>
      </w:r>
      <w:r>
        <w:rPr>
          <w:sz w:val="20"/>
          <w:szCs w:val="20"/>
          <w:color w:val="auto"/>
        </w:rPr>
        <w:tab/>
      </w:r>
      <w:r>
        <w:rPr>
          <w:rFonts w:ascii="Arial" w:cs="Arial" w:eastAsia="Arial" w:hAnsi="Arial"/>
          <w:sz w:val="22"/>
          <w:szCs w:val="22"/>
          <w:color w:val="auto"/>
        </w:rPr>
        <w:t>Agreement</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all</w:t>
      </w:r>
    </w:p>
    <w:p>
      <w:pPr>
        <w:spacing w:after="0" w:line="88" w:lineRule="exact"/>
        <w:rPr>
          <w:sz w:val="20"/>
          <w:szCs w:val="20"/>
          <w:color w:val="auto"/>
        </w:rPr>
      </w:pPr>
    </w:p>
    <w:p>
      <w:pPr>
        <w:ind w:left="1000" w:right="60"/>
        <w:spacing w:after="0" w:line="307" w:lineRule="auto"/>
        <w:rPr>
          <w:sz w:val="20"/>
          <w:szCs w:val="20"/>
          <w:color w:val="auto"/>
        </w:rPr>
      </w:pPr>
      <w:r>
        <w:rPr>
          <w:rFonts w:ascii="Arial" w:cs="Arial" w:eastAsia="Arial" w:hAnsi="Arial"/>
          <w:sz w:val="22"/>
          <w:szCs w:val="22"/>
          <w:color w:val="auto"/>
        </w:rPr>
        <w:t>other Loan Documents, except as otherwise provided herein or therein, remain in full force and effect. The Borrower and each Guarantor further acknowledges and agrees that the liens, security interests, pledges, and assignments created by the Credit Agreement</w:t>
      </w:r>
    </w:p>
    <w:p>
      <w:pPr>
        <w:spacing w:after="0" w:line="8" w:lineRule="exact"/>
        <w:rPr>
          <w:sz w:val="20"/>
          <w:szCs w:val="20"/>
          <w:color w:val="auto"/>
        </w:rPr>
      </w:pPr>
    </w:p>
    <w:p>
      <w:pPr>
        <w:ind w:left="1000"/>
        <w:spacing w:after="0"/>
        <w:tabs>
          <w:tab w:leader="none" w:pos="1760" w:val="left"/>
          <w:tab w:leader="none" w:pos="2660" w:val="left"/>
          <w:tab w:leader="none" w:pos="4120" w:val="left"/>
          <w:tab w:leader="none" w:pos="4860" w:val="left"/>
          <w:tab w:leader="none" w:pos="5800" w:val="left"/>
          <w:tab w:leader="none" w:pos="7080" w:val="left"/>
        </w:tabs>
        <w:rPr>
          <w:sz w:val="20"/>
          <w:szCs w:val="20"/>
          <w:color w:val="auto"/>
        </w:rPr>
      </w:pP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Loan</w:t>
      </w:r>
      <w:r>
        <w:rPr>
          <w:sz w:val="20"/>
          <w:szCs w:val="20"/>
          <w:color w:val="auto"/>
        </w:rPr>
        <w:tab/>
      </w:r>
      <w:r>
        <w:rPr>
          <w:rFonts w:ascii="Arial" w:cs="Arial" w:eastAsia="Arial" w:hAnsi="Arial"/>
          <w:sz w:val="22"/>
          <w:szCs w:val="22"/>
          <w:color w:val="auto"/>
        </w:rPr>
        <w:t>Documents</w:t>
      </w:r>
      <w:r>
        <w:rPr>
          <w:sz w:val="20"/>
          <w:szCs w:val="20"/>
          <w:color w:val="auto"/>
        </w:rPr>
        <w:tab/>
      </w:r>
      <w:r>
        <w:rPr>
          <w:rFonts w:ascii="Arial" w:cs="Arial" w:eastAsia="Arial" w:hAnsi="Arial"/>
          <w:sz w:val="22"/>
          <w:szCs w:val="22"/>
          <w:color w:val="auto"/>
        </w:rPr>
        <w:t>are</w:t>
      </w:r>
      <w:r>
        <w:rPr>
          <w:sz w:val="20"/>
          <w:szCs w:val="20"/>
          <w:color w:val="auto"/>
        </w:rPr>
        <w:tab/>
      </w:r>
      <w:r>
        <w:rPr>
          <w:rFonts w:ascii="Arial" w:cs="Arial" w:eastAsia="Arial" w:hAnsi="Arial"/>
          <w:sz w:val="22"/>
          <w:szCs w:val="22"/>
          <w:color w:val="auto"/>
        </w:rPr>
        <w:t>valid,</w:t>
      </w:r>
      <w:r>
        <w:rPr>
          <w:sz w:val="20"/>
          <w:szCs w:val="20"/>
          <w:color w:val="auto"/>
        </w:rPr>
        <w:tab/>
      </w:r>
      <w:r>
        <w:rPr>
          <w:rFonts w:ascii="Arial" w:cs="Arial" w:eastAsia="Arial" w:hAnsi="Arial"/>
          <w:sz w:val="22"/>
          <w:szCs w:val="22"/>
          <w:color w:val="auto"/>
        </w:rPr>
        <w:t>effective,</w:t>
      </w:r>
      <w:r>
        <w:rPr>
          <w:sz w:val="20"/>
          <w:szCs w:val="20"/>
          <w:color w:val="auto"/>
        </w:rPr>
        <w:tab/>
      </w:r>
      <w:r>
        <w:rPr>
          <w:rFonts w:ascii="Arial" w:cs="Arial" w:eastAsia="Arial" w:hAnsi="Arial"/>
          <w:sz w:val="21"/>
          <w:szCs w:val="21"/>
          <w:color w:val="auto"/>
        </w:rPr>
        <w:t>properly</w:t>
      </w:r>
    </w:p>
    <w:p>
      <w:pPr>
        <w:spacing w:after="0" w:line="88" w:lineRule="exact"/>
        <w:rPr>
          <w:sz w:val="20"/>
          <w:szCs w:val="20"/>
          <w:color w:val="auto"/>
        </w:rPr>
      </w:pPr>
    </w:p>
    <w:p>
      <w:pPr>
        <w:ind w:left="1000"/>
        <w:spacing w:after="0" w:line="307" w:lineRule="auto"/>
        <w:rPr>
          <w:sz w:val="20"/>
          <w:szCs w:val="20"/>
          <w:color w:val="auto"/>
        </w:rPr>
      </w:pPr>
      <w:r>
        <w:rPr>
          <w:rFonts w:ascii="Arial" w:cs="Arial" w:eastAsia="Arial" w:hAnsi="Arial"/>
          <w:sz w:val="22"/>
          <w:szCs w:val="22"/>
          <w:color w:val="auto"/>
        </w:rPr>
        <w:t>perfected, and enforceable liens, security interests, pledges, and assignments, and hereby reaffirms the gran of all liens, security interests, pledges, and assignments which each has previously granted to the Administrative Agent and Lenders.</w:t>
      </w:r>
    </w:p>
    <w:p>
      <w:pPr>
        <w:spacing w:after="0" w:line="339"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6.</w:t>
      </w:r>
    </w:p>
    <w:p>
      <w:pPr>
        <w:spacing w:after="0" w:line="88" w:lineRule="exact"/>
        <w:rPr>
          <w:sz w:val="20"/>
          <w:szCs w:val="20"/>
          <w:color w:val="auto"/>
        </w:rPr>
      </w:pPr>
    </w:p>
    <w:p>
      <w:pPr>
        <w:ind w:left="1000" w:right="1460"/>
        <w:spacing w:after="0" w:line="344" w:lineRule="auto"/>
        <w:rPr>
          <w:sz w:val="20"/>
          <w:szCs w:val="20"/>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Parties acknowledge and agree that as of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Eleventh Amendment: (i) the Indebtedness is just, due, and owing,</w:t>
      </w:r>
    </w:p>
    <w:p>
      <w:pPr>
        <w:spacing w:after="0" w:line="1" w:lineRule="exact"/>
        <w:rPr>
          <w:sz w:val="20"/>
          <w:szCs w:val="20"/>
          <w:color w:val="auto"/>
        </w:rPr>
      </w:pPr>
    </w:p>
    <w:p>
      <w:pPr>
        <w:jc w:val="both"/>
        <w:ind w:left="1000" w:right="2580"/>
        <w:spacing w:after="0" w:line="309" w:lineRule="auto"/>
        <w:rPr>
          <w:sz w:val="20"/>
          <w:szCs w:val="20"/>
          <w:color w:val="auto"/>
        </w:rPr>
      </w:pPr>
      <w:r>
        <w:rPr>
          <w:rFonts w:ascii="Arial" w:cs="Arial" w:eastAsia="Arial" w:hAnsi="Arial"/>
          <w:sz w:val="22"/>
          <w:szCs w:val="22"/>
          <w:color w:val="auto"/>
        </w:rPr>
        <w:t>without any right of any Loan Party to setoff, recoup, or counterclaim; (ii) the Administrative Agent and Lenders have fully performed all of their obligations under the Credit Agreement and Loan Documents and are not in default under any</w:t>
      </w: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332105</wp:posOffset>
            </wp:positionV>
            <wp:extent cx="459613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10440"/>
          </w:cols>
          <w:pgMar w:left="1440" w:top="144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78 / 98</w:t>
      </w:r>
    </w:p>
    <w:p>
      <w:pPr>
        <w:sectPr>
          <w:pgSz w:w="11900" w:h="16838" w:orient="portrait"/>
          <w:cols w:equalWidth="0" w:num="1">
            <w:col w:w="10440"/>
          </w:cols>
          <w:pgMar w:left="1440" w:top="1440" w:right="26" w:bottom="0" w:gutter="0" w:footer="0" w:header="0"/>
          <w:type w:val="continuous"/>
        </w:sectPr>
      </w:pPr>
    </w:p>
    <w:bookmarkStart w:id="260" w:name="page261"/>
    <w:bookmarkEnd w:id="260"/>
    <w:p>
      <w:pPr>
        <w:ind w:left="900"/>
        <w:spacing w:after="0"/>
        <w:rPr>
          <w:sz w:val="20"/>
          <w:szCs w:val="20"/>
          <w:color w:val="auto"/>
        </w:rPr>
      </w:pPr>
      <w:r>
        <w:rPr>
          <w:rFonts w:ascii="Arial" w:cs="Arial" w:eastAsia="Arial" w:hAnsi="Arial"/>
          <w:sz w:val="22"/>
          <w:szCs w:val="22"/>
          <w:color w:val="auto"/>
        </w:rPr>
        <w:t>terms, provisions, or conditions of the Credit Agreement or the Loan</w:t>
      </w:r>
    </w:p>
    <w:p>
      <w:pPr>
        <w:spacing w:after="0" w:line="77" w:lineRule="exact"/>
        <w:rPr>
          <w:sz w:val="20"/>
          <w:szCs w:val="20"/>
          <w:color w:val="auto"/>
        </w:rPr>
      </w:pPr>
    </w:p>
    <w:p>
      <w:pPr>
        <w:ind w:left="900"/>
        <w:spacing w:after="0"/>
        <w:tabs>
          <w:tab w:leader="none" w:pos="3020" w:val="left"/>
          <w:tab w:leader="none" w:pos="4420" w:val="left"/>
          <w:tab w:leader="none" w:pos="5680" w:val="left"/>
          <w:tab w:leader="none" w:pos="7540" w:val="left"/>
        </w:tabs>
        <w:rPr>
          <w:sz w:val="20"/>
          <w:szCs w:val="20"/>
          <w:color w:val="auto"/>
        </w:rPr>
      </w:pPr>
      <w:r>
        <w:rPr>
          <w:rFonts w:ascii="Arial" w:cs="Arial" w:eastAsia="Arial" w:hAnsi="Arial"/>
          <w:sz w:val="22"/>
          <w:szCs w:val="22"/>
          <w:color w:val="auto"/>
        </w:rPr>
        <w:t>Documents,</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in</w:t>
      </w:r>
      <w:r>
        <w:rPr>
          <w:sz w:val="20"/>
          <w:szCs w:val="20"/>
          <w:color w:val="auto"/>
        </w:rPr>
        <w:tab/>
      </w:r>
      <w:r>
        <w:rPr>
          <w:rFonts w:ascii="Arial" w:cs="Arial" w:eastAsia="Arial" w:hAnsi="Arial"/>
          <w:sz w:val="22"/>
          <w:szCs w:val="22"/>
          <w:color w:val="auto"/>
        </w:rPr>
        <w:t>addition,</w:t>
      </w:r>
      <w:r>
        <w:rPr>
          <w:sz w:val="20"/>
          <w:szCs w:val="20"/>
          <w:color w:val="auto"/>
        </w:rPr>
        <w:tab/>
      </w:r>
      <w:r>
        <w:rPr>
          <w:rFonts w:ascii="Arial" w:cs="Arial" w:eastAsia="Arial" w:hAnsi="Arial"/>
          <w:sz w:val="19"/>
          <w:szCs w:val="19"/>
          <w:color w:val="auto"/>
        </w:rPr>
        <w:t>no</w:t>
      </w:r>
    </w:p>
    <w:p>
      <w:pPr>
        <w:spacing w:after="0" w:line="88" w:lineRule="exact"/>
        <w:rPr>
          <w:sz w:val="20"/>
          <w:szCs w:val="20"/>
          <w:color w:val="auto"/>
        </w:rPr>
      </w:pPr>
    </w:p>
    <w:p>
      <w:pPr>
        <w:jc w:val="both"/>
        <w:ind w:left="900" w:right="100"/>
        <w:spacing w:after="0" w:line="307" w:lineRule="auto"/>
        <w:rPr>
          <w:sz w:val="20"/>
          <w:szCs w:val="20"/>
          <w:color w:val="auto"/>
        </w:rPr>
      </w:pPr>
      <w:r>
        <w:rPr>
          <w:rFonts w:ascii="Arial" w:cs="Arial" w:eastAsia="Arial" w:hAnsi="Arial"/>
          <w:sz w:val="22"/>
          <w:szCs w:val="22"/>
          <w:color w:val="auto"/>
        </w:rPr>
        <w:t>circumstances exist under which Administrative Agent and Lenders may be deemed in default merely upon service of notice or passage of time or both; and (iii) the Loan Parties have no defenses to the Indebtedness, the Credit Agreement, or the Loan Documents.</w:t>
      </w:r>
    </w:p>
    <w:p>
      <w:pPr>
        <w:spacing w:after="0" w:line="305" w:lineRule="exact"/>
        <w:rPr>
          <w:sz w:val="20"/>
          <w:szCs w:val="20"/>
          <w:color w:val="auto"/>
        </w:rPr>
      </w:pPr>
    </w:p>
    <w:p>
      <w:pPr>
        <w:jc w:val="both"/>
        <w:ind w:left="1000" w:right="2580" w:firstLine="699"/>
        <w:spacing w:after="0" w:line="344" w:lineRule="auto"/>
        <w:tabs>
          <w:tab w:leader="none" w:pos="2900" w:val="left"/>
        </w:tabs>
        <w:numPr>
          <w:ilvl w:val="0"/>
          <w:numId w:val="144"/>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Each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Eleventh Amendment, except: (i) for representations and warranties which are</w:t>
      </w:r>
    </w:p>
    <w:p>
      <w:pPr>
        <w:ind w:left="1000"/>
        <w:spacing w:after="0"/>
        <w:tabs>
          <w:tab w:leader="none" w:pos="2660" w:val="left"/>
          <w:tab w:leader="none" w:pos="3780" w:val="left"/>
          <w:tab w:leader="none" w:pos="4940" w:val="left"/>
          <w:tab w:leader="none" w:pos="6660" w:val="left"/>
          <w:tab w:leader="none" w:pos="7740" w:val="left"/>
        </w:tabs>
        <w:rPr>
          <w:sz w:val="20"/>
          <w:szCs w:val="20"/>
          <w:color w:val="auto"/>
        </w:rPr>
      </w:pPr>
      <w:r>
        <w:rPr>
          <w:rFonts w:ascii="Arial" w:cs="Arial" w:eastAsia="Arial" w:hAnsi="Arial"/>
          <w:sz w:val="22"/>
          <w:szCs w:val="22"/>
          <w:color w:val="auto"/>
        </w:rPr>
        <w:t>qualified</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inclusion</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16"/>
          <w:szCs w:val="16"/>
          <w:color w:val="auto"/>
        </w:rPr>
        <w:t>a</w:t>
      </w:r>
    </w:p>
    <w:p>
      <w:pPr>
        <w:spacing w:after="0" w:line="88" w:lineRule="exact"/>
        <w:rPr>
          <w:sz w:val="20"/>
          <w:szCs w:val="20"/>
          <w:color w:val="auto"/>
        </w:rPr>
      </w:pPr>
    </w:p>
    <w:p>
      <w:pPr>
        <w:ind w:left="1000" w:right="20"/>
        <w:spacing w:after="0" w:line="302" w:lineRule="auto"/>
        <w:rPr>
          <w:sz w:val="20"/>
          <w:szCs w:val="20"/>
          <w:color w:val="auto"/>
        </w:rPr>
      </w:pPr>
      <w:r>
        <w:rPr>
          <w:rFonts w:ascii="Arial" w:cs="Arial" w:eastAsia="Arial" w:hAnsi="Arial"/>
          <w:sz w:val="22"/>
          <w:szCs w:val="22"/>
          <w:color w:val="auto"/>
        </w:rPr>
        <w:t>materiality standard, which representations and warranties shall be true and correct in all respects; and (ii) t the extent that such representations and warranties specifically refer to an</w:t>
      </w:r>
    </w:p>
    <w:p>
      <w:pPr>
        <w:spacing w:after="0" w:line="23" w:lineRule="exact"/>
        <w:rPr>
          <w:sz w:val="20"/>
          <w:szCs w:val="20"/>
          <w:color w:val="auto"/>
        </w:rPr>
      </w:pPr>
    </w:p>
    <w:p>
      <w:pPr>
        <w:ind w:left="1000" w:right="2600"/>
        <w:spacing w:after="0" w:line="302" w:lineRule="auto"/>
        <w:rPr>
          <w:sz w:val="20"/>
          <w:szCs w:val="20"/>
          <w:color w:val="auto"/>
        </w:rPr>
      </w:pPr>
      <w:r>
        <w:rPr>
          <w:rFonts w:ascii="Arial" w:cs="Arial" w:eastAsia="Arial" w:hAnsi="Arial"/>
          <w:sz w:val="22"/>
          <w:szCs w:val="22"/>
          <w:color w:val="auto"/>
        </w:rPr>
        <w:t xml:space="preserve">earlier date, in which case they shall be true and correct in all material respects as of such earlier date; </w:t>
      </w:r>
      <w:r>
        <w:rPr>
          <w:rFonts w:ascii="Arial" w:cs="Arial" w:eastAsia="Arial" w:hAnsi="Arial"/>
          <w:sz w:val="22"/>
          <w:szCs w:val="22"/>
          <w:i w:val="1"/>
          <w:iCs w:val="1"/>
          <w:color w:val="auto"/>
        </w:rPr>
        <w:t>provided</w:t>
      </w:r>
      <w:r>
        <w:rPr>
          <w:rFonts w:ascii="Arial" w:cs="Arial" w:eastAsia="Arial" w:hAnsi="Arial"/>
          <w:sz w:val="22"/>
          <w:szCs w:val="22"/>
          <w:color w:val="auto"/>
        </w:rPr>
        <w:t>, in each case, that any</w:t>
      </w:r>
    </w:p>
    <w:p>
      <w:pPr>
        <w:spacing w:after="0" w:line="23" w:lineRule="exact"/>
        <w:rPr>
          <w:sz w:val="20"/>
          <w:szCs w:val="20"/>
          <w:color w:val="auto"/>
        </w:rPr>
      </w:pPr>
    </w:p>
    <w:p>
      <w:pPr>
        <w:ind w:left="1000" w:right="80"/>
        <w:spacing w:after="0" w:line="330" w:lineRule="auto"/>
        <w:rPr>
          <w:sz w:val="20"/>
          <w:szCs w:val="20"/>
          <w:color w:val="auto"/>
        </w:rPr>
      </w:pPr>
      <w:r>
        <w:rPr>
          <w:rFonts w:ascii="Arial" w:cs="Arial" w:eastAsia="Arial" w:hAnsi="Arial"/>
          <w:sz w:val="22"/>
          <w:szCs w:val="22"/>
          <w:color w:val="auto"/>
        </w:rPr>
        <w:t>representation or warranty which is qualified by reference to Material Adverse Effect shall exclude events, circumstances, occurrences or conditions arising from the COVID-19 pandemic.</w:t>
      </w:r>
    </w:p>
    <w:p>
      <w:pPr>
        <w:spacing w:after="0" w:line="200" w:lineRule="exact"/>
        <w:rPr>
          <w:sz w:val="20"/>
          <w:szCs w:val="20"/>
          <w:color w:val="auto"/>
        </w:rPr>
      </w:pPr>
    </w:p>
    <w:p>
      <w:pPr>
        <w:spacing w:after="0" w:line="370" w:lineRule="exact"/>
        <w:rPr>
          <w:sz w:val="20"/>
          <w:szCs w:val="20"/>
          <w:color w:val="auto"/>
        </w:rPr>
      </w:pPr>
    </w:p>
    <w:p>
      <w:pPr>
        <w:jc w:val="both"/>
        <w:ind w:left="1000" w:right="2600" w:firstLine="699"/>
        <w:spacing w:after="0" w:line="218" w:lineRule="auto"/>
        <w:tabs>
          <w:tab w:leader="none" w:pos="2874"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Events of Default</w:t>
      </w:r>
      <w:r>
        <w:rPr>
          <w:rFonts w:ascii="Arial" w:cs="Arial" w:eastAsia="Arial" w:hAnsi="Arial"/>
          <w:sz w:val="22"/>
          <w:szCs w:val="22"/>
          <w:color w:val="auto"/>
        </w:rPr>
        <w:t>. After giving effect to this Eleventh</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no Default nor any Event of Default has occurred and is continuing under the Credit Agreement.</w:t>
      </w:r>
    </w:p>
    <w:p>
      <w:pPr>
        <w:spacing w:after="0" w:line="343" w:lineRule="exact"/>
        <w:rPr>
          <w:rFonts w:ascii="Arial" w:cs="Arial" w:eastAsia="Arial" w:hAnsi="Arial"/>
          <w:sz w:val="22"/>
          <w:szCs w:val="22"/>
          <w:color w:val="auto"/>
        </w:rPr>
      </w:pPr>
    </w:p>
    <w:p>
      <w:pPr>
        <w:ind w:left="2880" w:hanging="1181"/>
        <w:spacing w:after="0"/>
        <w:tabs>
          <w:tab w:leader="none" w:pos="2880"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Integration</w:t>
      </w:r>
      <w:r>
        <w:rPr>
          <w:rFonts w:ascii="Arial" w:cs="Arial" w:eastAsia="Arial" w:hAnsi="Arial"/>
          <w:sz w:val="22"/>
          <w:szCs w:val="22"/>
          <w:color w:val="auto"/>
        </w:rPr>
        <w:t>. This Eleventh Amendment constitutes the</w:t>
      </w:r>
    </w:p>
    <w:p>
      <w:pPr>
        <w:spacing w:after="0" w:line="77" w:lineRule="exact"/>
        <w:rPr>
          <w:sz w:val="20"/>
          <w:szCs w:val="20"/>
          <w:color w:val="auto"/>
        </w:rPr>
      </w:pPr>
    </w:p>
    <w:p>
      <w:pPr>
        <w:ind w:left="1000"/>
        <w:spacing w:after="0"/>
        <w:tabs>
          <w:tab w:leader="none" w:pos="2320" w:val="left"/>
          <w:tab w:leader="none" w:pos="4080" w:val="left"/>
          <w:tab w:leader="none" w:pos="5120" w:val="left"/>
          <w:tab w:leader="none" w:pos="6220" w:val="left"/>
          <w:tab w:leader="none" w:pos="7660" w:val="left"/>
        </w:tabs>
        <w:rPr>
          <w:sz w:val="20"/>
          <w:szCs w:val="20"/>
          <w:color w:val="auto"/>
        </w:rPr>
      </w:pPr>
      <w:r>
        <w:rPr>
          <w:rFonts w:ascii="Arial" w:cs="Arial" w:eastAsia="Arial" w:hAnsi="Arial"/>
          <w:sz w:val="22"/>
          <w:szCs w:val="22"/>
          <w:color w:val="auto"/>
        </w:rPr>
        <w:t>entire</w:t>
      </w:r>
      <w:r>
        <w:rPr>
          <w:sz w:val="20"/>
          <w:szCs w:val="20"/>
          <w:color w:val="auto"/>
        </w:rPr>
        <w:tab/>
      </w:r>
      <w:r>
        <w:rPr>
          <w:rFonts w:ascii="Arial" w:cs="Arial" w:eastAsia="Arial" w:hAnsi="Arial"/>
          <w:sz w:val="22"/>
          <w:szCs w:val="22"/>
          <w:color w:val="auto"/>
        </w:rPr>
        <w:t>agreement</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parties</w:t>
      </w:r>
      <w:r>
        <w:rPr>
          <w:sz w:val="20"/>
          <w:szCs w:val="20"/>
          <w:color w:val="auto"/>
        </w:rPr>
        <w:tab/>
      </w:r>
      <w:r>
        <w:rPr>
          <w:rFonts w:ascii="Arial" w:cs="Arial" w:eastAsia="Arial" w:hAnsi="Arial"/>
          <w:sz w:val="22"/>
          <w:szCs w:val="22"/>
          <w:color w:val="auto"/>
        </w:rPr>
        <w:t>in</w:t>
      </w:r>
    </w:p>
    <w:p>
      <w:pPr>
        <w:spacing w:after="0" w:line="88" w:lineRule="exact"/>
        <w:rPr>
          <w:sz w:val="20"/>
          <w:szCs w:val="20"/>
          <w:color w:val="auto"/>
        </w:rPr>
      </w:pPr>
    </w:p>
    <w:p>
      <w:pPr>
        <w:jc w:val="both"/>
        <w:ind w:left="1000"/>
        <w:spacing w:after="0" w:line="307" w:lineRule="auto"/>
        <w:rPr>
          <w:sz w:val="20"/>
          <w:szCs w:val="20"/>
          <w:color w:val="auto"/>
        </w:rPr>
      </w:pPr>
      <w:r>
        <w:rPr>
          <w:rFonts w:ascii="Arial" w:cs="Arial" w:eastAsia="Arial" w:hAnsi="Arial"/>
          <w:sz w:val="22"/>
          <w:szCs w:val="22"/>
          <w:color w:val="auto"/>
        </w:rPr>
        <w:t>connection with the subject matter hereof and cannot be changed or terminated orally. All prior agreements, understandings, representations, warranties and negotiations regarding the subject matter hereof, if any, are merged into this Eleventh Amendment.</w:t>
      </w:r>
    </w:p>
    <w:p>
      <w:pPr>
        <w:spacing w:after="0" w:line="339"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10.</w:t>
      </w:r>
    </w:p>
    <w:p>
      <w:pPr>
        <w:spacing w:after="0" w:line="88" w:lineRule="exact"/>
        <w:rPr>
          <w:sz w:val="20"/>
          <w:szCs w:val="20"/>
          <w:color w:val="auto"/>
        </w:rPr>
      </w:pPr>
    </w:p>
    <w:p>
      <w:pPr>
        <w:ind w:left="1000" w:right="1500"/>
        <w:spacing w:after="0" w:line="328" w:lineRule="auto"/>
        <w:rPr>
          <w:sz w:val="20"/>
          <w:szCs w:val="20"/>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Eleventh Amendment may be executed in multiple counterparts, each</w:t>
      </w:r>
      <w:r>
        <w:rPr>
          <w:rFonts w:ascii="Arial" w:cs="Arial" w:eastAsia="Arial" w:hAnsi="Arial"/>
          <w:sz w:val="21"/>
          <w:szCs w:val="21"/>
          <w:b w:val="1"/>
          <w:bCs w:val="1"/>
          <w:color w:val="auto"/>
        </w:rPr>
        <w:t xml:space="preserve"> </w:t>
      </w:r>
      <w:r>
        <w:rPr>
          <w:rFonts w:ascii="Arial" w:cs="Arial" w:eastAsia="Arial" w:hAnsi="Arial"/>
          <w:sz w:val="21"/>
          <w:szCs w:val="21"/>
          <w:color w:val="auto"/>
        </w:rPr>
        <w:t>of which when so executed and delivered shall be deemed an original, and all of which, taken together, shall constitute but one and the same agreement.</w:t>
      </w:r>
    </w:p>
    <w:p>
      <w:pPr>
        <w:spacing w:after="0" w:line="245" w:lineRule="exact"/>
        <w:rPr>
          <w:sz w:val="20"/>
          <w:szCs w:val="20"/>
          <w:color w:val="auto"/>
        </w:rPr>
      </w:pPr>
    </w:p>
    <w:p>
      <w:pPr>
        <w:ind w:left="2920" w:hanging="1221"/>
        <w:spacing w:after="0"/>
        <w:tabs>
          <w:tab w:leader="none" w:pos="2920" w:val="left"/>
        </w:tabs>
        <w:numPr>
          <w:ilvl w:val="0"/>
          <w:numId w:val="14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Eleventh Amendment shall be</w:t>
      </w:r>
    </w:p>
    <w:p>
      <w:pPr>
        <w:ind w:left="1000"/>
        <w:spacing w:after="0"/>
        <w:tabs>
          <w:tab w:leader="none" w:pos="2860" w:val="left"/>
          <w:tab w:leader="none" w:pos="4200" w:val="left"/>
          <w:tab w:leader="none" w:pos="5580" w:val="left"/>
          <w:tab w:leader="none" w:pos="7520" w:val="left"/>
        </w:tabs>
        <w:rPr>
          <w:sz w:val="20"/>
          <w:szCs w:val="20"/>
          <w:color w:val="auto"/>
        </w:rPr>
      </w:pPr>
      <w:r>
        <w:rPr>
          <w:rFonts w:ascii="Arial" w:cs="Arial" w:eastAsia="Arial" w:hAnsi="Arial"/>
          <w:sz w:val="22"/>
          <w:szCs w:val="22"/>
          <w:color w:val="auto"/>
        </w:rPr>
        <w:t>governed</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construed</w:t>
      </w:r>
      <w:r>
        <w:rPr>
          <w:sz w:val="20"/>
          <w:szCs w:val="20"/>
          <w:color w:val="auto"/>
        </w:rPr>
        <w:tab/>
      </w:r>
      <w:r>
        <w:rPr>
          <w:rFonts w:ascii="Arial" w:cs="Arial" w:eastAsia="Arial" w:hAnsi="Arial"/>
          <w:sz w:val="19"/>
          <w:szCs w:val="19"/>
          <w:color w:val="auto"/>
        </w:rPr>
        <w:t>and</w:t>
      </w:r>
    </w:p>
    <w:p>
      <w:pPr>
        <w:ind w:left="1000" w:right="40"/>
        <w:spacing w:after="0" w:line="220" w:lineRule="auto"/>
        <w:rPr>
          <w:sz w:val="20"/>
          <w:szCs w:val="20"/>
          <w:color w:val="auto"/>
        </w:rPr>
      </w:pPr>
      <w:r>
        <w:rPr>
          <w:rFonts w:ascii="Arial" w:cs="Arial" w:eastAsia="Arial" w:hAnsi="Arial"/>
          <w:sz w:val="22"/>
          <w:szCs w:val="22"/>
          <w:color w:val="auto"/>
        </w:rPr>
        <w:t>enforced in accordance with, the internal laws (as opposed to the conflicts of law principles) of the State of New York.</w:t>
      </w:r>
    </w:p>
    <w:p>
      <w:pPr>
        <w:spacing w:after="0" w:line="302"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[Rest of page intentionally left blank; signature pages follow]</w:t>
      </w:r>
    </w:p>
    <w:p>
      <w:pPr>
        <w:sectPr>
          <w:pgSz w:w="11900" w:h="16838" w:orient="portrait"/>
          <w:cols w:equalWidth="0" w:num="1">
            <w:col w:w="10460"/>
          </w:cols>
          <w:pgMar w:left="1440" w:top="124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79 / 98</w:t>
      </w:r>
    </w:p>
    <w:p>
      <w:pPr>
        <w:sectPr>
          <w:pgSz w:w="11900" w:h="16838" w:orient="portrait"/>
          <w:cols w:equalWidth="0" w:num="1">
            <w:col w:w="10460"/>
          </w:cols>
          <w:pgMar w:left="1440" w:top="1245" w:right="6" w:bottom="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6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354330</wp:posOffset>
            </wp:positionV>
            <wp:extent cx="459613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80 / 98</w:t>
      </w:r>
    </w:p>
    <w:p>
      <w:pPr>
        <w:sectPr>
          <w:pgSz w:w="11900" w:h="16838" w:orient="portrait"/>
          <w:cols w:equalWidth="0" w:num="1">
            <w:col w:w="9026"/>
          </w:cols>
          <w:pgMar w:left="1440" w:top="1440" w:right="1440" w:bottom="0" w:gutter="0" w:footer="0" w:header="0"/>
          <w:type w:val="continuous"/>
        </w:sectPr>
      </w:pPr>
    </w:p>
    <w:bookmarkStart w:id="262" w:name="page263"/>
    <w:bookmarkEnd w:id="262"/>
    <w:p>
      <w:pPr>
        <w:ind w:left="1800"/>
        <w:spacing w:after="0"/>
        <w:rPr>
          <w:sz w:val="20"/>
          <w:szCs w:val="20"/>
          <w:color w:val="auto"/>
        </w:rPr>
      </w:pPr>
      <w:r>
        <w:rPr>
          <w:rFonts w:ascii="Arial" w:cs="Arial" w:eastAsia="Arial" w:hAnsi="Arial"/>
          <w:sz w:val="21"/>
          <w:szCs w:val="21"/>
          <w:i w:val="1"/>
          <w:iCs w:val="1"/>
          <w:color w:val="312F2F"/>
        </w:rPr>
        <w:t>IN WITNESS WHEREOF</w:t>
      </w:r>
      <w:r>
        <w:rPr>
          <w:rFonts w:ascii="Arial" w:cs="Arial" w:eastAsia="Arial" w:hAnsi="Arial"/>
          <w:sz w:val="21"/>
          <w:szCs w:val="21"/>
          <w:i w:val="1"/>
          <w:iCs w:val="1"/>
          <w:color w:val="5B5B5B"/>
        </w:rPr>
        <w:t>,</w:t>
      </w:r>
    </w:p>
    <w:p>
      <w:pPr>
        <w:ind w:left="1120" w:right="2680" w:firstLine="53"/>
        <w:spacing w:after="0" w:line="224" w:lineRule="auto"/>
        <w:rPr>
          <w:sz w:val="20"/>
          <w:szCs w:val="20"/>
          <w:color w:val="auto"/>
        </w:rPr>
      </w:pPr>
      <w:r>
        <w:rPr>
          <w:rFonts w:ascii="Arial" w:cs="Arial" w:eastAsia="Arial" w:hAnsi="Arial"/>
          <w:sz w:val="20"/>
          <w:szCs w:val="20"/>
          <w:color w:val="312F2F"/>
        </w:rPr>
        <w:t>the patties hereto ha</w:t>
      </w:r>
      <w:r>
        <w:rPr>
          <w:rFonts w:ascii="Arial" w:cs="Arial" w:eastAsia="Arial" w:hAnsi="Arial"/>
          <w:sz w:val="20"/>
          <w:szCs w:val="20"/>
          <w:color w:val="5B5B5B"/>
        </w:rPr>
        <w:t>v</w:t>
      </w:r>
      <w:r>
        <w:rPr>
          <w:rFonts w:ascii="Arial" w:cs="Arial" w:eastAsia="Arial" w:hAnsi="Arial"/>
          <w:sz w:val="20"/>
          <w:szCs w:val="20"/>
          <w:color w:val="424241"/>
        </w:rPr>
        <w:t>e executed</w:t>
      </w:r>
      <w:r>
        <w:rPr>
          <w:rFonts w:ascii="Arial" w:cs="Arial" w:eastAsia="Arial" w:hAnsi="Arial"/>
          <w:sz w:val="20"/>
          <w:szCs w:val="20"/>
          <w:color w:val="312F2F"/>
        </w:rPr>
        <w:t xml:space="preserve"> this </w:t>
      </w:r>
      <w:r>
        <w:rPr>
          <w:rFonts w:ascii="Arial" w:cs="Arial" w:eastAsia="Arial" w:hAnsi="Arial"/>
          <w:sz w:val="20"/>
          <w:szCs w:val="20"/>
          <w:color w:val="424241"/>
        </w:rPr>
        <w:t>Eleventh Amendment</w:t>
      </w:r>
      <w:r>
        <w:rPr>
          <w:rFonts w:ascii="Arial" w:cs="Arial" w:eastAsia="Arial" w:hAnsi="Arial"/>
          <w:sz w:val="20"/>
          <w:szCs w:val="20"/>
          <w:color w:val="312F2F"/>
        </w:rPr>
        <w:t xml:space="preserve"> by their respective duly authorized officers as of the date first </w:t>
      </w:r>
      <w:r>
        <w:rPr>
          <w:rFonts w:ascii="Arial" w:cs="Arial" w:eastAsia="Arial" w:hAnsi="Arial"/>
          <w:sz w:val="20"/>
          <w:szCs w:val="20"/>
          <w:color w:val="424241"/>
        </w:rPr>
        <w:t>above</w:t>
      </w:r>
      <w:r>
        <w:rPr>
          <w:rFonts w:ascii="Arial" w:cs="Arial" w:eastAsia="Arial" w:hAnsi="Arial"/>
          <w:sz w:val="20"/>
          <w:szCs w:val="20"/>
          <w:color w:val="312F2F"/>
        </w:rPr>
        <w:t xml:space="preserve"> written.</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312F2F"/>
        </w:rPr>
        <w:t>BORROWER: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CONSOLIDATED AMUSEMENT HOLDING</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LLC</w:t>
      </w:r>
      <w:r>
        <w:rPr>
          <w:rFonts w:ascii="Arial" w:cs="Arial" w:eastAsia="Arial" w:hAnsi="Arial"/>
          <w:sz w:val="22"/>
          <w:szCs w:val="22"/>
          <w:color w:val="auto"/>
        </w:rPr>
        <w:t>, a Nevada limited liability company</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1171575</wp:posOffset>
            </wp:positionV>
            <wp:extent cx="459613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81 / 98</w:t>
      </w:r>
    </w:p>
    <w:p>
      <w:pPr>
        <w:sectPr>
          <w:pgSz w:w="11900" w:h="16838" w:orient="portrait"/>
          <w:cols w:equalWidth="0" w:num="1">
            <w:col w:w="10460"/>
          </w:cols>
          <w:pgMar w:left="1440" w:top="1165" w:right="6" w:bottom="0" w:gutter="0" w:footer="0" w:header="0"/>
          <w:type w:val="continuous"/>
        </w:sectPr>
      </w:pPr>
    </w:p>
    <w:bookmarkStart w:id="263" w:name="page264"/>
    <w:bookmarkEnd w:id="263"/>
    <w:p>
      <w:pPr>
        <w:ind w:left="416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CONSOLIDATED ENTERTAINMENT, LLC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ANGELIKA FILM CENTER MOSAIC, LLC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ANGELIKA FILM CENTERs LLC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Delaware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READING CINEMAS NJ, INC.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Delaware 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60"/>
        <w:spacing w:after="0"/>
        <w:rPr>
          <w:sz w:val="20"/>
          <w:szCs w:val="20"/>
          <w:color w:val="auto"/>
        </w:rPr>
      </w:pPr>
      <w:r>
        <w:rPr>
          <w:rFonts w:ascii="Arial" w:cs="Arial" w:eastAsia="Arial" w:hAnsi="Arial"/>
          <w:sz w:val="21"/>
          <w:szCs w:val="21"/>
          <w:b w:val="1"/>
          <w:bCs w:val="1"/>
          <w:color w:val="auto"/>
        </w:rPr>
        <w:t>CONSOLIDATED CINEMA SERVICES, LLC</w:t>
      </w:r>
    </w:p>
    <w:p>
      <w:pPr>
        <w:spacing w:after="0" w:line="7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ectPr>
          <w:pgSz w:w="11900" w:h="16838" w:orient="portrait"/>
          <w:cols w:equalWidth="0" w:num="1">
            <w:col w:w="10460"/>
          </w:cols>
          <w:pgMar w:left="1440" w:top="132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82 / 98</w:t>
      </w:r>
    </w:p>
    <w:p>
      <w:pPr>
        <w:sectPr>
          <w:pgSz w:w="11900" w:h="16838" w:orient="portrait"/>
          <w:cols w:equalWidth="0" w:num="1">
            <w:col w:w="10460"/>
          </w:cols>
          <w:pgMar w:left="1440" w:top="1326" w:right="6" w:bottom="0" w:gutter="0" w:footer="0" w:header="0"/>
          <w:type w:val="continuous"/>
        </w:sectPr>
      </w:pPr>
    </w:p>
    <w:bookmarkStart w:id="264" w:name="page265"/>
    <w:bookmarkEnd w:id="264"/>
    <w:p>
      <w:pPr>
        <w:ind w:left="6060"/>
        <w:spacing w:after="0"/>
        <w:rPr>
          <w:sz w:val="20"/>
          <w:szCs w:val="20"/>
          <w:color w:val="auto"/>
        </w:rPr>
      </w:pPr>
      <w:r>
        <w:rPr>
          <w:rFonts w:ascii="Arial" w:cs="Arial" w:eastAsia="Arial" w:hAnsi="Arial"/>
          <w:sz w:val="21"/>
          <w:szCs w:val="21"/>
          <w:color w:val="auto"/>
        </w:rPr>
        <mc:AlternateContent>
          <mc:Choice Requires="wps">
            <w:drawing>
              <wp:anchor simplePos="0" relativeHeight="251657728" behindDoc="1" locked="0" layoutInCell="0" allowOverlap="1">
                <wp:simplePos x="0" y="0"/>
                <wp:positionH relativeFrom="page">
                  <wp:posOffset>4678680</wp:posOffset>
                </wp:positionH>
                <wp:positionV relativeFrom="page">
                  <wp:posOffset>725805</wp:posOffset>
                </wp:positionV>
                <wp:extent cx="288099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8.4pt,57.15pt" to="595.25pt,57.15pt" o:allowincell="f" strokecolor="#000000" strokeweight="0.9999pt">
                <w10:wrap anchorx="page" anchory="page"/>
              </v:line>
            </w:pict>
          </mc:Fallback>
        </mc:AlternateContent>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34925</wp:posOffset>
                </wp:positionV>
                <wp:extent cx="288099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5pt" to="523.25pt,2.75pt" o:allowincell="f" strokecolor="#000000" strokeweight="0.9999pt"/>
            </w:pict>
          </mc:Fallback>
        </mc:AlternateContent>
      </w:r>
    </w:p>
    <w:p>
      <w:pPr>
        <w:spacing w:after="0" w:line="7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88"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969645</wp:posOffset>
            </wp:positionV>
            <wp:extent cx="459613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026"/>
          </w:cols>
          <w:pgMar w:left="1440" w:top="11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83 / 98</w:t>
      </w:r>
    </w:p>
    <w:p>
      <w:pPr>
        <w:sectPr>
          <w:pgSz w:w="11900" w:h="16838" w:orient="portrait"/>
          <w:cols w:equalWidth="0" w:num="1">
            <w:col w:w="9026"/>
          </w:cols>
          <w:pgMar w:left="1440" w:top="1197" w:right="1440" w:bottom="0" w:gutter="0" w:footer="0" w:header="0"/>
          <w:type w:val="continuous"/>
        </w:sectPr>
      </w:pPr>
    </w:p>
    <w:bookmarkStart w:id="265" w:name="page266"/>
    <w:bookmarkEnd w:id="265"/>
    <w:p>
      <w:pPr>
        <w:ind w:left="6060"/>
        <w:spacing w:after="0"/>
        <w:rPr>
          <w:sz w:val="20"/>
          <w:szCs w:val="20"/>
          <w:color w:val="auto"/>
        </w:rPr>
      </w:pPr>
      <w:r>
        <w:rPr>
          <w:rFonts w:ascii="Arial" w:cs="Arial" w:eastAsia="Arial" w:hAnsi="Arial"/>
          <w:sz w:val="22"/>
          <w:szCs w:val="22"/>
          <w:b w:val="1"/>
          <w:bCs w:val="1"/>
          <w:color w:val="auto"/>
        </w:rPr>
        <w:t>READING MURRIETA THEATER, LLC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KAHALA CINEMA COMPANY, LLC</w:t>
      </w:r>
      <w:r>
        <w:rPr>
          <w:rFonts w:ascii="Arial" w:cs="Arial" w:eastAsia="Arial" w:hAnsi="Arial"/>
          <w:sz w:val="22"/>
          <w:szCs w:val="22"/>
          <w:color w:val="auto"/>
        </w:rPr>
        <w: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KAAHUMANU CINEMAS, LLC,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READING CONSOLIDATING HOLDINGS, I</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542925</wp:posOffset>
            </wp:positionV>
            <wp:extent cx="459613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10460"/>
          </w:cols>
          <w:pgMar w:left="1440" w:top="126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84 / 98</w:t>
      </w:r>
    </w:p>
    <w:p>
      <w:pPr>
        <w:sectPr>
          <w:pgSz w:w="11900" w:h="16838" w:orient="portrait"/>
          <w:cols w:equalWidth="0" w:num="1">
            <w:col w:w="10460"/>
          </w:cols>
          <w:pgMar w:left="1440" w:top="1266" w:right="6" w:bottom="0" w:gutter="0" w:footer="0" w:header="0"/>
          <w:type w:val="continuous"/>
        </w:sectPr>
      </w:pPr>
    </w:p>
    <w:bookmarkStart w:id="266" w:name="page267"/>
    <w:bookmarkEnd w:id="266"/>
    <w:p>
      <w:pPr>
        <w:ind w:left="6060"/>
        <w:spacing w:after="0"/>
        <w:rPr>
          <w:sz w:val="20"/>
          <w:szCs w:val="20"/>
          <w:color w:val="auto"/>
        </w:rPr>
      </w:pPr>
      <w:r>
        <w:rPr>
          <w:rFonts w:ascii="Arial" w:cs="Arial" w:eastAsia="Arial" w:hAnsi="Arial"/>
          <w:sz w:val="22"/>
          <w:szCs w:val="22"/>
          <w:b w:val="1"/>
          <w:bCs w:val="1"/>
          <w:color w:val="auto"/>
        </w:rPr>
        <w:t>KMA CINEMAS, LLC,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CARMEL THEATRES, LLC,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READING FOOD SERVICES, LLC,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limited liability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READING INTERNATIONAL, INC.,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 Nevada 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243840</wp:posOffset>
                </wp:positionV>
                <wp:extent cx="288099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19.2pt" to="523.25pt,19.2pt" o:allowincell="f" strokecolor="#000000" strokeweight="0.9999pt"/>
            </w:pict>
          </mc:Fallback>
        </mc:AlternateConten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Gilbert Avanes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Gilbert Avanes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1122680</wp:posOffset>
            </wp:positionV>
            <wp:extent cx="4596130"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640"/>
          </w:cols>
          <w:pgMar w:left="1440" w:top="1346"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85 / 98</w:t>
      </w:r>
    </w:p>
    <w:p>
      <w:pPr>
        <w:sectPr>
          <w:pgSz w:w="11900" w:h="16838" w:orient="portrait"/>
          <w:cols w:equalWidth="0" w:num="1">
            <w:col w:w="9640"/>
          </w:cols>
          <w:pgMar w:left="1440" w:top="1346" w:right="826" w:bottom="0" w:gutter="0" w:footer="0" w:header="0"/>
          <w:type w:val="continuous"/>
        </w:sectPr>
      </w:pPr>
    </w:p>
    <w:bookmarkStart w:id="267" w:name="page268"/>
    <w:bookmarkEnd w:id="267"/>
    <w:p>
      <w:pPr>
        <w:ind w:left="6060"/>
        <w:spacing w:after="0"/>
        <w:rPr>
          <w:sz w:val="20"/>
          <w:szCs w:val="20"/>
          <w:color w:val="auto"/>
        </w:rPr>
      </w:pPr>
      <w:r>
        <w:rPr>
          <w:rFonts w:ascii="Arial" w:cs="Arial" w:eastAsia="Arial" w:hAnsi="Arial"/>
          <w:sz w:val="22"/>
          <w:szCs w:val="22"/>
          <w:b w:val="1"/>
          <w:bCs w:val="1"/>
          <w:color w:val="auto"/>
        </w:rPr>
        <w:t>ADMINISTRATIVE AGENT AND LENDERS</w:t>
      </w:r>
    </w:p>
    <w:p>
      <w:pPr>
        <w:spacing w:after="0" w:line="200" w:lineRule="exact"/>
        <w:rPr>
          <w:sz w:val="20"/>
          <w:szCs w:val="20"/>
          <w:color w:val="auto"/>
        </w:rPr>
      </w:pPr>
    </w:p>
    <w:p>
      <w:pPr>
        <w:spacing w:after="0" w:line="208"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BANK OF AMERICA, N.A.,</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 Christopher Miller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G. Christopher Miller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BANK OF AMERICA, N.A.,</w:t>
      </w:r>
    </w:p>
    <w:p>
      <w:pPr>
        <w:spacing w:after="0" w:line="89"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as a Lender, L/C Issuer and Swingline Lender</w:t>
      </w:r>
    </w:p>
    <w:p>
      <w:pPr>
        <w:spacing w:after="0" w:line="200" w:lineRule="exact"/>
        <w:rPr>
          <w:sz w:val="20"/>
          <w:szCs w:val="20"/>
          <w:color w:val="auto"/>
        </w:rPr>
      </w:pPr>
    </w:p>
    <w:p>
      <w:pPr>
        <w:spacing w:after="0" w:line="20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G. Christopher Miller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G. Christopher Miller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drawing>
          <wp:anchor simplePos="0" relativeHeight="251657728" behindDoc="1" locked="0" layoutInCell="0" allowOverlap="1">
            <wp:simplePos x="0" y="0"/>
            <wp:positionH relativeFrom="column">
              <wp:posOffset>567690</wp:posOffset>
            </wp:positionH>
            <wp:positionV relativeFrom="paragraph">
              <wp:posOffset>555625</wp:posOffset>
            </wp:positionV>
            <wp:extent cx="459613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10460"/>
          </w:cols>
          <w:pgMar w:left="1440" w:top="1311"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86 / 98</w:t>
      </w:r>
    </w:p>
    <w:p>
      <w:pPr>
        <w:sectPr>
          <w:pgSz w:w="11900" w:h="16838" w:orient="portrait"/>
          <w:cols w:equalWidth="0" w:num="1">
            <w:col w:w="10460"/>
          </w:cols>
          <w:pgMar w:left="1440" w:top="1311" w:right="6" w:bottom="0" w:gutter="0" w:footer="0" w:header="0"/>
          <w:type w:val="continuous"/>
        </w:sectPr>
      </w:pPr>
    </w:p>
    <w:bookmarkStart w:id="268" w:name="page269"/>
    <w:bookmarkEnd w:id="268"/>
    <w:p>
      <w:pPr>
        <w:spacing w:after="0" w:line="200" w:lineRule="exact"/>
        <w:rPr>
          <w:sz w:val="20"/>
          <w:szCs w:val="20"/>
          <w:color w:val="auto"/>
        </w:rPr>
      </w:pPr>
    </w:p>
    <w:p>
      <w:pPr>
        <w:spacing w:after="0" w:line="287"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BANK OF HAWAII,</w:t>
      </w:r>
    </w:p>
    <w:p>
      <w:pPr>
        <w:spacing w:after="0" w:line="79"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 /s/ Merleen Lee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Name: Merleen Lee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34290</wp:posOffset>
                </wp:positionV>
                <wp:extent cx="288099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pt" to="523.25pt,2.7pt" o:allowincell="f" strokecolor="#000000" strokeweight="0.9999pt"/>
            </w:pict>
          </mc:Fallback>
        </mc:AlternateContent>
      </w:r>
    </w:p>
    <w:p>
      <w:pPr>
        <w:spacing w:after="0" w:line="88"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Title: Vice President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3764280</wp:posOffset>
                </wp:positionH>
                <wp:positionV relativeFrom="paragraph">
                  <wp:posOffset>34925</wp:posOffset>
                </wp:positionV>
                <wp:extent cx="288099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99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2.75pt" to="523.25pt,2.75pt" o:allowincell="f" strokecolor="#000000" strokeweight="0.9999pt"/>
            </w:pict>
          </mc:Fallback>
        </mc:AlternateContent>
        <w:drawing>
          <wp:anchor simplePos="0" relativeHeight="251657728" behindDoc="1" locked="0" layoutInCell="0" allowOverlap="1">
            <wp:simplePos x="0" y="0"/>
            <wp:positionH relativeFrom="column">
              <wp:posOffset>567690</wp:posOffset>
            </wp:positionH>
            <wp:positionV relativeFrom="paragraph">
              <wp:posOffset>815975</wp:posOffset>
            </wp:positionV>
            <wp:extent cx="459613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45961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87 / 98</w:t>
      </w:r>
    </w:p>
    <w:p>
      <w:pPr>
        <w:sectPr>
          <w:pgSz w:w="11900" w:h="16838" w:orient="portrait"/>
          <w:cols w:equalWidth="0" w:num="1">
            <w:col w:w="9026"/>
          </w:cols>
          <w:pgMar w:left="1440" w:top="1440" w:right="1440" w:bottom="0" w:gutter="0" w:footer="0" w:header="0"/>
          <w:type w:val="continuous"/>
        </w:sectPr>
      </w:pPr>
    </w:p>
    <w:bookmarkStart w:id="269" w:name="page270"/>
    <w:bookmarkEnd w:id="269"/>
    <w:p>
      <w:pPr>
        <w:jc w:val="both"/>
        <w:ind w:left="900" w:right="1940"/>
        <w:spacing w:after="0" w:line="310" w:lineRule="auto"/>
        <w:rPr>
          <w:sz w:val="20"/>
          <w:szCs w:val="20"/>
          <w:color w:val="auto"/>
        </w:rPr>
      </w:pPr>
      <w:r>
        <w:rPr>
          <w:rFonts w:ascii="Arial" w:cs="Arial" w:eastAsia="Arial" w:hAnsi="Arial"/>
          <w:sz w:val="22"/>
          <w:szCs w:val="22"/>
          <w:b w:val="1"/>
          <w:bCs w:val="1"/>
          <w:u w:val="single" w:color="auto"/>
          <w:color w:val="auto"/>
        </w:rPr>
        <w:t>PORTIONS OF THIS EXHIBIT HAVE BEEN OMITTED BECAUSE THEY ARE BOTH (I) NOT 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60"/>
        <w:spacing w:after="0"/>
        <w:rPr>
          <w:sz w:val="20"/>
          <w:szCs w:val="20"/>
          <w:color w:val="auto"/>
        </w:rPr>
      </w:pPr>
      <w:r>
        <w:rPr>
          <w:rFonts w:ascii="Arial" w:cs="Arial" w:eastAsia="Arial" w:hAnsi="Arial"/>
          <w:sz w:val="24"/>
          <w:szCs w:val="24"/>
          <w:b w:val="1"/>
          <w:bCs w:val="1"/>
          <w:color w:val="auto"/>
        </w:rPr>
        <w:t>SECOND NOTE MODIFICATION AGREEMENT</w:t>
      </w:r>
    </w:p>
    <w:p>
      <w:pPr>
        <w:spacing w:after="0" w:line="200" w:lineRule="exact"/>
        <w:rPr>
          <w:sz w:val="20"/>
          <w:szCs w:val="20"/>
          <w:color w:val="auto"/>
        </w:rPr>
      </w:pPr>
    </w:p>
    <w:p>
      <w:pPr>
        <w:spacing w:after="0" w:line="256" w:lineRule="exact"/>
        <w:rPr>
          <w:sz w:val="20"/>
          <w:szCs w:val="20"/>
          <w:color w:val="auto"/>
        </w:rPr>
      </w:pPr>
    </w:p>
    <w:p>
      <w:pPr>
        <w:jc w:val="both"/>
        <w:ind w:left="900" w:right="2300" w:firstLine="720"/>
        <w:spacing w:after="0" w:line="311" w:lineRule="auto"/>
        <w:rPr>
          <w:sz w:val="20"/>
          <w:szCs w:val="20"/>
          <w:color w:val="auto"/>
        </w:rPr>
      </w:pPr>
      <w:r>
        <w:rPr>
          <w:rFonts w:ascii="Arial" w:cs="Arial" w:eastAsia="Arial" w:hAnsi="Arial"/>
          <w:sz w:val="24"/>
          <w:szCs w:val="24"/>
          <w:color w:val="auto"/>
        </w:rPr>
        <w:t xml:space="preserve">This </w:t>
      </w:r>
      <w:r>
        <w:rPr>
          <w:rFonts w:ascii="Arial" w:cs="Arial" w:eastAsia="Arial" w:hAnsi="Arial"/>
          <w:sz w:val="24"/>
          <w:szCs w:val="24"/>
          <w:b w:val="1"/>
          <w:bCs w:val="1"/>
          <w:color w:val="auto"/>
        </w:rPr>
        <w:t>SECOND NOTE MODIFICATION AGREEMENT</w:t>
      </w:r>
      <w:r>
        <w:rPr>
          <w:rFonts w:ascii="Arial" w:cs="Arial" w:eastAsia="Arial" w:hAnsi="Arial"/>
          <w:sz w:val="24"/>
          <w:szCs w:val="24"/>
          <w:color w:val="auto"/>
        </w:rPr>
        <w:t xml:space="preserve"> (this “</w:t>
      </w:r>
      <w:r>
        <w:rPr>
          <w:rFonts w:ascii="Arial" w:cs="Arial" w:eastAsia="Arial" w:hAnsi="Arial"/>
          <w:sz w:val="24"/>
          <w:szCs w:val="24"/>
          <w:b w:val="1"/>
          <w:bCs w:val="1"/>
          <w:color w:val="auto"/>
        </w:rPr>
        <w:t>Agreement</w:t>
      </w:r>
      <w:r>
        <w:rPr>
          <w:rFonts w:ascii="Arial" w:cs="Arial" w:eastAsia="Arial" w:hAnsi="Arial"/>
          <w:sz w:val="24"/>
          <w:szCs w:val="24"/>
          <w:color w:val="auto"/>
        </w:rPr>
        <w:t>”) is made as of October 1, 2025 (the “</w:t>
      </w:r>
      <w:r>
        <w:rPr>
          <w:rFonts w:ascii="Arial" w:cs="Arial" w:eastAsia="Arial" w:hAnsi="Arial"/>
          <w:sz w:val="24"/>
          <w:szCs w:val="24"/>
          <w:b w:val="1"/>
          <w:bCs w:val="1"/>
          <w:color w:val="auto"/>
        </w:rPr>
        <w:t>Effective Date</w:t>
      </w:r>
      <w:r>
        <w:rPr>
          <w:rFonts w:ascii="Arial" w:cs="Arial" w:eastAsia="Arial" w:hAnsi="Arial"/>
          <w:sz w:val="24"/>
          <w:szCs w:val="24"/>
          <w:color w:val="auto"/>
        </w:rPr>
        <w:t xml:space="preserve">”), by and between </w:t>
      </w:r>
      <w:r>
        <w:rPr>
          <w:rFonts w:ascii="Arial" w:cs="Arial" w:eastAsia="Arial" w:hAnsi="Arial"/>
          <w:sz w:val="24"/>
          <w:szCs w:val="24"/>
          <w:b w:val="1"/>
          <w:bCs w:val="1"/>
          <w:color w:val="auto"/>
        </w:rPr>
        <w:t>SUTTON HILL PROPERTIES, LLC</w:t>
      </w:r>
      <w:r>
        <w:rPr>
          <w:rFonts w:ascii="Arial" w:cs="Arial" w:eastAsia="Arial" w:hAnsi="Arial"/>
          <w:sz w:val="24"/>
          <w:szCs w:val="24"/>
          <w:color w:val="auto"/>
        </w:rPr>
        <w:t>, a Nevada limited liability company qualified to do business in New York, having its principal place of business at 189 Second Avenue, Suite 2S, New York, New York 10003 (“</w:t>
      </w:r>
      <w:r>
        <w:rPr>
          <w:rFonts w:ascii="Arial" w:cs="Arial" w:eastAsia="Arial" w:hAnsi="Arial"/>
          <w:sz w:val="24"/>
          <w:szCs w:val="24"/>
          <w:b w:val="1"/>
          <w:bCs w:val="1"/>
          <w:color w:val="auto"/>
        </w:rPr>
        <w:t>Borrower</w:t>
      </w:r>
      <w:r>
        <w:rPr>
          <w:rFonts w:ascii="Arial" w:cs="Arial" w:eastAsia="Arial" w:hAnsi="Arial"/>
          <w:sz w:val="24"/>
          <w:szCs w:val="24"/>
          <w:color w:val="auto"/>
        </w:rPr>
        <w:t xml:space="preserve">”), and </w:t>
      </w:r>
      <w:r>
        <w:rPr>
          <w:rFonts w:ascii="Arial" w:cs="Arial" w:eastAsia="Arial" w:hAnsi="Arial"/>
          <w:sz w:val="24"/>
          <w:szCs w:val="24"/>
          <w:b w:val="1"/>
          <w:bCs w:val="1"/>
          <w:color w:val="auto"/>
        </w:rPr>
        <w:t>VALLEY NATIONAL BANK</w:t>
      </w:r>
      <w:r>
        <w:rPr>
          <w:rFonts w:ascii="Arial" w:cs="Arial" w:eastAsia="Arial" w:hAnsi="Arial"/>
          <w:sz w:val="24"/>
          <w:szCs w:val="24"/>
          <w:color w:val="auto"/>
        </w:rPr>
        <w:t>, a national banking association at its offices at 70 Speedwell Avenue, Morristown, New Jersey 07960 (“</w:t>
      </w:r>
      <w:r>
        <w:rPr>
          <w:rFonts w:ascii="Arial" w:cs="Arial" w:eastAsia="Arial" w:hAnsi="Arial"/>
          <w:sz w:val="24"/>
          <w:szCs w:val="24"/>
          <w:b w:val="1"/>
          <w:bCs w:val="1"/>
          <w:color w:val="auto"/>
        </w:rPr>
        <w:t>Bank</w:t>
      </w:r>
      <w:r>
        <w:rPr>
          <w:rFonts w:ascii="Arial" w:cs="Arial" w:eastAsia="Arial" w:hAnsi="Arial"/>
          <w:sz w:val="24"/>
          <w:szCs w:val="24"/>
          <w:color w:val="auto"/>
        </w:rPr>
        <w:t>”).</w:t>
      </w: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4"/>
          <w:szCs w:val="24"/>
          <w:b w:val="1"/>
          <w:bCs w:val="1"/>
          <w:color w:val="auto"/>
        </w:rPr>
        <w:t>RECITALS</w:t>
      </w:r>
    </w:p>
    <w:p>
      <w:pPr>
        <w:spacing w:after="0" w:line="200" w:lineRule="exact"/>
        <w:rPr>
          <w:sz w:val="20"/>
          <w:szCs w:val="20"/>
          <w:color w:val="auto"/>
        </w:rPr>
      </w:pPr>
    </w:p>
    <w:p>
      <w:pPr>
        <w:spacing w:after="0" w:line="217" w:lineRule="exact"/>
        <w:rPr>
          <w:sz w:val="20"/>
          <w:szCs w:val="20"/>
          <w:color w:val="auto"/>
        </w:rPr>
      </w:pPr>
    </w:p>
    <w:p>
      <w:pPr>
        <w:ind w:left="2440" w:hanging="751"/>
        <w:spacing w:after="0"/>
        <w:tabs>
          <w:tab w:leader="none" w:pos="244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Bank made a commercial mortgage loan to Borrower in the original principal sum o</w:t>
      </w:r>
    </w:p>
    <w:p>
      <w:pPr>
        <w:spacing w:after="0" w:line="166" w:lineRule="exact"/>
        <w:rPr>
          <w:sz w:val="20"/>
          <w:szCs w:val="20"/>
          <w:color w:val="auto"/>
        </w:rPr>
      </w:pPr>
    </w:p>
    <w:p>
      <w:pPr>
        <w:jc w:val="both"/>
        <w:ind w:left="900" w:right="2300"/>
        <w:spacing w:after="0" w:line="311" w:lineRule="auto"/>
        <w:rPr>
          <w:sz w:val="20"/>
          <w:szCs w:val="20"/>
          <w:color w:val="auto"/>
        </w:rPr>
      </w:pPr>
      <w:r>
        <w:rPr>
          <w:rFonts w:ascii="Arial" w:cs="Arial" w:eastAsia="Arial" w:hAnsi="Arial"/>
          <w:sz w:val="24"/>
          <w:szCs w:val="24"/>
          <w:color w:val="auto"/>
        </w:rPr>
        <w:t>$21,060,912.57 (the “</w:t>
      </w:r>
      <w:r>
        <w:rPr>
          <w:rFonts w:ascii="Arial" w:cs="Arial" w:eastAsia="Arial" w:hAnsi="Arial"/>
          <w:sz w:val="24"/>
          <w:szCs w:val="24"/>
          <w:b w:val="1"/>
          <w:bCs w:val="1"/>
          <w:color w:val="auto"/>
        </w:rPr>
        <w:t>Loan</w:t>
      </w:r>
      <w:r>
        <w:rPr>
          <w:rFonts w:ascii="Arial" w:cs="Arial" w:eastAsia="Arial" w:hAnsi="Arial"/>
          <w:sz w:val="24"/>
          <w:szCs w:val="24"/>
          <w:color w:val="auto"/>
        </w:rPr>
        <w:t>”), which Loan is evidenced by that certain Amended and Restated Mortgage Promissory Note dated as of September 29, 2023, executed by Borrower in favor of Bank, as extended and modified by that certain Note Modification Agreement dated as of October 1, 2024 made by and between Borrower and Bank, as further extended and modified by that certain letter agreement dated October 24, 2025 from Bank and accepted and agreed to by Borrower and Guarantor (collectively, the “</w:t>
      </w:r>
      <w:r>
        <w:rPr>
          <w:rFonts w:ascii="Arial" w:cs="Arial" w:eastAsia="Arial" w:hAnsi="Arial"/>
          <w:sz w:val="24"/>
          <w:szCs w:val="24"/>
          <w:b w:val="1"/>
          <w:bCs w:val="1"/>
          <w:color w:val="auto"/>
        </w:rPr>
        <w:t>Note</w:t>
      </w:r>
      <w:r>
        <w:rPr>
          <w:rFonts w:ascii="Arial" w:cs="Arial" w:eastAsia="Arial" w:hAnsi="Arial"/>
          <w:sz w:val="24"/>
          <w:szCs w:val="24"/>
          <w:color w:val="auto"/>
        </w:rPr>
        <w:t>”);</w:t>
      </w:r>
    </w:p>
    <w:p>
      <w:pPr>
        <w:spacing w:after="0" w:line="338" w:lineRule="exact"/>
        <w:rPr>
          <w:sz w:val="20"/>
          <w:szCs w:val="20"/>
          <w:color w:val="auto"/>
        </w:rPr>
      </w:pPr>
    </w:p>
    <w:p>
      <w:pPr>
        <w:jc w:val="both"/>
        <w:ind w:left="1000" w:right="2200" w:firstLine="719"/>
        <w:spacing w:after="0" w:line="311" w:lineRule="auto"/>
        <w:tabs>
          <w:tab w:leader="none" w:pos="2850" w:val="left"/>
        </w:tabs>
        <w:numPr>
          <w:ilvl w:val="0"/>
          <w:numId w:val="148"/>
        </w:numPr>
        <w:rPr>
          <w:rFonts w:ascii="Arial" w:cs="Arial" w:eastAsia="Arial" w:hAnsi="Arial"/>
          <w:sz w:val="24"/>
          <w:szCs w:val="24"/>
          <w:color w:val="auto"/>
        </w:rPr>
      </w:pPr>
      <w:r>
        <w:rPr>
          <w:rFonts w:ascii="Arial" w:cs="Arial" w:eastAsia="Arial" w:hAnsi="Arial"/>
          <w:sz w:val="24"/>
          <w:szCs w:val="24"/>
          <w:color w:val="auto"/>
        </w:rPr>
        <w:t>The Note is secured by, among other things, that certain Mortgage Modification and Extension Agreement dated as of September 29, 2023 executed by and between Borrower and Bank and recorded on October 12, 2023 in the Office of the City Register of the City of New York, County of New York (the “</w:t>
      </w:r>
      <w:r>
        <w:rPr>
          <w:rFonts w:ascii="Arial" w:cs="Arial" w:eastAsia="Arial" w:hAnsi="Arial"/>
          <w:sz w:val="24"/>
          <w:szCs w:val="24"/>
          <w:b w:val="1"/>
          <w:bCs w:val="1"/>
          <w:color w:val="auto"/>
        </w:rPr>
        <w:t>Office</w:t>
      </w:r>
      <w:r>
        <w:rPr>
          <w:rFonts w:ascii="Arial" w:cs="Arial" w:eastAsia="Arial" w:hAnsi="Arial"/>
          <w:sz w:val="24"/>
          <w:szCs w:val="24"/>
          <w:color w:val="auto"/>
        </w:rPr>
        <w:t>”), as CRFN 2023000262607 (the “</w:t>
      </w:r>
      <w:r>
        <w:rPr>
          <w:rFonts w:ascii="Arial" w:cs="Arial" w:eastAsia="Arial" w:hAnsi="Arial"/>
          <w:sz w:val="24"/>
          <w:szCs w:val="24"/>
          <w:b w:val="1"/>
          <w:bCs w:val="1"/>
          <w:color w:val="auto"/>
        </w:rPr>
        <w:t>Mortgage</w:t>
      </w:r>
      <w:r>
        <w:rPr>
          <w:rFonts w:ascii="Arial" w:cs="Arial" w:eastAsia="Arial" w:hAnsi="Arial"/>
          <w:sz w:val="24"/>
          <w:szCs w:val="24"/>
          <w:color w:val="auto"/>
        </w:rPr>
        <w:t>”) encumbering the property commonly known as and located at 1001-1007 Third Avenue, New York, New York and as more particularly described in the Mortgage (“</w:t>
      </w:r>
      <w:r>
        <w:rPr>
          <w:rFonts w:ascii="Arial" w:cs="Arial" w:eastAsia="Arial" w:hAnsi="Arial"/>
          <w:sz w:val="24"/>
          <w:szCs w:val="24"/>
          <w:b w:val="1"/>
          <w:bCs w:val="1"/>
          <w:color w:val="auto"/>
        </w:rPr>
        <w:t>Mortgaged</w:t>
      </w:r>
      <w:r>
        <w:rPr>
          <w:rFonts w:ascii="Arial" w:cs="Arial" w:eastAsia="Arial" w:hAnsi="Arial"/>
          <w:sz w:val="24"/>
          <w:szCs w:val="24"/>
          <w:color w:val="auto"/>
        </w:rPr>
        <w:t xml:space="preserve"> </w:t>
      </w:r>
      <w:r>
        <w:rPr>
          <w:rFonts w:ascii="Arial" w:cs="Arial" w:eastAsia="Arial" w:hAnsi="Arial"/>
          <w:sz w:val="24"/>
          <w:szCs w:val="24"/>
          <w:b w:val="1"/>
          <w:bCs w:val="1"/>
          <w:color w:val="auto"/>
        </w:rPr>
        <w:t>Property</w:t>
      </w:r>
      <w:r>
        <w:rPr>
          <w:rFonts w:ascii="Arial" w:cs="Arial" w:eastAsia="Arial" w:hAnsi="Arial"/>
          <w:sz w:val="24"/>
          <w:szCs w:val="24"/>
          <w:color w:val="auto"/>
        </w:rPr>
        <w:t>”);</w:t>
      </w:r>
    </w:p>
    <w:p>
      <w:pPr>
        <w:sectPr>
          <w:pgSz w:w="11900" w:h="16838" w:orient="portrait"/>
          <w:cols w:equalWidth="0" w:num="1">
            <w:col w:w="10460"/>
          </w:cols>
          <w:pgMar w:left="1440" w:top="1367"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88 / 98</w:t>
      </w:r>
    </w:p>
    <w:p>
      <w:pPr>
        <w:sectPr>
          <w:pgSz w:w="11900" w:h="16838" w:orient="portrait"/>
          <w:cols w:equalWidth="0" w:num="1">
            <w:col w:w="10460"/>
          </w:cols>
          <w:pgMar w:left="1440" w:top="1367" w:right="6" w:bottom="0" w:gutter="0" w:footer="0" w:header="0"/>
          <w:type w:val="continuous"/>
        </w:sectPr>
      </w:pPr>
    </w:p>
    <w:bookmarkStart w:id="270" w:name="page271"/>
    <w:bookmarkEnd w:id="270"/>
    <w:p>
      <w:pPr>
        <w:ind w:left="2880" w:hanging="1161"/>
        <w:spacing w:after="0"/>
        <w:tabs>
          <w:tab w:leader="none" w:pos="2880" w:val="left"/>
        </w:tabs>
        <w:numPr>
          <w:ilvl w:val="0"/>
          <w:numId w:val="149"/>
        </w:numPr>
        <w:rPr>
          <w:rFonts w:ascii="Arial" w:cs="Arial" w:eastAsia="Arial" w:hAnsi="Arial"/>
          <w:sz w:val="24"/>
          <w:szCs w:val="24"/>
          <w:color w:val="auto"/>
        </w:rPr>
      </w:pPr>
      <w:r>
        <w:rPr>
          <w:rFonts w:ascii="Arial" w:cs="Arial" w:eastAsia="Arial" w:hAnsi="Arial"/>
          <w:sz w:val="24"/>
          <w:szCs w:val="24"/>
          <w:color w:val="auto"/>
        </w:rPr>
        <w:t>As of the Effective Date, inclusive of the October 1,</w:t>
      </w:r>
    </w:p>
    <w:p>
      <w:pPr>
        <w:spacing w:after="0" w:line="84" w:lineRule="exact"/>
        <w:rPr>
          <w:sz w:val="20"/>
          <w:szCs w:val="20"/>
          <w:color w:val="auto"/>
        </w:rPr>
      </w:pPr>
    </w:p>
    <w:p>
      <w:pPr>
        <w:ind w:left="1000"/>
        <w:spacing w:after="0"/>
        <w:tabs>
          <w:tab w:leader="none" w:pos="2300" w:val="left"/>
          <w:tab w:leader="none" w:pos="3980" w:val="left"/>
          <w:tab w:leader="none" w:pos="5180" w:val="left"/>
          <w:tab w:leader="none" w:pos="6860" w:val="left"/>
          <w:tab w:leader="none" w:pos="7900" w:val="left"/>
        </w:tabs>
        <w:rPr>
          <w:sz w:val="20"/>
          <w:szCs w:val="20"/>
          <w:color w:val="auto"/>
        </w:rPr>
      </w:pPr>
      <w:r>
        <w:rPr>
          <w:rFonts w:ascii="Arial" w:cs="Arial" w:eastAsia="Arial" w:hAnsi="Arial"/>
          <w:sz w:val="24"/>
          <w:szCs w:val="24"/>
          <w:color w:val="auto"/>
        </w:rPr>
        <w:t>2025</w:t>
      </w:r>
      <w:r>
        <w:rPr>
          <w:sz w:val="20"/>
          <w:szCs w:val="20"/>
          <w:color w:val="auto"/>
        </w:rPr>
        <w:tab/>
      </w:r>
      <w:r>
        <w:rPr>
          <w:rFonts w:ascii="Arial" w:cs="Arial" w:eastAsia="Arial" w:hAnsi="Arial"/>
          <w:sz w:val="24"/>
          <w:szCs w:val="24"/>
          <w:color w:val="auto"/>
        </w:rPr>
        <w:t>payment</w:t>
      </w:r>
      <w:r>
        <w:rPr>
          <w:sz w:val="20"/>
          <w:szCs w:val="20"/>
          <w:color w:val="auto"/>
        </w:rPr>
        <w:tab/>
      </w:r>
      <w:r>
        <w:rPr>
          <w:rFonts w:ascii="Arial" w:cs="Arial" w:eastAsia="Arial" w:hAnsi="Arial"/>
          <w:sz w:val="24"/>
          <w:szCs w:val="24"/>
          <w:color w:val="auto"/>
        </w:rPr>
        <w:t>due</w:t>
      </w:r>
      <w:r>
        <w:rPr>
          <w:sz w:val="20"/>
          <w:szCs w:val="20"/>
          <w:color w:val="auto"/>
        </w:rPr>
        <w:tab/>
      </w:r>
      <w:r>
        <w:rPr>
          <w:rFonts w:ascii="Arial" w:cs="Arial" w:eastAsia="Arial" w:hAnsi="Arial"/>
          <w:sz w:val="24"/>
          <w:szCs w:val="24"/>
          <w:color w:val="auto"/>
        </w:rPr>
        <w:t>pursuant</w:t>
      </w:r>
      <w:r>
        <w:rPr>
          <w:sz w:val="20"/>
          <w:szCs w:val="20"/>
          <w:color w:val="auto"/>
        </w:rPr>
        <w:tab/>
      </w:r>
      <w:r>
        <w:rPr>
          <w:rFonts w:ascii="Arial" w:cs="Arial" w:eastAsia="Arial" w:hAnsi="Arial"/>
          <w:sz w:val="24"/>
          <w:szCs w:val="24"/>
          <w:color w:val="auto"/>
        </w:rPr>
        <w:t>to</w:t>
      </w:r>
      <w:r>
        <w:rPr>
          <w:sz w:val="20"/>
          <w:szCs w:val="20"/>
          <w:color w:val="auto"/>
        </w:rPr>
        <w:tab/>
      </w:r>
      <w:r>
        <w:rPr>
          <w:rFonts w:ascii="Arial" w:cs="Arial" w:eastAsia="Arial" w:hAnsi="Arial"/>
          <w:sz w:val="21"/>
          <w:szCs w:val="21"/>
          <w:color w:val="auto"/>
        </w:rPr>
        <w:t>the</w:t>
      </w:r>
    </w:p>
    <w:p>
      <w:pPr>
        <w:spacing w:after="0" w:line="96" w:lineRule="exact"/>
        <w:rPr>
          <w:sz w:val="20"/>
          <w:szCs w:val="20"/>
          <w:color w:val="auto"/>
        </w:rPr>
      </w:pPr>
    </w:p>
    <w:p>
      <w:pPr>
        <w:ind w:left="1000"/>
        <w:spacing w:after="0" w:line="302" w:lineRule="auto"/>
        <w:rPr>
          <w:sz w:val="20"/>
          <w:szCs w:val="20"/>
          <w:color w:val="auto"/>
        </w:rPr>
      </w:pPr>
      <w:r>
        <w:rPr>
          <w:rFonts w:ascii="Arial" w:cs="Arial" w:eastAsia="Arial" w:hAnsi="Arial"/>
          <w:sz w:val="24"/>
          <w:szCs w:val="24"/>
          <w:color w:val="auto"/>
        </w:rPr>
        <w:t>terms of the Note and the terms hereof, which has been paid to Bank prior to the date hereof, and e of the Modification Paydown (as defined below) and the November 1,</w:t>
      </w:r>
    </w:p>
    <w:p>
      <w:pPr>
        <w:spacing w:after="0" w:line="13" w:lineRule="exact"/>
        <w:rPr>
          <w:sz w:val="20"/>
          <w:szCs w:val="20"/>
          <w:color w:val="auto"/>
        </w:rPr>
      </w:pPr>
    </w:p>
    <w:p>
      <w:pPr>
        <w:ind w:left="1000"/>
        <w:spacing w:after="0"/>
        <w:tabs>
          <w:tab w:leader="none" w:pos="2320" w:val="left"/>
          <w:tab w:leader="none" w:pos="3980" w:val="left"/>
          <w:tab w:leader="none" w:pos="5180" w:val="left"/>
          <w:tab w:leader="none" w:pos="6860" w:val="left"/>
          <w:tab w:leader="none" w:pos="7900" w:val="left"/>
        </w:tabs>
        <w:rPr>
          <w:sz w:val="20"/>
          <w:szCs w:val="20"/>
          <w:color w:val="auto"/>
        </w:rPr>
      </w:pPr>
      <w:r>
        <w:rPr>
          <w:rFonts w:ascii="Arial" w:cs="Arial" w:eastAsia="Arial" w:hAnsi="Arial"/>
          <w:sz w:val="24"/>
          <w:szCs w:val="24"/>
          <w:color w:val="auto"/>
        </w:rPr>
        <w:t>2025</w:t>
      </w:r>
      <w:r>
        <w:rPr>
          <w:sz w:val="20"/>
          <w:szCs w:val="20"/>
          <w:color w:val="auto"/>
        </w:rPr>
        <w:tab/>
      </w:r>
      <w:r>
        <w:rPr>
          <w:rFonts w:ascii="Arial" w:cs="Arial" w:eastAsia="Arial" w:hAnsi="Arial"/>
          <w:sz w:val="24"/>
          <w:szCs w:val="24"/>
          <w:color w:val="auto"/>
        </w:rPr>
        <w:t>payment</w:t>
      </w:r>
      <w:r>
        <w:rPr>
          <w:sz w:val="20"/>
          <w:szCs w:val="20"/>
          <w:color w:val="auto"/>
        </w:rPr>
        <w:tab/>
      </w:r>
      <w:r>
        <w:rPr>
          <w:rFonts w:ascii="Arial" w:cs="Arial" w:eastAsia="Arial" w:hAnsi="Arial"/>
          <w:sz w:val="24"/>
          <w:szCs w:val="24"/>
          <w:color w:val="auto"/>
        </w:rPr>
        <w:t>due</w:t>
      </w:r>
      <w:r>
        <w:rPr>
          <w:sz w:val="20"/>
          <w:szCs w:val="20"/>
          <w:color w:val="auto"/>
        </w:rPr>
        <w:tab/>
      </w:r>
      <w:r>
        <w:rPr>
          <w:rFonts w:ascii="Arial" w:cs="Arial" w:eastAsia="Arial" w:hAnsi="Arial"/>
          <w:sz w:val="24"/>
          <w:szCs w:val="24"/>
          <w:color w:val="auto"/>
        </w:rPr>
        <w:t>pursuant</w:t>
      </w:r>
      <w:r>
        <w:rPr>
          <w:sz w:val="20"/>
          <w:szCs w:val="20"/>
          <w:color w:val="auto"/>
        </w:rPr>
        <w:tab/>
      </w:r>
      <w:r>
        <w:rPr>
          <w:rFonts w:ascii="Arial" w:cs="Arial" w:eastAsia="Arial" w:hAnsi="Arial"/>
          <w:sz w:val="24"/>
          <w:szCs w:val="24"/>
          <w:color w:val="auto"/>
        </w:rPr>
        <w:t>to</w:t>
      </w:r>
      <w:r>
        <w:rPr>
          <w:sz w:val="20"/>
          <w:szCs w:val="20"/>
          <w:color w:val="auto"/>
        </w:rPr>
        <w:tab/>
      </w:r>
      <w:r>
        <w:rPr>
          <w:rFonts w:ascii="Arial" w:cs="Arial" w:eastAsia="Arial" w:hAnsi="Arial"/>
          <w:sz w:val="21"/>
          <w:szCs w:val="21"/>
          <w:color w:val="auto"/>
        </w:rPr>
        <w:t>the</w:t>
      </w:r>
    </w:p>
    <w:p>
      <w:pPr>
        <w:spacing w:after="0" w:line="96" w:lineRule="exact"/>
        <w:rPr>
          <w:sz w:val="20"/>
          <w:szCs w:val="20"/>
          <w:color w:val="auto"/>
        </w:rPr>
      </w:pPr>
    </w:p>
    <w:p>
      <w:pPr>
        <w:ind w:left="900" w:right="740" w:firstLine="105"/>
        <w:spacing w:after="0" w:line="341" w:lineRule="auto"/>
        <w:rPr>
          <w:sz w:val="20"/>
          <w:szCs w:val="20"/>
          <w:color w:val="auto"/>
        </w:rPr>
      </w:pPr>
      <w:r>
        <w:rPr>
          <w:rFonts w:ascii="Arial" w:cs="Arial" w:eastAsia="Arial" w:hAnsi="Arial"/>
          <w:sz w:val="24"/>
          <w:szCs w:val="24"/>
          <w:color w:val="auto"/>
        </w:rPr>
        <w:t>terms of the Note and the terms hereof, the principal amount outstanding under the Loan is $20,393,715.73;</w:t>
      </w:r>
    </w:p>
    <w:p>
      <w:pPr>
        <w:spacing w:after="0" w:line="328" w:lineRule="exact"/>
        <w:rPr>
          <w:sz w:val="20"/>
          <w:szCs w:val="20"/>
          <w:color w:val="auto"/>
        </w:rPr>
      </w:pPr>
    </w:p>
    <w:p>
      <w:pPr>
        <w:ind w:left="1000" w:right="2240" w:firstLine="719"/>
        <w:spacing w:after="0" w:line="219" w:lineRule="auto"/>
        <w:tabs>
          <w:tab w:leader="none" w:pos="2879" w:val="left"/>
        </w:tabs>
        <w:numPr>
          <w:ilvl w:val="0"/>
          <w:numId w:val="150"/>
        </w:numPr>
        <w:rPr>
          <w:rFonts w:ascii="Arial" w:cs="Arial" w:eastAsia="Arial" w:hAnsi="Arial"/>
          <w:sz w:val="24"/>
          <w:szCs w:val="24"/>
          <w:color w:val="auto"/>
        </w:rPr>
      </w:pPr>
      <w:r>
        <w:rPr>
          <w:rFonts w:ascii="Arial" w:cs="Arial" w:eastAsia="Arial" w:hAnsi="Arial"/>
          <w:sz w:val="24"/>
          <w:szCs w:val="24"/>
          <w:color w:val="auto"/>
        </w:rPr>
        <w:t>Borrower and Bank have agreed to modify the Note in accordance with the terms of this Agreement.</w:t>
      </w:r>
    </w:p>
    <w:p>
      <w:pPr>
        <w:spacing w:after="0" w:line="318" w:lineRule="exact"/>
        <w:rPr>
          <w:sz w:val="20"/>
          <w:szCs w:val="20"/>
          <w:color w:val="auto"/>
        </w:rPr>
      </w:pPr>
    </w:p>
    <w:p>
      <w:pPr>
        <w:jc w:val="both"/>
        <w:ind w:left="900" w:right="2320" w:firstLine="720"/>
        <w:spacing w:after="0" w:line="34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legal sufficiency of which are hereby acknowledged, the parties hereto mutually agree as follows:</w:t>
      </w:r>
    </w:p>
    <w:p>
      <w:pPr>
        <w:spacing w:after="0" w:line="380" w:lineRule="exact"/>
        <w:rPr>
          <w:sz w:val="20"/>
          <w:szCs w:val="20"/>
          <w:color w:val="auto"/>
        </w:rPr>
      </w:pPr>
    </w:p>
    <w:p>
      <w:pPr>
        <w:ind w:left="2280" w:hanging="591"/>
        <w:spacing w:after="0"/>
        <w:tabs>
          <w:tab w:leader="none" w:pos="2280" w:val="left"/>
        </w:tabs>
        <w:numPr>
          <w:ilvl w:val="0"/>
          <w:numId w:val="151"/>
        </w:numPr>
        <w:rPr>
          <w:rFonts w:ascii="Arial" w:cs="Arial" w:eastAsia="Arial" w:hAnsi="Arial"/>
          <w:sz w:val="24"/>
          <w:szCs w:val="24"/>
          <w:color w:val="auto"/>
        </w:rPr>
      </w:pPr>
      <w:r>
        <w:rPr>
          <w:rFonts w:ascii="Arial" w:cs="Arial" w:eastAsia="Arial" w:hAnsi="Arial"/>
          <w:sz w:val="24"/>
          <w:szCs w:val="24"/>
          <w:u w:val="single" w:color="auto"/>
          <w:color w:val="auto"/>
        </w:rPr>
        <w:t>Recitals</w:t>
      </w:r>
      <w:r>
        <w:rPr>
          <w:rFonts w:ascii="Arial" w:cs="Arial" w:eastAsia="Arial" w:hAnsi="Arial"/>
          <w:sz w:val="24"/>
          <w:szCs w:val="24"/>
          <w:color w:val="auto"/>
        </w:rPr>
        <w:t>. The recitals set forth above are true and correct.</w:t>
      </w:r>
    </w:p>
    <w:p>
      <w:pPr>
        <w:spacing w:after="0" w:line="200" w:lineRule="exact"/>
        <w:rPr>
          <w:sz w:val="20"/>
          <w:szCs w:val="20"/>
          <w:color w:val="auto"/>
        </w:rPr>
      </w:pPr>
    </w:p>
    <w:p>
      <w:pPr>
        <w:spacing w:after="0" w:line="287" w:lineRule="exact"/>
        <w:rPr>
          <w:sz w:val="20"/>
          <w:szCs w:val="20"/>
          <w:color w:val="auto"/>
        </w:rPr>
      </w:pPr>
    </w:p>
    <w:p>
      <w:pPr>
        <w:jc w:val="both"/>
        <w:ind w:left="1000" w:right="2240" w:firstLine="720"/>
        <w:spacing w:after="0" w:line="213" w:lineRule="auto"/>
        <w:rPr>
          <w:sz w:val="20"/>
          <w:szCs w:val="20"/>
          <w:color w:val="auto"/>
        </w:rPr>
      </w:pPr>
      <w:r>
        <w:rPr>
          <w:rFonts w:ascii="Arial" w:cs="Arial" w:eastAsia="Arial" w:hAnsi="Arial"/>
          <w:sz w:val="24"/>
          <w:szCs w:val="24"/>
          <w:color w:val="auto"/>
        </w:rPr>
        <w:t>2. Defined Terms. Borrower and Bank agree that defined terms used herein and not otherwise defined herein shall have the meaning ascribed thereto in the Note.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2338705</wp:posOffset>
                </wp:positionH>
                <wp:positionV relativeFrom="paragraph">
                  <wp:posOffset>-309880</wp:posOffset>
                </wp:positionV>
                <wp:extent cx="156273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73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5pt,-24.3999pt" to="307.2pt,-24.3999pt" o:allowincell="f" strokecolor="#000000" strokeweight="0.5859pt"/>
            </w:pict>
          </mc:Fallback>
        </mc:AlternateContent>
      </w:r>
    </w:p>
    <w:p>
      <w:pPr>
        <w:spacing w:after="0" w:line="200" w:lineRule="exact"/>
        <w:rPr>
          <w:sz w:val="20"/>
          <w:szCs w:val="20"/>
          <w:color w:val="auto"/>
        </w:rPr>
      </w:pPr>
    </w:p>
    <w:p>
      <w:pPr>
        <w:spacing w:after="0" w:line="257" w:lineRule="exact"/>
        <w:rPr>
          <w:sz w:val="20"/>
          <w:szCs w:val="20"/>
          <w:color w:val="auto"/>
        </w:rPr>
      </w:pPr>
    </w:p>
    <w:p>
      <w:pPr>
        <w:ind w:left="1720"/>
        <w:spacing w:after="0"/>
        <w:rPr>
          <w:sz w:val="20"/>
          <w:szCs w:val="20"/>
          <w:color w:val="auto"/>
        </w:rPr>
      </w:pPr>
      <w:r>
        <w:rPr>
          <w:rFonts w:ascii="Arial" w:cs="Arial" w:eastAsia="Arial" w:hAnsi="Arial"/>
          <w:sz w:val="24"/>
          <w:szCs w:val="24"/>
          <w:color w:val="auto"/>
        </w:rPr>
        <w:t>3.</w:t>
      </w:r>
    </w:p>
    <w:p>
      <w:pPr>
        <w:spacing w:after="0" w:line="96" w:lineRule="exact"/>
        <w:rPr>
          <w:sz w:val="20"/>
          <w:szCs w:val="20"/>
          <w:color w:val="auto"/>
        </w:rPr>
      </w:pPr>
    </w:p>
    <w:p>
      <w:pPr>
        <w:ind w:left="1000" w:right="680"/>
        <w:spacing w:after="0" w:line="307" w:lineRule="auto"/>
        <w:rPr>
          <w:sz w:val="20"/>
          <w:szCs w:val="20"/>
          <w:color w:val="auto"/>
        </w:rPr>
      </w:pPr>
      <w:r>
        <w:rPr>
          <w:rFonts w:ascii="Arial" w:cs="Arial" w:eastAsia="Arial" w:hAnsi="Arial"/>
          <w:sz w:val="24"/>
          <w:szCs w:val="24"/>
          <w:u w:val="single" w:color="auto"/>
          <w:color w:val="auto"/>
        </w:rPr>
        <w:t>Extension</w:t>
      </w:r>
      <w:r>
        <w:rPr>
          <w:rFonts w:ascii="Arial" w:cs="Arial" w:eastAsia="Arial" w:hAnsi="Arial"/>
          <w:sz w:val="24"/>
          <w:szCs w:val="24"/>
          <w:color w:val="auto"/>
        </w:rPr>
        <w:t>. As of the Effective Date, the term of the Loan is hereby extended for a period of twelve (12) months commencing on October 1, 2025 and ending on October 1, 2026 (the “</w:t>
      </w:r>
      <w:r>
        <w:rPr>
          <w:rFonts w:ascii="Arial" w:cs="Arial" w:eastAsia="Arial" w:hAnsi="Arial"/>
          <w:sz w:val="24"/>
          <w:szCs w:val="24"/>
          <w:b w:val="1"/>
          <w:bCs w:val="1"/>
          <w:color w:val="auto"/>
        </w:rPr>
        <w:t>Third Extension Term</w:t>
      </w:r>
      <w:r>
        <w:rPr>
          <w:rFonts w:ascii="Arial" w:cs="Arial" w:eastAsia="Arial" w:hAnsi="Arial"/>
          <w:sz w:val="24"/>
          <w:szCs w:val="24"/>
          <w:color w:val="auto"/>
        </w:rPr>
        <w:t>”).</w:t>
      </w:r>
    </w:p>
    <w:p>
      <w:pPr>
        <w:spacing w:after="0" w:line="200" w:lineRule="exact"/>
        <w:rPr>
          <w:sz w:val="20"/>
          <w:szCs w:val="20"/>
          <w:color w:val="auto"/>
        </w:rPr>
      </w:pPr>
    </w:p>
    <w:p>
      <w:pPr>
        <w:spacing w:after="0" w:line="311" w:lineRule="exact"/>
        <w:rPr>
          <w:sz w:val="20"/>
          <w:szCs w:val="20"/>
          <w:color w:val="auto"/>
        </w:rPr>
      </w:pPr>
    </w:p>
    <w:p>
      <w:pPr>
        <w:ind w:left="2280" w:hanging="591"/>
        <w:spacing w:after="0"/>
        <w:tabs>
          <w:tab w:leader="none" w:pos="228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As of the Effective Date, the Note is hereby modified and amended as</w:t>
      </w:r>
    </w:p>
    <w:p>
      <w:pPr>
        <w:spacing w:after="0" w:line="200" w:lineRule="exact"/>
        <w:rPr>
          <w:sz w:val="20"/>
          <w:szCs w:val="20"/>
          <w:color w:val="auto"/>
        </w:rPr>
      </w:pPr>
    </w:p>
    <w:p>
      <w:pPr>
        <w:spacing w:after="0" w:line="346" w:lineRule="exact"/>
        <w:rPr>
          <w:sz w:val="20"/>
          <w:szCs w:val="20"/>
          <w:color w:val="auto"/>
        </w:rPr>
      </w:pPr>
    </w:p>
    <w:tbl>
      <w:tblPr>
        <w:tblLayout w:type="fixed"/>
        <w:tblInd w:w="2220" w:type="dxa"/>
        <w:tblCellMar>
          <w:top w:w="0" w:type="dxa"/>
          <w:left w:w="0" w:type="dxa"/>
          <w:bottom w:w="0" w:type="dxa"/>
          <w:right w:w="0" w:type="dxa"/>
        </w:tblCellMar>
      </w:tblPr>
      <w:tr>
        <w:trPr>
          <w:trHeight w:val="276"/>
        </w:trPr>
        <w:tc>
          <w:tcPr>
            <w:tcW w:w="620" w:type="dxa"/>
            <w:vAlign w:val="bottom"/>
            <w:vMerge w:val="restart"/>
          </w:tcPr>
          <w:p>
            <w:pPr>
              <w:spacing w:after="0"/>
              <w:rPr>
                <w:sz w:val="20"/>
                <w:szCs w:val="20"/>
                <w:color w:val="auto"/>
              </w:rPr>
            </w:pPr>
            <w:r>
              <w:rPr>
                <w:rFonts w:ascii="Arial" w:cs="Arial" w:eastAsia="Arial" w:hAnsi="Arial"/>
                <w:sz w:val="24"/>
                <w:szCs w:val="24"/>
                <w:color w:val="auto"/>
              </w:rPr>
              <w:t>(a)</w:t>
            </w:r>
          </w:p>
        </w:tc>
        <w:tc>
          <w:tcPr>
            <w:tcW w:w="2920" w:type="dxa"/>
            <w:vAlign w:val="bottom"/>
          </w:tcPr>
          <w:p>
            <w:pPr>
              <w:ind w:left="320"/>
              <w:spacing w:after="0"/>
              <w:rPr>
                <w:sz w:val="20"/>
                <w:szCs w:val="20"/>
                <w:color w:val="auto"/>
              </w:rPr>
            </w:pPr>
            <w:r>
              <w:rPr>
                <w:rFonts w:ascii="Arial" w:cs="Arial" w:eastAsia="Arial" w:hAnsi="Arial"/>
                <w:sz w:val="24"/>
                <w:szCs w:val="24"/>
                <w:color w:val="auto"/>
              </w:rPr>
              <w:t>The</w:t>
            </w:r>
          </w:p>
        </w:tc>
        <w:tc>
          <w:tcPr>
            <w:tcW w:w="3180" w:type="dxa"/>
            <w:vAlign w:val="bottom"/>
          </w:tcPr>
          <w:p>
            <w:pPr>
              <w:ind w:left="2220"/>
              <w:spacing w:after="0"/>
              <w:rPr>
                <w:sz w:val="20"/>
                <w:szCs w:val="20"/>
                <w:color w:val="auto"/>
              </w:rPr>
            </w:pPr>
            <w:r>
              <w:rPr>
                <w:rFonts w:ascii="Arial" w:cs="Arial" w:eastAsia="Arial" w:hAnsi="Arial"/>
                <w:sz w:val="24"/>
                <w:szCs w:val="24"/>
                <w:color w:val="auto"/>
              </w:rPr>
              <w:t>Note</w:t>
            </w:r>
          </w:p>
        </w:tc>
        <w:tc>
          <w:tcPr>
            <w:tcW w:w="0" w:type="dxa"/>
            <w:vAlign w:val="bottom"/>
          </w:tcPr>
          <w:p>
            <w:pPr>
              <w:spacing w:after="0"/>
              <w:rPr>
                <w:sz w:val="1"/>
                <w:szCs w:val="1"/>
                <w:color w:val="auto"/>
              </w:rPr>
            </w:pPr>
          </w:p>
        </w:tc>
      </w:tr>
      <w:tr>
        <w:trPr>
          <w:trHeight w:val="180"/>
        </w:trPr>
        <w:tc>
          <w:tcPr>
            <w:tcW w:w="620" w:type="dxa"/>
            <w:vAlign w:val="bottom"/>
            <w:vMerge w:val="continue"/>
          </w:tcPr>
          <w:p>
            <w:pPr>
              <w:spacing w:after="0"/>
              <w:rPr>
                <w:sz w:val="15"/>
                <w:szCs w:val="15"/>
                <w:color w:val="auto"/>
              </w:rPr>
            </w:pPr>
          </w:p>
        </w:tc>
        <w:tc>
          <w:tcPr>
            <w:tcW w:w="6100" w:type="dxa"/>
            <w:vAlign w:val="bottom"/>
            <w:gridSpan w:val="2"/>
            <w:vMerge w:val="restart"/>
          </w:tcPr>
          <w:p>
            <w:pPr>
              <w:ind w:left="320"/>
              <w:spacing w:after="0"/>
              <w:rPr>
                <w:sz w:val="20"/>
                <w:szCs w:val="20"/>
                <w:color w:val="auto"/>
              </w:rPr>
            </w:pPr>
            <w:r>
              <w:rPr>
                <w:rFonts w:ascii="Arial" w:cs="Arial" w:eastAsia="Arial" w:hAnsi="Arial"/>
                <w:sz w:val="24"/>
                <w:szCs w:val="24"/>
                <w:color w:val="auto"/>
                <w:w w:val="89"/>
              </w:rPr>
              <w:t>is hereby amended to add at the end of Section 1 as follows:</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6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2220"/>
        <w:spacing w:after="0"/>
        <w:rPr>
          <w:sz w:val="20"/>
          <w:szCs w:val="20"/>
          <w:color w:val="auto"/>
        </w:rPr>
      </w:pPr>
      <w:r>
        <w:rPr>
          <w:rFonts w:ascii="Arial" w:cs="Arial" w:eastAsia="Arial" w:hAnsi="Arial"/>
          <w:sz w:val="24"/>
          <w:szCs w:val="24"/>
          <w:color w:val="auto"/>
        </w:rPr>
        <w:t>(I)</w:t>
      </w:r>
    </w:p>
    <w:p>
      <w:pPr>
        <w:spacing w:after="0" w:line="96" w:lineRule="exact"/>
        <w:rPr>
          <w:sz w:val="20"/>
          <w:szCs w:val="20"/>
          <w:color w:val="auto"/>
        </w:rPr>
      </w:pPr>
    </w:p>
    <w:p>
      <w:pPr>
        <w:ind w:left="2220"/>
        <w:spacing w:after="0" w:line="344" w:lineRule="auto"/>
        <w:rPr>
          <w:sz w:val="20"/>
          <w:szCs w:val="20"/>
          <w:color w:val="auto"/>
        </w:rPr>
      </w:pPr>
      <w:r>
        <w:rPr>
          <w:rFonts w:ascii="Arial" w:cs="Arial" w:eastAsia="Arial" w:hAnsi="Arial"/>
          <w:sz w:val="22"/>
          <w:szCs w:val="22"/>
          <w:color w:val="auto"/>
        </w:rPr>
        <w:t>Eleven (11) equal consecutive monthly installments of principal and interest, in an am as calculated pursuant to the Interest Rate and Interest Calculations commencing on O 1, 2025 and continuing on the first day of each month thereafter until and including September 1, 2026 (each payment being a “</w:t>
      </w:r>
      <w:r>
        <w:rPr>
          <w:rFonts w:ascii="Arial" w:cs="Arial" w:eastAsia="Arial" w:hAnsi="Arial"/>
          <w:sz w:val="22"/>
          <w:szCs w:val="22"/>
          <w:b w:val="1"/>
          <w:bCs w:val="1"/>
          <w:color w:val="auto"/>
        </w:rPr>
        <w:t>Payment Date</w:t>
      </w:r>
      <w:r>
        <w:rPr>
          <w:rFonts w:ascii="Arial" w:cs="Arial" w:eastAsia="Arial" w:hAnsi="Arial"/>
          <w:sz w:val="22"/>
          <w:szCs w:val="22"/>
          <w:color w:val="auto"/>
        </w:rPr>
        <w:t>”).</w:t>
      </w:r>
    </w:p>
    <w:p>
      <w:pPr>
        <w:sectPr>
          <w:pgSz w:w="11900" w:h="16838" w:orient="portrait"/>
          <w:cols w:equalWidth="0" w:num="1">
            <w:col w:w="10460"/>
          </w:cols>
          <w:pgMar w:left="1440" w:top="121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89 / 98</w:t>
      </w:r>
    </w:p>
    <w:p>
      <w:pPr>
        <w:sectPr>
          <w:pgSz w:w="11900" w:h="16838" w:orient="portrait"/>
          <w:cols w:equalWidth="0" w:num="1">
            <w:col w:w="10460"/>
          </w:cols>
          <w:pgMar w:left="1440" w:top="1213" w:right="6" w:bottom="0" w:gutter="0" w:footer="0" w:header="0"/>
          <w:type w:val="continuous"/>
        </w:sectPr>
      </w:pPr>
    </w:p>
    <w:bookmarkStart w:id="271" w:name="page272"/>
    <w:bookmarkEnd w:id="271"/>
    <w:p>
      <w:pPr>
        <w:jc w:val="both"/>
        <w:ind w:left="2220" w:right="1000" w:firstLine="9"/>
        <w:spacing w:after="0" w:line="310" w:lineRule="auto"/>
        <w:tabs>
          <w:tab w:leader="none" w:pos="3003" w:val="left"/>
        </w:tabs>
        <w:numPr>
          <w:ilvl w:val="0"/>
          <w:numId w:val="153"/>
        </w:numPr>
        <w:rPr>
          <w:rFonts w:ascii="Arial" w:cs="Arial" w:eastAsia="Arial" w:hAnsi="Arial"/>
          <w:sz w:val="24"/>
          <w:szCs w:val="24"/>
          <w:color w:val="auto"/>
        </w:rPr>
      </w:pPr>
      <w:r>
        <w:rPr>
          <w:rFonts w:ascii="Arial" w:cs="Arial" w:eastAsia="Arial" w:hAnsi="Arial"/>
          <w:sz w:val="24"/>
          <w:szCs w:val="24"/>
          <w:color w:val="auto"/>
        </w:rPr>
        <w:t>A final installment principal in such amount as shall constitute the entire outstanding principal balance of this Note, plus all accrued and unpaid interest as calculated pursuant to Paragraphs 2 and 3 below, and all other sums due under this Note and/or the Mortgage shall be due and payable in full on October 1, 2026 (the “</w:t>
      </w:r>
      <w:r>
        <w:rPr>
          <w:rFonts w:ascii="Arial" w:cs="Arial" w:eastAsia="Arial" w:hAnsi="Arial"/>
          <w:sz w:val="24"/>
          <w:szCs w:val="24"/>
          <w:b w:val="1"/>
          <w:bCs w:val="1"/>
          <w:color w:val="auto"/>
        </w:rPr>
        <w:t>Third Extension Maturity</w:t>
      </w:r>
      <w:r>
        <w:rPr>
          <w:rFonts w:ascii="Arial" w:cs="Arial" w:eastAsia="Arial" w:hAnsi="Arial"/>
          <w:sz w:val="24"/>
          <w:szCs w:val="24"/>
          <w:color w:val="auto"/>
        </w:rPr>
        <w:t xml:space="preserve"> </w:t>
      </w:r>
      <w:r>
        <w:rPr>
          <w:rFonts w:ascii="Arial" w:cs="Arial" w:eastAsia="Arial" w:hAnsi="Arial"/>
          <w:sz w:val="24"/>
          <w:szCs w:val="24"/>
          <w:b w:val="1"/>
          <w:bCs w:val="1"/>
          <w:color w:val="auto"/>
        </w:rPr>
        <w:t>Date</w:t>
      </w:r>
      <w:r>
        <w:rPr>
          <w:rFonts w:ascii="Arial" w:cs="Arial" w:eastAsia="Arial" w:hAnsi="Arial"/>
          <w:sz w:val="24"/>
          <w:szCs w:val="24"/>
          <w:color w:val="auto"/>
        </w:rPr>
        <w:t>”).</w:t>
      </w:r>
    </w:p>
    <w:p>
      <w:pPr>
        <w:spacing w:after="0" w:line="328" w:lineRule="exact"/>
        <w:rPr>
          <w:sz w:val="20"/>
          <w:szCs w:val="20"/>
          <w:color w:val="auto"/>
        </w:rPr>
      </w:pPr>
    </w:p>
    <w:p>
      <w:pPr>
        <w:ind w:left="2160"/>
        <w:spacing w:after="0"/>
        <w:rPr>
          <w:sz w:val="20"/>
          <w:szCs w:val="20"/>
          <w:color w:val="auto"/>
        </w:rPr>
      </w:pPr>
      <w:r>
        <w:rPr>
          <w:rFonts w:ascii="Arial" w:cs="Arial" w:eastAsia="Arial" w:hAnsi="Arial"/>
          <w:sz w:val="24"/>
          <w:szCs w:val="24"/>
          <w:color w:val="auto"/>
        </w:rPr>
        <w:t>Borrower</w:t>
      </w:r>
    </w:p>
    <w:p>
      <w:pPr>
        <w:spacing w:after="0" w:line="96" w:lineRule="exact"/>
        <w:rPr>
          <w:sz w:val="20"/>
          <w:szCs w:val="20"/>
          <w:color w:val="auto"/>
        </w:rPr>
      </w:pPr>
    </w:p>
    <w:p>
      <w:pPr>
        <w:ind w:left="2160" w:right="460"/>
        <w:spacing w:after="0" w:line="307" w:lineRule="auto"/>
        <w:rPr>
          <w:sz w:val="20"/>
          <w:szCs w:val="20"/>
          <w:color w:val="auto"/>
        </w:rPr>
      </w:pPr>
      <w:r>
        <w:rPr>
          <w:rFonts w:ascii="Arial" w:cs="Arial" w:eastAsia="Arial" w:hAnsi="Arial"/>
          <w:sz w:val="24"/>
          <w:szCs w:val="24"/>
          <w:color w:val="auto"/>
        </w:rPr>
        <w:t>acknowledges and agrees that Borrower shall have no right to extend the maturity date of the loan evidenced hereby (the “</w:t>
      </w:r>
      <w:r>
        <w:rPr>
          <w:rFonts w:ascii="Arial" w:cs="Arial" w:eastAsia="Arial" w:hAnsi="Arial"/>
          <w:sz w:val="24"/>
          <w:szCs w:val="24"/>
          <w:b w:val="1"/>
          <w:bCs w:val="1"/>
          <w:color w:val="auto"/>
        </w:rPr>
        <w:t>Loan</w:t>
      </w:r>
      <w:r>
        <w:rPr>
          <w:rFonts w:ascii="Arial" w:cs="Arial" w:eastAsia="Arial" w:hAnsi="Arial"/>
          <w:sz w:val="24"/>
          <w:szCs w:val="24"/>
          <w:color w:val="auto"/>
        </w:rPr>
        <w:t>”) beyond the Third Extension Term Maturity Date.</w:t>
      </w:r>
    </w:p>
    <w:p>
      <w:pPr>
        <w:spacing w:after="0" w:line="381" w:lineRule="exact"/>
        <w:rPr>
          <w:sz w:val="20"/>
          <w:szCs w:val="20"/>
          <w:color w:val="auto"/>
        </w:rPr>
      </w:pPr>
    </w:p>
    <w:p>
      <w:pPr>
        <w:ind w:left="2160" w:right="40"/>
        <w:spacing w:after="0" w:line="302" w:lineRule="auto"/>
        <w:rPr>
          <w:sz w:val="20"/>
          <w:szCs w:val="20"/>
          <w:color w:val="auto"/>
        </w:rPr>
      </w:pPr>
      <w:r>
        <w:rPr>
          <w:rFonts w:ascii="Arial" w:cs="Arial" w:eastAsia="Arial" w:hAnsi="Arial"/>
          <w:sz w:val="24"/>
          <w:szCs w:val="24"/>
          <w:color w:val="auto"/>
        </w:rPr>
        <w:t>The unpaid principal balance shall continue to bear interest after the Maturity Date or, event that the term is extended for the First Extension Term,</w:t>
      </w:r>
    </w:p>
    <w:p>
      <w:pPr>
        <w:spacing w:after="0" w:line="13" w:lineRule="exact"/>
        <w:rPr>
          <w:sz w:val="20"/>
          <w:szCs w:val="20"/>
          <w:color w:val="auto"/>
        </w:rPr>
      </w:pPr>
    </w:p>
    <w:p>
      <w:pPr>
        <w:ind w:left="2160"/>
        <w:spacing w:after="0"/>
        <w:tabs>
          <w:tab w:leader="none" w:pos="3420" w:val="left"/>
          <w:tab w:leader="none" w:pos="4540" w:val="left"/>
          <w:tab w:leader="none" w:pos="5820" w:val="left"/>
          <w:tab w:leader="none" w:pos="7620" w:val="left"/>
        </w:tabs>
        <w:rPr>
          <w:sz w:val="20"/>
          <w:szCs w:val="20"/>
          <w:color w:val="auto"/>
        </w:rPr>
      </w:pPr>
      <w:r>
        <w:rPr>
          <w:rFonts w:ascii="Arial" w:cs="Arial" w:eastAsia="Arial" w:hAnsi="Arial"/>
          <w:sz w:val="24"/>
          <w:szCs w:val="24"/>
          <w:color w:val="auto"/>
        </w:rPr>
        <w:t>after</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First</w:t>
      </w:r>
      <w:r>
        <w:rPr>
          <w:sz w:val="20"/>
          <w:szCs w:val="20"/>
          <w:color w:val="auto"/>
        </w:rPr>
        <w:tab/>
      </w:r>
      <w:r>
        <w:rPr>
          <w:rFonts w:ascii="Arial" w:cs="Arial" w:eastAsia="Arial" w:hAnsi="Arial"/>
          <w:sz w:val="24"/>
          <w:szCs w:val="24"/>
          <w:color w:val="auto"/>
        </w:rPr>
        <w:t>Extension</w:t>
      </w:r>
      <w:r>
        <w:rPr>
          <w:sz w:val="20"/>
          <w:szCs w:val="20"/>
          <w:color w:val="auto"/>
        </w:rPr>
        <w:tab/>
      </w:r>
      <w:r>
        <w:rPr>
          <w:rFonts w:ascii="Arial" w:cs="Arial" w:eastAsia="Arial" w:hAnsi="Arial"/>
          <w:sz w:val="21"/>
          <w:szCs w:val="21"/>
          <w:color w:val="auto"/>
        </w:rPr>
        <w:t>Term</w:t>
      </w:r>
    </w:p>
    <w:p>
      <w:pPr>
        <w:spacing w:after="0" w:line="96" w:lineRule="exact"/>
        <w:rPr>
          <w:sz w:val="20"/>
          <w:szCs w:val="20"/>
          <w:color w:val="auto"/>
        </w:rPr>
      </w:pPr>
    </w:p>
    <w:p>
      <w:pPr>
        <w:ind w:left="2160"/>
        <w:spacing w:after="0" w:line="302" w:lineRule="auto"/>
        <w:rPr>
          <w:sz w:val="20"/>
          <w:szCs w:val="20"/>
          <w:color w:val="auto"/>
        </w:rPr>
      </w:pPr>
      <w:r>
        <w:rPr>
          <w:rFonts w:ascii="Arial" w:cs="Arial" w:eastAsia="Arial" w:hAnsi="Arial"/>
          <w:sz w:val="24"/>
          <w:szCs w:val="24"/>
          <w:color w:val="auto"/>
        </w:rPr>
        <w:t>Maturity Date, or, in the event that the term is extended for the Second Extension Term the Second Extension Term Maturity Date, or, in the event</w:t>
      </w:r>
    </w:p>
    <w:p>
      <w:pPr>
        <w:spacing w:after="0" w:line="25" w:lineRule="exact"/>
        <w:rPr>
          <w:sz w:val="20"/>
          <w:szCs w:val="20"/>
          <w:color w:val="auto"/>
        </w:rPr>
      </w:pPr>
    </w:p>
    <w:p>
      <w:pPr>
        <w:jc w:val="both"/>
        <w:ind w:left="2160" w:right="2320"/>
        <w:spacing w:after="0" w:line="341" w:lineRule="auto"/>
        <w:rPr>
          <w:sz w:val="20"/>
          <w:szCs w:val="20"/>
          <w:color w:val="auto"/>
        </w:rPr>
      </w:pPr>
      <w:r>
        <w:rPr>
          <w:rFonts w:ascii="Arial" w:cs="Arial" w:eastAsia="Arial" w:hAnsi="Arial"/>
          <w:sz w:val="22"/>
          <w:szCs w:val="22"/>
          <w:color w:val="auto"/>
        </w:rPr>
        <w:t>that the term is extended for the Third Extension Term, after the Third Extension Term Maturity Date as applicable, at the Default Interest Rate set forth in this Note until and including</w:t>
      </w:r>
    </w:p>
    <w:p>
      <w:pPr>
        <w:ind w:left="2160"/>
        <w:spacing w:after="0"/>
        <w:tabs>
          <w:tab w:leader="none" w:pos="3140" w:val="left"/>
          <w:tab w:leader="none" w:pos="4240" w:val="left"/>
          <w:tab w:leader="none" w:pos="5180" w:val="left"/>
          <w:tab w:leader="none" w:pos="6480" w:val="left"/>
          <w:tab w:leader="none" w:pos="7460" w:val="left"/>
        </w:tabs>
        <w:rPr>
          <w:sz w:val="20"/>
          <w:szCs w:val="20"/>
          <w:color w:val="auto"/>
        </w:rPr>
      </w:pP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date</w:t>
      </w:r>
      <w:r>
        <w:rPr>
          <w:sz w:val="20"/>
          <w:szCs w:val="20"/>
          <w:color w:val="auto"/>
        </w:rPr>
        <w:tab/>
      </w:r>
      <w:r>
        <w:rPr>
          <w:rFonts w:ascii="Arial" w:cs="Arial" w:eastAsia="Arial" w:hAnsi="Arial"/>
          <w:sz w:val="24"/>
          <w:szCs w:val="24"/>
          <w:color w:val="auto"/>
        </w:rPr>
        <w:t>on</w:t>
      </w:r>
      <w:r>
        <w:rPr>
          <w:sz w:val="20"/>
          <w:szCs w:val="20"/>
          <w:color w:val="auto"/>
        </w:rPr>
        <w:tab/>
      </w:r>
      <w:r>
        <w:rPr>
          <w:rFonts w:ascii="Arial" w:cs="Arial" w:eastAsia="Arial" w:hAnsi="Arial"/>
          <w:sz w:val="24"/>
          <w:szCs w:val="24"/>
          <w:color w:val="auto"/>
        </w:rPr>
        <w:t>which</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1"/>
          <w:szCs w:val="21"/>
          <w:color w:val="auto"/>
        </w:rPr>
        <w:t>unpaid</w:t>
      </w:r>
    </w:p>
    <w:p>
      <w:pPr>
        <w:spacing w:after="0" w:line="97" w:lineRule="exact"/>
        <w:rPr>
          <w:sz w:val="20"/>
          <w:szCs w:val="20"/>
          <w:color w:val="auto"/>
        </w:rPr>
      </w:pPr>
    </w:p>
    <w:p>
      <w:pPr>
        <w:ind w:left="2160" w:right="2320"/>
        <w:spacing w:after="0" w:line="302" w:lineRule="auto"/>
        <w:rPr>
          <w:sz w:val="20"/>
          <w:szCs w:val="20"/>
          <w:color w:val="auto"/>
        </w:rPr>
      </w:pPr>
      <w:r>
        <w:rPr>
          <w:rFonts w:ascii="Arial" w:cs="Arial" w:eastAsia="Arial" w:hAnsi="Arial"/>
          <w:sz w:val="24"/>
          <w:szCs w:val="24"/>
          <w:color w:val="auto"/>
        </w:rPr>
        <w:t>principal balance and all interest, fees and other charges due under the Loan Documents are paid in full.</w:t>
      </w:r>
    </w:p>
    <w:p>
      <w:pPr>
        <w:spacing w:after="0" w:line="392" w:lineRule="exact"/>
        <w:rPr>
          <w:sz w:val="20"/>
          <w:szCs w:val="20"/>
          <w:color w:val="auto"/>
        </w:rPr>
      </w:pPr>
    </w:p>
    <w:p>
      <w:pPr>
        <w:ind w:left="3180" w:hanging="771"/>
        <w:spacing w:after="0"/>
        <w:tabs>
          <w:tab w:leader="none" w:pos="318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first paragraph of Section 2 of the Note is hereby deleted and replaced</w:t>
      </w:r>
    </w:p>
    <w:p>
      <w:pPr>
        <w:spacing w:after="0" w:line="66" w:lineRule="exact"/>
        <w:rPr>
          <w:sz w:val="20"/>
          <w:szCs w:val="20"/>
          <w:color w:val="auto"/>
        </w:rPr>
      </w:pPr>
    </w:p>
    <w:p>
      <w:pPr>
        <w:ind w:left="900"/>
        <w:spacing w:after="0"/>
        <w:rPr>
          <w:sz w:val="20"/>
          <w:szCs w:val="20"/>
          <w:color w:val="auto"/>
        </w:rPr>
      </w:pPr>
      <w:r>
        <w:rPr>
          <w:rFonts w:ascii="Arial" w:cs="Arial" w:eastAsia="Arial" w:hAnsi="Arial"/>
          <w:sz w:val="24"/>
          <w:szCs w:val="24"/>
          <w:color w:val="auto"/>
        </w:rPr>
        <w:t>follows:</w:t>
      </w:r>
    </w:p>
    <w:p>
      <w:pPr>
        <w:spacing w:after="0" w:line="200" w:lineRule="exact"/>
        <w:rPr>
          <w:sz w:val="20"/>
          <w:szCs w:val="20"/>
          <w:color w:val="auto"/>
        </w:rPr>
      </w:pPr>
    </w:p>
    <w:p>
      <w:pPr>
        <w:spacing w:after="0" w:line="214" w:lineRule="exact"/>
        <w:rPr>
          <w:sz w:val="20"/>
          <w:szCs w:val="20"/>
          <w:color w:val="auto"/>
        </w:rPr>
      </w:pPr>
    </w:p>
    <w:p>
      <w:pPr>
        <w:ind w:left="3060" w:right="80"/>
        <w:spacing w:after="0" w:line="307" w:lineRule="auto"/>
        <w:rPr>
          <w:sz w:val="20"/>
          <w:szCs w:val="20"/>
          <w:color w:val="auto"/>
        </w:rPr>
      </w:pPr>
      <w:r>
        <w:rPr>
          <w:rFonts w:ascii="Arial" w:cs="Arial" w:eastAsia="Arial" w:hAnsi="Arial"/>
          <w:sz w:val="24"/>
          <w:szCs w:val="24"/>
          <w:color w:val="auto"/>
        </w:rPr>
        <w:t>The annual rate of interest payable under this Note (“</w:t>
      </w:r>
      <w:r>
        <w:rPr>
          <w:rFonts w:ascii="Arial" w:cs="Arial" w:eastAsia="Arial" w:hAnsi="Arial"/>
          <w:sz w:val="24"/>
          <w:szCs w:val="24"/>
          <w:b w:val="1"/>
          <w:bCs w:val="1"/>
          <w:color w:val="auto"/>
        </w:rPr>
        <w:t>Interest Rate</w:t>
      </w:r>
      <w:r>
        <w:rPr>
          <w:rFonts w:ascii="Arial" w:cs="Arial" w:eastAsia="Arial" w:hAnsi="Arial"/>
          <w:sz w:val="24"/>
          <w:szCs w:val="24"/>
          <w:color w:val="auto"/>
        </w:rPr>
        <w:t>”) for the commencing on and including the date hereof through and including the Third Extension Maturity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Date, shall be calculated at a floating rate equal at all</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times  to  five  hundred  fifty  (550)  basis  points</w:t>
      </w:r>
    </w:p>
    <w:p>
      <w:pPr>
        <w:spacing w:after="0" w:line="84" w:lineRule="exact"/>
        <w:rPr>
          <w:sz w:val="20"/>
          <w:szCs w:val="20"/>
          <w:color w:val="auto"/>
        </w:rPr>
      </w:pPr>
    </w:p>
    <w:p>
      <w:pPr>
        <w:ind w:left="3060"/>
        <w:spacing w:after="0"/>
        <w:tabs>
          <w:tab w:leader="none" w:pos="4080" w:val="left"/>
          <w:tab w:leader="none" w:pos="4940" w:val="left"/>
          <w:tab w:leader="none" w:pos="5500" w:val="left"/>
          <w:tab w:leader="none" w:pos="6360" w:val="left"/>
          <w:tab w:leader="none" w:pos="7140" w:val="left"/>
          <w:tab w:leader="none" w:pos="7840" w:val="left"/>
        </w:tabs>
        <w:rPr>
          <w:sz w:val="20"/>
          <w:szCs w:val="20"/>
          <w:color w:val="auto"/>
        </w:rPr>
      </w:pPr>
      <w:r>
        <w:rPr>
          <w:rFonts w:ascii="Arial" w:cs="Arial" w:eastAsia="Arial" w:hAnsi="Arial"/>
          <w:sz w:val="24"/>
          <w:szCs w:val="24"/>
          <w:color w:val="auto"/>
        </w:rPr>
        <w:t>(5.50%)</w:t>
        <w:tab/>
        <w:t>above</w:t>
        <w:tab/>
        <w:t>the</w:t>
        <w:tab/>
        <w:t>SOFR</w:t>
        <w:tab/>
        <w:t>Loan</w:t>
        <w:tab/>
        <w:t>Rate</w:t>
      </w:r>
      <w:r>
        <w:rPr>
          <w:sz w:val="20"/>
          <w:szCs w:val="20"/>
          <w:color w:val="auto"/>
        </w:rPr>
        <w:tab/>
      </w:r>
      <w:r>
        <w:rPr>
          <w:rFonts w:ascii="Arial" w:cs="Arial" w:eastAsia="Arial" w:hAnsi="Arial"/>
          <w:sz w:val="20"/>
          <w:szCs w:val="20"/>
          <w:color w:val="auto"/>
        </w:rPr>
        <w:t>(as</w:t>
      </w:r>
    </w:p>
    <w:p>
      <w:pPr>
        <w:spacing w:after="0" w:line="96" w:lineRule="exact"/>
        <w:rPr>
          <w:sz w:val="20"/>
          <w:szCs w:val="20"/>
          <w:color w:val="auto"/>
        </w:rPr>
      </w:pPr>
    </w:p>
    <w:p>
      <w:pPr>
        <w:ind w:left="3060"/>
        <w:spacing w:after="0" w:line="307" w:lineRule="auto"/>
        <w:rPr>
          <w:sz w:val="20"/>
          <w:szCs w:val="20"/>
          <w:color w:val="auto"/>
        </w:rPr>
      </w:pPr>
      <w:r>
        <w:rPr>
          <w:rFonts w:ascii="Arial" w:cs="Arial" w:eastAsia="Arial" w:hAnsi="Arial"/>
          <w:sz w:val="24"/>
          <w:szCs w:val="24"/>
          <w:color w:val="auto"/>
        </w:rPr>
        <w:t>defined below), as such rate may change from time to time, adjusted daily, pr that at no time during the Third Extension Term, shall the rate of Interest be less than seven and one</w:t>
      </w:r>
    </w:p>
    <w:p>
      <w:pPr>
        <w:spacing w:after="0" w:line="9" w:lineRule="exact"/>
        <w:rPr>
          <w:sz w:val="20"/>
          <w:szCs w:val="20"/>
          <w:color w:val="auto"/>
        </w:rPr>
      </w:pPr>
    </w:p>
    <w:p>
      <w:pPr>
        <w:ind w:left="3060"/>
        <w:spacing w:after="0"/>
        <w:tabs>
          <w:tab w:leader="none" w:pos="3600" w:val="left"/>
          <w:tab w:leader="none" w:pos="3980" w:val="left"/>
          <w:tab w:leader="none" w:pos="4520" w:val="left"/>
          <w:tab w:leader="none" w:pos="5420" w:val="left"/>
          <w:tab w:leader="none" w:pos="6380" w:val="left"/>
          <w:tab w:leader="none" w:pos="6880" w:val="left"/>
          <w:tab w:leader="none" w:pos="7780" w:val="left"/>
        </w:tabs>
        <w:rPr>
          <w:sz w:val="20"/>
          <w:szCs w:val="20"/>
          <w:color w:val="auto"/>
        </w:rPr>
      </w:pPr>
      <w:r>
        <w:rPr>
          <w:rFonts w:ascii="Arial" w:cs="Arial" w:eastAsia="Arial" w:hAnsi="Arial"/>
          <w:sz w:val="24"/>
          <w:szCs w:val="24"/>
          <w:color w:val="auto"/>
        </w:rPr>
        <w:t>half</w:t>
        <w:tab/>
        <w:t>of</w:t>
        <w:tab/>
        <w:t>one</w:t>
        <w:tab/>
        <w:t>percent</w:t>
        <w:tab/>
        <w:t>(7.50%)</w:t>
        <w:tab/>
        <w:t>per</w:t>
        <w:tab/>
        <w:t>annum,</w:t>
      </w:r>
      <w:r>
        <w:rPr>
          <w:sz w:val="20"/>
          <w:szCs w:val="20"/>
          <w:color w:val="auto"/>
        </w:rPr>
        <w:tab/>
      </w:r>
      <w:r>
        <w:rPr>
          <w:rFonts w:ascii="Arial" w:cs="Arial" w:eastAsia="Arial" w:hAnsi="Arial"/>
          <w:sz w:val="20"/>
          <w:szCs w:val="20"/>
          <w:color w:val="auto"/>
        </w:rPr>
        <w:t>and</w:t>
      </w:r>
    </w:p>
    <w:p>
      <w:pPr>
        <w:spacing w:after="0" w:line="84" w:lineRule="exact"/>
        <w:rPr>
          <w:sz w:val="20"/>
          <w:szCs w:val="20"/>
          <w:color w:val="auto"/>
        </w:rPr>
      </w:pPr>
    </w:p>
    <w:p>
      <w:pPr>
        <w:ind w:left="3060"/>
        <w:spacing w:after="0"/>
        <w:tabs>
          <w:tab w:leader="none" w:pos="7420" w:val="left"/>
        </w:tabs>
        <w:rPr>
          <w:sz w:val="20"/>
          <w:szCs w:val="20"/>
          <w:color w:val="auto"/>
        </w:rPr>
      </w:pPr>
      <w:r>
        <w:rPr>
          <w:rFonts w:ascii="Arial" w:cs="Arial" w:eastAsia="Arial" w:hAnsi="Arial"/>
          <w:sz w:val="24"/>
          <w:szCs w:val="24"/>
          <w:color w:val="auto"/>
        </w:rPr>
        <w:t>provided</w:t>
      </w:r>
      <w:r>
        <w:rPr>
          <w:sz w:val="20"/>
          <w:szCs w:val="20"/>
          <w:color w:val="auto"/>
        </w:rPr>
        <w:tab/>
      </w:r>
      <w:r>
        <w:rPr>
          <w:rFonts w:ascii="Arial" w:cs="Arial" w:eastAsia="Arial" w:hAnsi="Arial"/>
          <w:sz w:val="24"/>
          <w:szCs w:val="24"/>
          <w:color w:val="auto"/>
        </w:rPr>
        <w:t>further,</w:t>
      </w:r>
    </w:p>
    <w:p>
      <w:pPr>
        <w:sectPr>
          <w:pgSz w:w="11900" w:h="16838" w:orient="portrait"/>
          <w:cols w:equalWidth="0" w:num="1">
            <w:col w:w="10460"/>
          </w:cols>
          <w:pgMar w:left="1440" w:top="122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90 / 98</w:t>
      </w:r>
    </w:p>
    <w:p>
      <w:pPr>
        <w:sectPr>
          <w:pgSz w:w="11900" w:h="16838" w:orient="portrait"/>
          <w:cols w:equalWidth="0" w:num="1">
            <w:col w:w="10460"/>
          </w:cols>
          <w:pgMar w:left="1440" w:top="1225" w:right="6" w:bottom="0" w:gutter="0" w:footer="0" w:header="0"/>
          <w:type w:val="continuous"/>
        </w:sectPr>
      </w:pPr>
    </w:p>
    <w:bookmarkStart w:id="272" w:name="page273"/>
    <w:bookmarkEnd w:id="272"/>
    <w:p>
      <w:pPr>
        <w:ind w:left="3060"/>
        <w:spacing w:after="0" w:line="330" w:lineRule="auto"/>
        <w:rPr>
          <w:sz w:val="20"/>
          <w:szCs w:val="20"/>
          <w:color w:val="auto"/>
        </w:rPr>
      </w:pPr>
      <w:r>
        <w:rPr>
          <w:rFonts w:ascii="Arial" w:cs="Arial" w:eastAsia="Arial" w:hAnsi="Arial"/>
          <w:sz w:val="24"/>
          <w:szCs w:val="24"/>
          <w:color w:val="auto"/>
        </w:rPr>
        <w:t>that the rate of Interest may be increased to the Default Interest Rate in accor with the terms and provisions of the Loan Documents.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180" w:hanging="771"/>
        <w:spacing w:after="0"/>
        <w:tabs>
          <w:tab w:leader="none" w:pos="3180" w:val="left"/>
        </w:tabs>
        <w:numPr>
          <w:ilvl w:val="0"/>
          <w:numId w:val="155"/>
        </w:numPr>
        <w:rPr>
          <w:rFonts w:ascii="Arial" w:cs="Arial" w:eastAsia="Arial" w:hAnsi="Arial"/>
          <w:sz w:val="24"/>
          <w:szCs w:val="24"/>
          <w:color w:val="auto"/>
        </w:rPr>
      </w:pPr>
      <w:r>
        <w:rPr>
          <w:rFonts w:ascii="Arial" w:cs="Arial" w:eastAsia="Arial" w:hAnsi="Arial"/>
          <w:sz w:val="24"/>
          <w:szCs w:val="24"/>
          <w:color w:val="auto"/>
        </w:rPr>
        <w:t>Section 23 is added to the Note as follows:</w:t>
      </w:r>
    </w:p>
    <w:p>
      <w:pPr>
        <w:spacing w:after="0" w:line="200" w:lineRule="exact"/>
        <w:rPr>
          <w:sz w:val="20"/>
          <w:szCs w:val="20"/>
          <w:color w:val="auto"/>
        </w:rPr>
      </w:pPr>
    </w:p>
    <w:p>
      <w:pPr>
        <w:spacing w:after="0" w:line="301" w:lineRule="exact"/>
        <w:rPr>
          <w:sz w:val="20"/>
          <w:szCs w:val="20"/>
          <w:color w:val="auto"/>
        </w:rPr>
      </w:pPr>
    </w:p>
    <w:p>
      <w:pPr>
        <w:ind w:left="3060"/>
        <w:spacing w:after="0" w:line="302" w:lineRule="auto"/>
        <w:rPr>
          <w:sz w:val="20"/>
          <w:szCs w:val="20"/>
          <w:color w:val="auto"/>
        </w:rPr>
      </w:pPr>
      <w:r>
        <w:rPr>
          <w:rFonts w:ascii="Arial" w:cs="Arial" w:eastAsia="Arial" w:hAnsi="Arial"/>
          <w:sz w:val="24"/>
          <w:szCs w:val="24"/>
          <w:color w:val="auto"/>
        </w:rPr>
        <w:t>Borrower shall pay to Bank three (3) lump sum principal “pay downs” of the each in the amount of Five Hundred Thousand and</w:t>
      </w:r>
    </w:p>
    <w:p>
      <w:pPr>
        <w:spacing w:after="0" w:line="13" w:lineRule="exact"/>
        <w:rPr>
          <w:sz w:val="20"/>
          <w:szCs w:val="20"/>
          <w:color w:val="auto"/>
        </w:rPr>
      </w:pPr>
    </w:p>
    <w:p>
      <w:pPr>
        <w:ind w:left="3060"/>
        <w:spacing w:after="0"/>
        <w:tabs>
          <w:tab w:leader="none" w:pos="4880" w:val="left"/>
          <w:tab w:leader="none" w:pos="6760" w:val="left"/>
        </w:tabs>
        <w:rPr>
          <w:sz w:val="20"/>
          <w:szCs w:val="20"/>
          <w:color w:val="auto"/>
        </w:rPr>
      </w:pPr>
      <w:r>
        <w:rPr>
          <w:rFonts w:ascii="Arial" w:cs="Arial" w:eastAsia="Arial" w:hAnsi="Arial"/>
          <w:sz w:val="24"/>
          <w:szCs w:val="24"/>
          <w:color w:val="auto"/>
        </w:rPr>
        <w:t>00/100</w:t>
      </w:r>
      <w:r>
        <w:rPr>
          <w:sz w:val="20"/>
          <w:szCs w:val="20"/>
          <w:color w:val="auto"/>
        </w:rPr>
        <w:tab/>
      </w:r>
      <w:r>
        <w:rPr>
          <w:rFonts w:ascii="Arial" w:cs="Arial" w:eastAsia="Arial" w:hAnsi="Arial"/>
          <w:sz w:val="24"/>
          <w:szCs w:val="24"/>
          <w:color w:val="auto"/>
        </w:rPr>
        <w:t>Dollars</w:t>
      </w:r>
      <w:r>
        <w:rPr>
          <w:sz w:val="20"/>
          <w:szCs w:val="20"/>
          <w:color w:val="auto"/>
        </w:rPr>
        <w:tab/>
      </w:r>
      <w:r>
        <w:rPr>
          <w:rFonts w:ascii="Arial" w:cs="Arial" w:eastAsia="Arial" w:hAnsi="Arial"/>
          <w:sz w:val="21"/>
          <w:szCs w:val="21"/>
          <w:color w:val="auto"/>
        </w:rPr>
        <w:t>($500,000.00)</w:t>
      </w:r>
    </w:p>
    <w:p>
      <w:pPr>
        <w:spacing w:after="0" w:line="96" w:lineRule="exact"/>
        <w:rPr>
          <w:sz w:val="20"/>
          <w:szCs w:val="20"/>
          <w:color w:val="auto"/>
        </w:rPr>
      </w:pPr>
    </w:p>
    <w:p>
      <w:pPr>
        <w:ind w:left="3060" w:right="20"/>
        <w:spacing w:after="0" w:line="307" w:lineRule="auto"/>
        <w:rPr>
          <w:sz w:val="20"/>
          <w:szCs w:val="20"/>
          <w:color w:val="auto"/>
        </w:rPr>
      </w:pPr>
      <w:r>
        <w:rPr>
          <w:rFonts w:ascii="Arial" w:cs="Arial" w:eastAsia="Arial" w:hAnsi="Arial"/>
          <w:sz w:val="24"/>
          <w:szCs w:val="24"/>
          <w:color w:val="auto"/>
        </w:rPr>
        <w:t>and each of which shall be due and payable in full as follows: (i) on March 3 (the “</w:t>
      </w:r>
      <w:r>
        <w:rPr>
          <w:rFonts w:ascii="Arial" w:cs="Arial" w:eastAsia="Arial" w:hAnsi="Arial"/>
          <w:sz w:val="24"/>
          <w:szCs w:val="24"/>
          <w:b w:val="1"/>
          <w:bCs w:val="1"/>
          <w:color w:val="auto"/>
        </w:rPr>
        <w:t>March Required Paydown Amount</w:t>
      </w:r>
      <w:r>
        <w:rPr>
          <w:rFonts w:ascii="Arial" w:cs="Arial" w:eastAsia="Arial" w:hAnsi="Arial"/>
          <w:sz w:val="24"/>
          <w:szCs w:val="24"/>
          <w:color w:val="auto"/>
        </w:rPr>
        <w:t>”), (ii) on or before June 30, 2026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373380</wp:posOffset>
            </wp:positionV>
            <wp:extent cx="4824730"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4824730" cy="19050"/>
                    </a:xfrm>
                    <a:prstGeom prst="rect">
                      <a:avLst/>
                    </a:prstGeom>
                    <a:noFill/>
                  </pic:spPr>
                </pic:pic>
              </a:graphicData>
            </a:graphic>
          </wp:anchor>
        </w:drawing>
      </w:r>
    </w:p>
    <w:p>
      <w:pPr>
        <w:sectPr>
          <w:pgSz w:w="11900" w:h="16838" w:orient="portrait"/>
          <w:cols w:equalWidth="0" w:num="1">
            <w:col w:w="10440"/>
          </w:cols>
          <w:pgMar w:left="1440" w:top="118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91 / 98</w:t>
      </w:r>
    </w:p>
    <w:p>
      <w:pPr>
        <w:sectPr>
          <w:pgSz w:w="11900" w:h="16838" w:orient="portrait"/>
          <w:cols w:equalWidth="0" w:num="1">
            <w:col w:w="10440"/>
          </w:cols>
          <w:pgMar w:left="1440" w:top="1180" w:right="26" w:bottom="0" w:gutter="0" w:footer="0" w:header="0"/>
          <w:type w:val="continuous"/>
        </w:sectPr>
      </w:pPr>
    </w:p>
    <w:bookmarkStart w:id="273" w:name="page274"/>
    <w:bookmarkEnd w:id="273"/>
    <w:p>
      <w:pPr>
        <w:ind w:left="306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June Required Paydown Amount</w:t>
      </w:r>
      <w:r>
        <w:rPr>
          <w:rFonts w:ascii="Arial" w:cs="Arial" w:eastAsia="Arial" w:hAnsi="Arial"/>
          <w:sz w:val="24"/>
          <w:szCs w:val="24"/>
          <w:color w:val="auto"/>
        </w:rPr>
        <w:t>”), and (iii) on</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or  before  July  31,  2026  (the  “</w:t>
      </w:r>
      <w:r>
        <w:rPr>
          <w:rFonts w:ascii="Arial" w:cs="Arial" w:eastAsia="Arial" w:hAnsi="Arial"/>
          <w:sz w:val="24"/>
          <w:szCs w:val="24"/>
          <w:b w:val="1"/>
          <w:bCs w:val="1"/>
          <w:color w:val="auto"/>
        </w:rPr>
        <w:t>July  Required</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b w:val="1"/>
          <w:bCs w:val="1"/>
          <w:color w:val="auto"/>
        </w:rPr>
        <w:t>Paydown Amount</w:t>
      </w:r>
      <w:r>
        <w:rPr>
          <w:rFonts w:ascii="Arial" w:cs="Arial" w:eastAsia="Arial" w:hAnsi="Arial"/>
          <w:sz w:val="24"/>
          <w:szCs w:val="24"/>
          <w:color w:val="auto"/>
        </w:rPr>
        <w:t>”, and, together with the March</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Required Paydown Amount and the June Required</w:t>
      </w:r>
    </w:p>
    <w:p>
      <w:pPr>
        <w:spacing w:after="0" w:line="84" w:lineRule="exact"/>
        <w:rPr>
          <w:sz w:val="20"/>
          <w:szCs w:val="20"/>
          <w:color w:val="auto"/>
        </w:rPr>
      </w:pPr>
    </w:p>
    <w:p>
      <w:pPr>
        <w:ind w:left="3060"/>
        <w:spacing w:after="0"/>
        <w:tabs>
          <w:tab w:leader="none" w:pos="4140" w:val="left"/>
          <w:tab w:leader="none" w:pos="5200" w:val="left"/>
          <w:tab w:leader="none" w:pos="6560" w:val="left"/>
          <w:tab w:leader="none" w:pos="7080" w:val="left"/>
        </w:tabs>
        <w:rPr>
          <w:sz w:val="20"/>
          <w:szCs w:val="20"/>
          <w:color w:val="auto"/>
        </w:rPr>
      </w:pPr>
      <w:r>
        <w:rPr>
          <w:rFonts w:ascii="Arial" w:cs="Arial" w:eastAsia="Arial" w:hAnsi="Arial"/>
          <w:sz w:val="24"/>
          <w:szCs w:val="24"/>
          <w:color w:val="auto"/>
        </w:rPr>
        <w:t>Paydown</w:t>
        <w:tab/>
        <w:t>Amount,</w:t>
        <w:tab/>
        <w:t>collectively,</w:t>
        <w:tab/>
        <w:t>the</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Required</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b w:val="1"/>
          <w:bCs w:val="1"/>
          <w:color w:val="auto"/>
        </w:rPr>
        <w:t>Paydown  Amount</w:t>
      </w:r>
      <w:r>
        <w:rPr>
          <w:rFonts w:ascii="Arial" w:cs="Arial" w:eastAsia="Arial" w:hAnsi="Arial"/>
          <w:sz w:val="24"/>
          <w:szCs w:val="24"/>
          <w:color w:val="auto"/>
        </w:rPr>
        <w:t>”).  Borrower  shall  deliver  to</w:t>
      </w:r>
    </w:p>
    <w:p>
      <w:pPr>
        <w:spacing w:after="0" w:line="84" w:lineRule="exact"/>
        <w:rPr>
          <w:sz w:val="20"/>
          <w:szCs w:val="20"/>
          <w:color w:val="auto"/>
        </w:rPr>
      </w:pPr>
    </w:p>
    <w:p>
      <w:pPr>
        <w:ind w:left="3060"/>
        <w:spacing w:after="0"/>
        <w:tabs>
          <w:tab w:leader="none" w:pos="3820" w:val="left"/>
          <w:tab w:leader="none" w:pos="4820" w:val="left"/>
          <w:tab w:leader="none" w:pos="5480" w:val="left"/>
          <w:tab w:leader="none" w:pos="6140" w:val="left"/>
          <w:tab w:leader="none" w:pos="7220" w:val="left"/>
        </w:tabs>
        <w:rPr>
          <w:sz w:val="20"/>
          <w:szCs w:val="20"/>
          <w:color w:val="auto"/>
        </w:rPr>
      </w:pPr>
      <w:r>
        <w:rPr>
          <w:rFonts w:ascii="Arial" w:cs="Arial" w:eastAsia="Arial" w:hAnsi="Arial"/>
          <w:sz w:val="24"/>
          <w:szCs w:val="24"/>
          <w:color w:val="auto"/>
        </w:rPr>
        <w:t>Bank,</w:t>
        <w:tab/>
        <w:t>together</w:t>
        <w:tab/>
        <w:t>with</w:t>
        <w:tab/>
        <w:t>each</w:t>
        <w:tab/>
        <w:t>Required</w:t>
      </w:r>
      <w:r>
        <w:rPr>
          <w:sz w:val="20"/>
          <w:szCs w:val="20"/>
          <w:color w:val="auto"/>
        </w:rPr>
        <w:tab/>
      </w:r>
      <w:r>
        <w:rPr>
          <w:rFonts w:ascii="Arial" w:cs="Arial" w:eastAsia="Arial" w:hAnsi="Arial"/>
          <w:sz w:val="21"/>
          <w:szCs w:val="21"/>
          <w:color w:val="auto"/>
        </w:rPr>
        <w:t>Paydown</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Amount, a certificate in form reasonably acceptable</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to Bank executed by Borrower’s manager or an</w:t>
      </w:r>
    </w:p>
    <w:p>
      <w:pPr>
        <w:spacing w:after="0" w:line="84" w:lineRule="exact"/>
        <w:rPr>
          <w:sz w:val="20"/>
          <w:szCs w:val="20"/>
          <w:color w:val="auto"/>
        </w:rPr>
      </w:pPr>
    </w:p>
    <w:p>
      <w:pPr>
        <w:ind w:left="3060"/>
        <w:spacing w:after="0"/>
        <w:tabs>
          <w:tab w:leader="none" w:pos="4820" w:val="left"/>
          <w:tab w:leader="none" w:pos="6220" w:val="left"/>
          <w:tab w:leader="none" w:pos="7200" w:val="left"/>
        </w:tabs>
        <w:rPr>
          <w:sz w:val="20"/>
          <w:szCs w:val="20"/>
          <w:color w:val="auto"/>
        </w:rPr>
      </w:pPr>
      <w:r>
        <w:rPr>
          <w:rFonts w:ascii="Arial" w:cs="Arial" w:eastAsia="Arial" w:hAnsi="Arial"/>
          <w:sz w:val="24"/>
          <w:szCs w:val="24"/>
          <w:color w:val="auto"/>
        </w:rPr>
        <w:t>authorized</w:t>
      </w:r>
      <w:r>
        <w:rPr>
          <w:sz w:val="20"/>
          <w:szCs w:val="20"/>
          <w:color w:val="auto"/>
        </w:rPr>
        <w:tab/>
      </w:r>
      <w:r>
        <w:rPr>
          <w:rFonts w:ascii="Arial" w:cs="Arial" w:eastAsia="Arial" w:hAnsi="Arial"/>
          <w:sz w:val="24"/>
          <w:szCs w:val="24"/>
          <w:color w:val="auto"/>
        </w:rPr>
        <w:t>officer</w:t>
      </w:r>
      <w:r>
        <w:rPr>
          <w:sz w:val="20"/>
          <w:szCs w:val="20"/>
          <w:color w:val="auto"/>
        </w:rPr>
        <w:tab/>
      </w:r>
      <w:r>
        <w:rPr>
          <w:rFonts w:ascii="Arial" w:cs="Arial" w:eastAsia="Arial" w:hAnsi="Arial"/>
          <w:sz w:val="24"/>
          <w:szCs w:val="24"/>
          <w:color w:val="auto"/>
        </w:rPr>
        <w:t>of</w:t>
      </w:r>
      <w:r>
        <w:rPr>
          <w:sz w:val="20"/>
          <w:szCs w:val="20"/>
          <w:color w:val="auto"/>
        </w:rPr>
        <w:tab/>
      </w:r>
      <w:r>
        <w:rPr>
          <w:rFonts w:ascii="Arial" w:cs="Arial" w:eastAsia="Arial" w:hAnsi="Arial"/>
          <w:sz w:val="22"/>
          <w:szCs w:val="22"/>
          <w:color w:val="auto"/>
        </w:rPr>
        <w:t>Borrower</w:t>
      </w:r>
    </w:p>
    <w:p>
      <w:pPr>
        <w:spacing w:after="0" w:line="96" w:lineRule="exact"/>
        <w:rPr>
          <w:sz w:val="20"/>
          <w:szCs w:val="20"/>
          <w:color w:val="auto"/>
        </w:rPr>
      </w:pPr>
    </w:p>
    <w:p>
      <w:pPr>
        <w:ind w:left="3060"/>
        <w:spacing w:after="0" w:line="307" w:lineRule="auto"/>
        <w:rPr>
          <w:sz w:val="20"/>
          <w:szCs w:val="20"/>
          <w:color w:val="auto"/>
        </w:rPr>
      </w:pPr>
      <w:r>
        <w:rPr>
          <w:rFonts w:ascii="Arial" w:cs="Arial" w:eastAsia="Arial" w:hAnsi="Arial"/>
          <w:sz w:val="24"/>
          <w:szCs w:val="24"/>
          <w:color w:val="auto"/>
        </w:rPr>
        <w:t>certifying that each of the representations and warranties of the Borrower con in the Loan Documents is true, complete and correct in all material respects as of the date of such</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manager or officer certificate except to the extent</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such  representations  and  warranties  are  matters</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which by their nature can no longer be true and</w:t>
      </w:r>
    </w:p>
    <w:p>
      <w:pPr>
        <w:spacing w:after="0" w:line="84"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correct as a result of the passage of time.</w:t>
      </w:r>
    </w:p>
    <w:p>
      <w:pPr>
        <w:spacing w:after="0" w:line="200" w:lineRule="exact"/>
        <w:rPr>
          <w:sz w:val="20"/>
          <w:szCs w:val="20"/>
          <w:color w:val="auto"/>
        </w:rPr>
      </w:pPr>
    </w:p>
    <w:p>
      <w:pPr>
        <w:spacing w:after="0" w:line="290" w:lineRule="exact"/>
        <w:rPr>
          <w:sz w:val="20"/>
          <w:szCs w:val="20"/>
          <w:color w:val="auto"/>
        </w:rPr>
      </w:pPr>
    </w:p>
    <w:p>
      <w:pPr>
        <w:ind w:left="3180" w:hanging="771"/>
        <w:spacing w:after="0"/>
        <w:tabs>
          <w:tab w:leader="none" w:pos="3180" w:val="left"/>
        </w:tabs>
        <w:numPr>
          <w:ilvl w:val="0"/>
          <w:numId w:val="156"/>
        </w:numPr>
        <w:rPr>
          <w:rFonts w:ascii="Arial" w:cs="Arial" w:eastAsia="Arial" w:hAnsi="Arial"/>
          <w:sz w:val="24"/>
          <w:szCs w:val="24"/>
          <w:color w:val="auto"/>
        </w:rPr>
      </w:pPr>
      <w:r>
        <w:rPr>
          <w:rFonts w:ascii="Arial" w:cs="Arial" w:eastAsia="Arial" w:hAnsi="Arial"/>
          <w:sz w:val="24"/>
          <w:szCs w:val="24"/>
          <w:color w:val="auto"/>
        </w:rPr>
        <w:t>Section 24 is added to the Note as follows:</w:t>
      </w:r>
    </w:p>
    <w:p>
      <w:pPr>
        <w:spacing w:after="0" w:line="200" w:lineRule="exact"/>
        <w:rPr>
          <w:sz w:val="20"/>
          <w:szCs w:val="20"/>
          <w:color w:val="auto"/>
        </w:rPr>
      </w:pPr>
    </w:p>
    <w:p>
      <w:pPr>
        <w:spacing w:after="0" w:line="290" w:lineRule="exact"/>
        <w:rPr>
          <w:sz w:val="20"/>
          <w:szCs w:val="20"/>
          <w:color w:val="auto"/>
        </w:rPr>
      </w:pPr>
    </w:p>
    <w:p>
      <w:pPr>
        <w:ind w:left="3060"/>
        <w:spacing w:after="0"/>
        <w:rPr>
          <w:sz w:val="20"/>
          <w:szCs w:val="20"/>
          <w:color w:val="auto"/>
        </w:rPr>
      </w:pPr>
      <w:r>
        <w:rPr>
          <w:rFonts w:ascii="Arial" w:cs="Arial" w:eastAsia="Arial" w:hAnsi="Arial"/>
          <w:sz w:val="24"/>
          <w:szCs w:val="24"/>
          <w:color w:val="auto"/>
        </w:rPr>
        <w:t>Borrower shall deposit with Bank the sum of Five</w:t>
      </w:r>
    </w:p>
    <w:p>
      <w:pPr>
        <w:spacing w:after="0" w:line="84" w:lineRule="exact"/>
        <w:rPr>
          <w:sz w:val="20"/>
          <w:szCs w:val="20"/>
          <w:color w:val="auto"/>
        </w:rPr>
      </w:pPr>
    </w:p>
    <w:tbl>
      <w:tblPr>
        <w:tblLayout w:type="fixed"/>
        <w:tblInd w:w="3060" w:type="dxa"/>
        <w:tblCellMar>
          <w:top w:w="0" w:type="dxa"/>
          <w:left w:w="0" w:type="dxa"/>
          <w:bottom w:w="0" w:type="dxa"/>
          <w:right w:w="0" w:type="dxa"/>
        </w:tblCellMar>
      </w:tblPr>
      <w:tr>
        <w:trPr>
          <w:trHeight w:val="276"/>
        </w:trPr>
        <w:tc>
          <w:tcPr>
            <w:tcW w:w="900" w:type="dxa"/>
            <w:vAlign w:val="bottom"/>
          </w:tcPr>
          <w:p>
            <w:pPr>
              <w:spacing w:after="0"/>
              <w:rPr>
                <w:sz w:val="20"/>
                <w:szCs w:val="20"/>
                <w:color w:val="auto"/>
              </w:rPr>
            </w:pPr>
            <w:r>
              <w:rPr>
                <w:rFonts w:ascii="Arial" w:cs="Arial" w:eastAsia="Arial" w:hAnsi="Arial"/>
                <w:sz w:val="24"/>
                <w:szCs w:val="24"/>
                <w:color w:val="auto"/>
                <w:w w:val="95"/>
              </w:rPr>
              <w:t>Hundred</w:t>
            </w:r>
          </w:p>
        </w:tc>
        <w:tc>
          <w:tcPr>
            <w:tcW w:w="3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4"/>
                <w:szCs w:val="24"/>
                <w:color w:val="auto"/>
              </w:rPr>
              <w:t>Thousand</w:t>
            </w:r>
          </w:p>
        </w:tc>
        <w:tc>
          <w:tcPr>
            <w:tcW w:w="740" w:type="dxa"/>
            <w:vAlign w:val="bottom"/>
          </w:tcPr>
          <w:p>
            <w:pPr>
              <w:ind w:left="180"/>
              <w:spacing w:after="0"/>
              <w:rPr>
                <w:sz w:val="20"/>
                <w:szCs w:val="20"/>
                <w:color w:val="auto"/>
              </w:rPr>
            </w:pPr>
            <w:r>
              <w:rPr>
                <w:rFonts w:ascii="Arial" w:cs="Arial" w:eastAsia="Arial" w:hAnsi="Arial"/>
                <w:sz w:val="24"/>
                <w:szCs w:val="24"/>
                <w:color w:val="auto"/>
              </w:rPr>
              <w:t>and</w:t>
            </w:r>
          </w:p>
        </w:tc>
        <w:tc>
          <w:tcPr>
            <w:tcW w:w="1100" w:type="dxa"/>
            <w:vAlign w:val="bottom"/>
          </w:tcPr>
          <w:p>
            <w:pPr>
              <w:jc w:val="right"/>
              <w:ind w:right="140"/>
              <w:spacing w:after="0"/>
              <w:rPr>
                <w:sz w:val="20"/>
                <w:szCs w:val="20"/>
                <w:color w:val="auto"/>
              </w:rPr>
            </w:pPr>
            <w:r>
              <w:rPr>
                <w:rFonts w:ascii="Arial" w:cs="Arial" w:eastAsia="Arial" w:hAnsi="Arial"/>
                <w:sz w:val="24"/>
                <w:szCs w:val="24"/>
                <w:color w:val="auto"/>
              </w:rPr>
              <w:t>00/100</w:t>
            </w:r>
          </w:p>
        </w:tc>
        <w:tc>
          <w:tcPr>
            <w:tcW w:w="840" w:type="dxa"/>
            <w:vAlign w:val="bottom"/>
          </w:tcPr>
          <w:p>
            <w:pPr>
              <w:jc w:val="right"/>
              <w:spacing w:after="0"/>
              <w:rPr>
                <w:sz w:val="20"/>
                <w:szCs w:val="20"/>
                <w:color w:val="auto"/>
              </w:rPr>
            </w:pPr>
            <w:r>
              <w:rPr>
                <w:rFonts w:ascii="Arial" w:cs="Arial" w:eastAsia="Arial" w:hAnsi="Arial"/>
                <w:sz w:val="24"/>
                <w:szCs w:val="24"/>
                <w:color w:val="auto"/>
              </w:rPr>
              <w:t>Dollars</w:t>
            </w:r>
          </w:p>
        </w:tc>
      </w:tr>
      <w:tr>
        <w:trPr>
          <w:trHeight w:val="360"/>
        </w:trPr>
        <w:tc>
          <w:tcPr>
            <w:tcW w:w="4240" w:type="dxa"/>
            <w:vAlign w:val="bottom"/>
            <w:gridSpan w:val="5"/>
          </w:tcPr>
          <w:p>
            <w:pPr>
              <w:spacing w:after="0"/>
              <w:rPr>
                <w:sz w:val="20"/>
                <w:szCs w:val="20"/>
                <w:color w:val="auto"/>
              </w:rPr>
            </w:pPr>
            <w:r>
              <w:rPr>
                <w:rFonts w:ascii="Arial" w:cs="Arial" w:eastAsia="Arial" w:hAnsi="Arial"/>
                <w:sz w:val="24"/>
                <w:szCs w:val="24"/>
                <w:color w:val="auto"/>
                <w:w w:val="96"/>
              </w:rPr>
              <w:t>($500,000.00) on January 6, 2026, which</w:t>
            </w:r>
          </w:p>
        </w:tc>
        <w:tc>
          <w:tcPr>
            <w:tcW w:w="840" w:type="dxa"/>
            <w:vAlign w:val="bottom"/>
          </w:tcPr>
          <w:p>
            <w:pPr>
              <w:jc w:val="right"/>
              <w:spacing w:after="0"/>
              <w:rPr>
                <w:sz w:val="20"/>
                <w:szCs w:val="20"/>
                <w:color w:val="auto"/>
              </w:rPr>
            </w:pPr>
            <w:r>
              <w:rPr>
                <w:rFonts w:ascii="Arial" w:cs="Arial" w:eastAsia="Arial" w:hAnsi="Arial"/>
                <w:sz w:val="24"/>
                <w:szCs w:val="24"/>
                <w:color w:val="auto"/>
                <w:w w:val="99"/>
              </w:rPr>
              <w:t>shall be</w:t>
            </w:r>
          </w:p>
        </w:tc>
      </w:tr>
      <w:tr>
        <w:trPr>
          <w:trHeight w:val="360"/>
        </w:trPr>
        <w:tc>
          <w:tcPr>
            <w:tcW w:w="900" w:type="dxa"/>
            <w:vAlign w:val="bottom"/>
          </w:tcPr>
          <w:p>
            <w:pPr>
              <w:spacing w:after="0"/>
              <w:rPr>
                <w:sz w:val="20"/>
                <w:szCs w:val="20"/>
                <w:color w:val="auto"/>
              </w:rPr>
            </w:pPr>
            <w:r>
              <w:rPr>
                <w:rFonts w:ascii="Arial" w:cs="Arial" w:eastAsia="Arial" w:hAnsi="Arial"/>
                <w:sz w:val="24"/>
                <w:szCs w:val="24"/>
                <w:color w:val="auto"/>
              </w:rPr>
              <w:t>held</w:t>
            </w:r>
          </w:p>
        </w:tc>
        <w:tc>
          <w:tcPr>
            <w:tcW w:w="320" w:type="dxa"/>
            <w:vAlign w:val="bottom"/>
          </w:tcPr>
          <w:p>
            <w:pPr>
              <w:ind w:left="60"/>
              <w:spacing w:after="0"/>
              <w:rPr>
                <w:sz w:val="20"/>
                <w:szCs w:val="20"/>
                <w:color w:val="auto"/>
              </w:rPr>
            </w:pPr>
            <w:r>
              <w:rPr>
                <w:rFonts w:ascii="Arial" w:cs="Arial" w:eastAsia="Arial" w:hAnsi="Arial"/>
                <w:sz w:val="24"/>
                <w:szCs w:val="24"/>
                <w:color w:val="auto"/>
                <w:w w:val="94"/>
              </w:rPr>
              <w:t>by</w:t>
            </w:r>
          </w:p>
        </w:tc>
        <w:tc>
          <w:tcPr>
            <w:tcW w:w="1180" w:type="dxa"/>
            <w:vAlign w:val="bottom"/>
          </w:tcPr>
          <w:p>
            <w:pPr>
              <w:ind w:left="520"/>
              <w:spacing w:after="0"/>
              <w:rPr>
                <w:sz w:val="20"/>
                <w:szCs w:val="20"/>
                <w:color w:val="auto"/>
              </w:rPr>
            </w:pPr>
            <w:r>
              <w:rPr>
                <w:rFonts w:ascii="Arial" w:cs="Arial" w:eastAsia="Arial" w:hAnsi="Arial"/>
                <w:sz w:val="24"/>
                <w:szCs w:val="24"/>
                <w:color w:val="auto"/>
              </w:rPr>
              <w:t>Bank</w:t>
            </w:r>
          </w:p>
        </w:tc>
        <w:tc>
          <w:tcPr>
            <w:tcW w:w="740" w:type="dxa"/>
            <w:vAlign w:val="bottom"/>
          </w:tcPr>
          <w:p>
            <w:pPr>
              <w:ind w:left="380"/>
              <w:spacing w:after="0"/>
              <w:rPr>
                <w:sz w:val="20"/>
                <w:szCs w:val="20"/>
                <w:color w:val="auto"/>
              </w:rPr>
            </w:pPr>
            <w:r>
              <w:rPr>
                <w:rFonts w:ascii="Arial" w:cs="Arial" w:eastAsia="Arial" w:hAnsi="Arial"/>
                <w:sz w:val="24"/>
                <w:szCs w:val="24"/>
                <w:color w:val="auto"/>
              </w:rPr>
              <w:t>in</w:t>
            </w:r>
          </w:p>
        </w:tc>
        <w:tc>
          <w:tcPr>
            <w:tcW w:w="1100" w:type="dxa"/>
            <w:vAlign w:val="bottom"/>
          </w:tcPr>
          <w:p>
            <w:pPr>
              <w:jc w:val="center"/>
              <w:spacing w:after="0"/>
              <w:rPr>
                <w:sz w:val="20"/>
                <w:szCs w:val="20"/>
                <w:color w:val="auto"/>
              </w:rPr>
            </w:pPr>
            <w:r>
              <w:rPr>
                <w:rFonts w:ascii="Arial" w:cs="Arial" w:eastAsia="Arial" w:hAnsi="Arial"/>
                <w:sz w:val="24"/>
                <w:szCs w:val="24"/>
                <w:color w:val="auto"/>
                <w:w w:val="82"/>
              </w:rPr>
              <w:t>an</w:t>
            </w:r>
          </w:p>
        </w:tc>
        <w:tc>
          <w:tcPr>
            <w:tcW w:w="840" w:type="dxa"/>
            <w:vAlign w:val="bottom"/>
          </w:tcPr>
          <w:p>
            <w:pPr>
              <w:jc w:val="right"/>
              <w:spacing w:after="0"/>
              <w:rPr>
                <w:sz w:val="20"/>
                <w:szCs w:val="20"/>
                <w:color w:val="auto"/>
              </w:rPr>
            </w:pPr>
            <w:r>
              <w:rPr>
                <w:rFonts w:ascii="Arial" w:cs="Arial" w:eastAsia="Arial" w:hAnsi="Arial"/>
                <w:sz w:val="24"/>
                <w:szCs w:val="24"/>
                <w:color w:val="auto"/>
                <w:w w:val="94"/>
              </w:rPr>
              <w:t>interest-</w:t>
            </w:r>
          </w:p>
        </w:tc>
      </w:tr>
    </w:tbl>
    <w:p>
      <w:pPr>
        <w:spacing w:after="0" w:line="84" w:lineRule="exact"/>
        <w:rPr>
          <w:sz w:val="20"/>
          <w:szCs w:val="20"/>
          <w:color w:val="auto"/>
        </w:rPr>
      </w:pPr>
    </w:p>
    <w:p>
      <w:pPr>
        <w:ind w:left="3060"/>
        <w:spacing w:after="0"/>
        <w:tabs>
          <w:tab w:leader="none" w:pos="3960" w:val="left"/>
          <w:tab w:leader="none" w:pos="4920" w:val="left"/>
          <w:tab w:leader="none" w:pos="5400" w:val="left"/>
          <w:tab w:leader="none" w:pos="5920" w:val="left"/>
          <w:tab w:leader="none" w:pos="6780" w:val="left"/>
          <w:tab w:leader="none" w:pos="7200" w:val="left"/>
        </w:tabs>
        <w:rPr>
          <w:sz w:val="20"/>
          <w:szCs w:val="20"/>
          <w:color w:val="auto"/>
        </w:rPr>
      </w:pPr>
      <w:r>
        <w:rPr>
          <w:rFonts w:ascii="Arial" w:cs="Arial" w:eastAsia="Arial" w:hAnsi="Arial"/>
          <w:sz w:val="24"/>
          <w:szCs w:val="24"/>
          <w:color w:val="auto"/>
        </w:rPr>
        <w:t>bearing</w:t>
        <w:tab/>
        <w:t>account</w:t>
        <w:tab/>
        <w:t>for</w:t>
        <w:tab/>
        <w:t>the</w:t>
        <w:tab/>
        <w:t>benefit</w:t>
        <w:tab/>
        <w:t>of</w:t>
      </w:r>
      <w:r>
        <w:rPr>
          <w:sz w:val="20"/>
          <w:szCs w:val="20"/>
          <w:color w:val="auto"/>
        </w:rPr>
        <w:tab/>
      </w:r>
      <w:r>
        <w:rPr>
          <w:rFonts w:ascii="Arial" w:cs="Arial" w:eastAsia="Arial" w:hAnsi="Arial"/>
          <w:sz w:val="22"/>
          <w:szCs w:val="22"/>
          <w:color w:val="auto"/>
        </w:rPr>
        <w:t>Borrower</w:t>
      </w:r>
    </w:p>
    <w:p>
      <w:pPr>
        <w:spacing w:after="0" w:line="84" w:lineRule="exact"/>
        <w:rPr>
          <w:sz w:val="20"/>
          <w:szCs w:val="20"/>
          <w:color w:val="auto"/>
        </w:rPr>
      </w:pPr>
    </w:p>
    <w:p>
      <w:pPr>
        <w:ind w:left="3060"/>
        <w:spacing w:after="0"/>
        <w:tabs>
          <w:tab w:leader="none" w:pos="4480" w:val="left"/>
          <w:tab w:leader="none" w:pos="5300" w:val="left"/>
          <w:tab w:leader="none" w:pos="6200" w:val="left"/>
          <w:tab w:leader="none" w:pos="7300" w:val="left"/>
        </w:tabs>
        <w:rPr>
          <w:sz w:val="20"/>
          <w:szCs w:val="20"/>
          <w:color w:val="auto"/>
        </w:rPr>
      </w:pPr>
      <w:r>
        <w:rPr>
          <w:rFonts w:ascii="Arial" w:cs="Arial" w:eastAsia="Arial" w:hAnsi="Arial"/>
          <w:sz w:val="24"/>
          <w:szCs w:val="24"/>
          <w:color w:val="auto"/>
        </w:rPr>
        <w:t>together,</w:t>
      </w:r>
      <w:r>
        <w:rPr>
          <w:sz w:val="20"/>
          <w:szCs w:val="20"/>
          <w:color w:val="auto"/>
        </w:rPr>
        <w:tab/>
      </w:r>
      <w:r>
        <w:rPr>
          <w:rFonts w:ascii="Arial" w:cs="Arial" w:eastAsia="Arial" w:hAnsi="Arial"/>
          <w:sz w:val="24"/>
          <w:szCs w:val="24"/>
          <w:color w:val="auto"/>
        </w:rPr>
        <w:t>in</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same</w:t>
      </w:r>
      <w:r>
        <w:rPr>
          <w:sz w:val="20"/>
          <w:szCs w:val="20"/>
          <w:color w:val="auto"/>
        </w:rPr>
        <w:tab/>
      </w:r>
      <w:r>
        <w:rPr>
          <w:rFonts w:ascii="Arial" w:cs="Arial" w:eastAsia="Arial" w:hAnsi="Arial"/>
          <w:sz w:val="21"/>
          <w:szCs w:val="21"/>
          <w:color w:val="auto"/>
        </w:rPr>
        <w:t>account,</w:t>
      </w:r>
    </w:p>
    <w:p>
      <w:pPr>
        <w:spacing w:after="0" w:line="96" w:lineRule="exact"/>
        <w:rPr>
          <w:sz w:val="20"/>
          <w:szCs w:val="20"/>
          <w:color w:val="auto"/>
        </w:rPr>
      </w:pPr>
    </w:p>
    <w:p>
      <w:pPr>
        <w:ind w:left="3060" w:right="60"/>
        <w:spacing w:after="0" w:line="307" w:lineRule="auto"/>
        <w:rPr>
          <w:sz w:val="20"/>
          <w:szCs w:val="20"/>
          <w:color w:val="auto"/>
        </w:rPr>
      </w:pPr>
      <w:r>
        <w:rPr>
          <w:rFonts w:ascii="Arial" w:cs="Arial" w:eastAsia="Arial" w:hAnsi="Arial"/>
          <w:sz w:val="24"/>
          <w:szCs w:val="24"/>
          <w:color w:val="auto"/>
        </w:rPr>
        <w:t>with the Collateral Funds currently held by Bank, and which shall be subject of the terms and conditions applicable to the Collateral Funds in the Loan Documents.</w:t>
      </w:r>
    </w:p>
    <w:p>
      <w:pPr>
        <w:spacing w:after="0" w:line="247"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(e)</w:t>
      </w:r>
    </w:p>
    <w:p>
      <w:pPr>
        <w:ind w:left="1000" w:right="2260"/>
        <w:spacing w:after="0" w:line="239" w:lineRule="auto"/>
        <w:rPr>
          <w:sz w:val="20"/>
          <w:szCs w:val="20"/>
          <w:color w:val="auto"/>
        </w:rPr>
      </w:pPr>
      <w:r>
        <w:rPr>
          <w:rFonts w:ascii="Arial" w:cs="Arial" w:eastAsia="Arial" w:hAnsi="Arial"/>
          <w:sz w:val="22"/>
          <w:szCs w:val="22"/>
          <w:color w:val="auto"/>
        </w:rPr>
        <w:t>As a condition to the effectiveness of this Agreement, Borrower shall, simultaneously with the execution and delivery of this Agreement to Bank:</w:t>
      </w:r>
    </w:p>
    <w:p>
      <w:pPr>
        <w:spacing w:after="0" w:line="343" w:lineRule="exact"/>
        <w:rPr>
          <w:sz w:val="20"/>
          <w:szCs w:val="20"/>
          <w:color w:val="auto"/>
        </w:rPr>
      </w:pPr>
    </w:p>
    <w:p>
      <w:pPr>
        <w:jc w:val="both"/>
        <w:ind w:left="1000" w:right="2260" w:firstLine="2159"/>
        <w:spacing w:after="0" w:line="213" w:lineRule="auto"/>
        <w:tabs>
          <w:tab w:leader="none" w:pos="4399" w:val="left"/>
        </w:tabs>
        <w:numPr>
          <w:ilvl w:val="0"/>
          <w:numId w:val="157"/>
        </w:numPr>
        <w:rPr>
          <w:rFonts w:ascii="Arial" w:cs="Arial" w:eastAsia="Arial" w:hAnsi="Arial"/>
          <w:sz w:val="24"/>
          <w:szCs w:val="24"/>
          <w:color w:val="auto"/>
        </w:rPr>
      </w:pPr>
      <w:r>
        <w:rPr>
          <w:rFonts w:ascii="Arial" w:cs="Arial" w:eastAsia="Arial" w:hAnsi="Arial"/>
          <w:sz w:val="24"/>
          <w:szCs w:val="24"/>
          <w:color w:val="auto"/>
        </w:rPr>
        <w:t>pay to Bank the November 1, 2025 monthly payment due pursuant to the terms of the Note and the terms hereof;</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4"/>
          <w:szCs w:val="24"/>
          <w:color w:val="auto"/>
        </w:rPr>
        <w:t>pay to Bank a non-refundable extension fee</w:t>
      </w:r>
    </w:p>
    <w:p>
      <w:pPr>
        <w:ind w:left="3120"/>
        <w:spacing w:after="0" w:line="187" w:lineRule="auto"/>
        <w:rPr>
          <w:sz w:val="20"/>
          <w:szCs w:val="20"/>
          <w:color w:val="auto"/>
        </w:rPr>
      </w:pPr>
      <w:r>
        <w:rPr>
          <w:rFonts w:ascii="Arial" w:cs="Arial" w:eastAsia="Arial" w:hAnsi="Arial"/>
          <w:sz w:val="20"/>
          <w:szCs w:val="20"/>
          <w:color w:val="auto"/>
        </w:rPr>
        <w:t>(ii)</w:t>
      </w:r>
    </w:p>
    <w:p>
      <w:pPr>
        <w:jc w:val="center"/>
        <w:ind w:left="1700"/>
        <w:spacing w:after="0" w:line="230" w:lineRule="auto"/>
        <w:rPr>
          <w:sz w:val="20"/>
          <w:szCs w:val="20"/>
          <w:color w:val="auto"/>
        </w:rPr>
      </w:pPr>
      <w:r>
        <w:rPr>
          <w:rFonts w:ascii="Arial" w:cs="Arial" w:eastAsia="Arial" w:hAnsi="Arial"/>
          <w:sz w:val="24"/>
          <w:szCs w:val="24"/>
          <w:color w:val="auto"/>
        </w:rPr>
        <w:t>in the amount of $100,000.00;</w:t>
      </w:r>
    </w:p>
    <w:p>
      <w:pPr>
        <w:sectPr>
          <w:pgSz w:w="11900" w:h="16838" w:orient="portrait"/>
          <w:cols w:equalWidth="0" w:num="1">
            <w:col w:w="10460"/>
          </w:cols>
          <w:pgMar w:left="1440" w:top="124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92 / 98</w:t>
      </w:r>
    </w:p>
    <w:p>
      <w:pPr>
        <w:sectPr>
          <w:pgSz w:w="11900" w:h="16838" w:orient="portrait"/>
          <w:cols w:equalWidth="0" w:num="1">
            <w:col w:w="10460"/>
          </w:cols>
          <w:pgMar w:left="1440" w:top="1245" w:right="6" w:bottom="0" w:gutter="0" w:footer="0" w:header="0"/>
          <w:type w:val="continuous"/>
        </w:sectPr>
      </w:pPr>
    </w:p>
    <w:bookmarkStart w:id="274" w:name="page275"/>
    <w:bookmarkEnd w:id="274"/>
    <w:p>
      <w:pPr>
        <w:ind w:left="3900" w:hanging="771"/>
        <w:spacing w:after="0"/>
        <w:tabs>
          <w:tab w:leader="none" w:pos="39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pay to Bank a lump sum principal “pay down” of the Loan in the am</w:t>
      </w:r>
    </w:p>
    <w:p>
      <w:pPr>
        <w:spacing w:after="0" w:line="155" w:lineRule="exact"/>
        <w:rPr>
          <w:sz w:val="20"/>
          <w:szCs w:val="20"/>
          <w:color w:val="auto"/>
        </w:rPr>
      </w:pPr>
    </w:p>
    <w:p>
      <w:pPr>
        <w:ind w:left="900"/>
        <w:spacing w:after="0" w:line="307" w:lineRule="auto"/>
        <w:rPr>
          <w:sz w:val="20"/>
          <w:szCs w:val="20"/>
          <w:color w:val="auto"/>
        </w:rPr>
      </w:pPr>
      <w:r>
        <w:rPr>
          <w:rFonts w:ascii="Arial" w:cs="Arial" w:eastAsia="Arial" w:hAnsi="Arial"/>
          <w:sz w:val="24"/>
          <w:szCs w:val="24"/>
          <w:color w:val="auto"/>
        </w:rPr>
        <w:t>$500,000.00 (the “</w:t>
      </w:r>
      <w:r>
        <w:rPr>
          <w:rFonts w:ascii="Arial" w:cs="Arial" w:eastAsia="Arial" w:hAnsi="Arial"/>
          <w:sz w:val="24"/>
          <w:szCs w:val="24"/>
          <w:b w:val="1"/>
          <w:bCs w:val="1"/>
          <w:color w:val="auto"/>
        </w:rPr>
        <w:t>Modification Paydown</w:t>
      </w:r>
      <w:r>
        <w:rPr>
          <w:rFonts w:ascii="Arial" w:cs="Arial" w:eastAsia="Arial" w:hAnsi="Arial"/>
          <w:sz w:val="24"/>
          <w:szCs w:val="24"/>
          <w:color w:val="auto"/>
        </w:rPr>
        <w:t>”), which Bank shall cause to be paid from the Collateral and shall be applied to reduce the principal amount outstanding under the Loan;</w:t>
      </w:r>
    </w:p>
    <w:p>
      <w:pPr>
        <w:spacing w:after="0" w:line="281" w:lineRule="exact"/>
        <w:rPr>
          <w:sz w:val="20"/>
          <w:szCs w:val="20"/>
          <w:color w:val="auto"/>
        </w:rPr>
      </w:pPr>
    </w:p>
    <w:p>
      <w:pPr>
        <w:jc w:val="both"/>
        <w:ind w:left="1000" w:right="2240" w:firstLine="2159"/>
        <w:spacing w:after="0" w:line="216" w:lineRule="auto"/>
        <w:tabs>
          <w:tab w:leader="none" w:pos="4423" w:val="left"/>
        </w:tabs>
        <w:numPr>
          <w:ilvl w:val="0"/>
          <w:numId w:val="159"/>
        </w:numPr>
        <w:rPr>
          <w:rFonts w:ascii="Arial" w:cs="Arial" w:eastAsia="Arial" w:hAnsi="Arial"/>
          <w:sz w:val="24"/>
          <w:szCs w:val="24"/>
          <w:color w:val="auto"/>
        </w:rPr>
      </w:pPr>
      <w:r>
        <w:rPr>
          <w:rFonts w:ascii="Arial" w:cs="Arial" w:eastAsia="Arial" w:hAnsi="Arial"/>
          <w:sz w:val="24"/>
          <w:szCs w:val="24"/>
          <w:color w:val="auto"/>
        </w:rPr>
        <w:t>pay to Bank an appraisal fee in the amount of $10,450.00. Bank hereby agrees that this condition has been satisfied; and</w:t>
      </w:r>
    </w:p>
    <w:p>
      <w:pPr>
        <w:spacing w:after="0" w:line="200" w:lineRule="exact"/>
        <w:rPr>
          <w:rFonts w:ascii="Arial" w:cs="Arial" w:eastAsia="Arial" w:hAnsi="Arial"/>
          <w:sz w:val="24"/>
          <w:szCs w:val="24"/>
          <w:color w:val="auto"/>
        </w:rPr>
      </w:pPr>
    </w:p>
    <w:p>
      <w:pPr>
        <w:spacing w:after="0" w:line="202" w:lineRule="exact"/>
        <w:rPr>
          <w:rFonts w:ascii="Arial" w:cs="Arial" w:eastAsia="Arial" w:hAnsi="Arial"/>
          <w:sz w:val="24"/>
          <w:szCs w:val="24"/>
          <w:color w:val="auto"/>
        </w:rPr>
      </w:pPr>
    </w:p>
    <w:p>
      <w:pPr>
        <w:jc w:val="both"/>
        <w:ind w:left="1000" w:right="2240" w:firstLine="2159"/>
        <w:spacing w:after="0" w:line="309" w:lineRule="auto"/>
        <w:tabs>
          <w:tab w:leader="none" w:pos="4324" w:val="left"/>
        </w:tabs>
        <w:numPr>
          <w:ilvl w:val="0"/>
          <w:numId w:val="159"/>
        </w:numPr>
        <w:rPr>
          <w:rFonts w:ascii="Arial" w:cs="Arial" w:eastAsia="Arial" w:hAnsi="Arial"/>
          <w:sz w:val="24"/>
          <w:szCs w:val="24"/>
          <w:color w:val="auto"/>
        </w:rPr>
      </w:pPr>
      <w:r>
        <w:rPr>
          <w:rFonts w:ascii="Arial" w:cs="Arial" w:eastAsia="Arial" w:hAnsi="Arial"/>
          <w:sz w:val="24"/>
          <w:szCs w:val="24"/>
          <w:color w:val="auto"/>
        </w:rPr>
        <w:t>pay to Bank’s counsel a legal fee in the amount of $4,500.00 and pay to Bank any other fees, costs and expenses incurred by Bank in connection with the modification and extension of the Loan.</w:t>
      </w:r>
    </w:p>
    <w:p>
      <w:pPr>
        <w:spacing w:after="0" w:line="200" w:lineRule="exact"/>
        <w:rPr>
          <w:sz w:val="20"/>
          <w:szCs w:val="20"/>
          <w:color w:val="auto"/>
        </w:rPr>
      </w:pPr>
    </w:p>
    <w:p>
      <w:pPr>
        <w:spacing w:after="0" w:line="270" w:lineRule="exact"/>
        <w:rPr>
          <w:sz w:val="20"/>
          <w:szCs w:val="20"/>
          <w:color w:val="auto"/>
        </w:rPr>
      </w:pPr>
    </w:p>
    <w:p>
      <w:pPr>
        <w:ind w:left="2280" w:hanging="591"/>
        <w:spacing w:after="0"/>
        <w:tabs>
          <w:tab w:leader="none" w:pos="2280"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Warranties and Representations</w:t>
      </w:r>
      <w:r>
        <w:rPr>
          <w:rFonts w:ascii="Arial" w:cs="Arial" w:eastAsia="Arial" w:hAnsi="Arial"/>
          <w:sz w:val="21"/>
          <w:szCs w:val="21"/>
          <w:color w:val="auto"/>
        </w:rPr>
        <w:t>. Borrower affirms and represents and warrants to Ba</w:t>
      </w:r>
    </w:p>
    <w:p>
      <w:pPr>
        <w:spacing w:after="0" w:line="200" w:lineRule="exact"/>
        <w:rPr>
          <w:sz w:val="20"/>
          <w:szCs w:val="20"/>
          <w:color w:val="auto"/>
        </w:rPr>
      </w:pPr>
    </w:p>
    <w:p>
      <w:pPr>
        <w:spacing w:after="0" w:line="272"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ind w:left="1000" w:right="1480"/>
        <w:spacing w:after="0" w:line="357" w:lineRule="auto"/>
        <w:rPr>
          <w:sz w:val="20"/>
          <w:szCs w:val="20"/>
          <w:color w:val="auto"/>
        </w:rPr>
      </w:pPr>
      <w:r>
        <w:rPr>
          <w:rFonts w:ascii="Arial" w:cs="Arial" w:eastAsia="Arial" w:hAnsi="Arial"/>
          <w:sz w:val="21"/>
          <w:szCs w:val="21"/>
          <w:color w:val="auto"/>
        </w:rPr>
        <w:t>the principal amount outstanding under the Loan as of the Effective Date, inclusive of the October 1, 2025 payment due pursuant to the terms of the Note and</w:t>
      </w:r>
    </w:p>
    <w:p>
      <w:pPr>
        <w:ind w:left="1000"/>
        <w:spacing w:after="0"/>
        <w:tabs>
          <w:tab w:leader="none" w:pos="2480" w:val="left"/>
          <w:tab w:leader="none" w:pos="4200" w:val="left"/>
          <w:tab w:leader="none" w:pos="6080" w:val="left"/>
          <w:tab w:leader="none" w:pos="7880" w:val="left"/>
        </w:tabs>
        <w:rPr>
          <w:sz w:val="20"/>
          <w:szCs w:val="20"/>
          <w:color w:val="auto"/>
        </w:rPr>
      </w:pP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terms</w:t>
      </w:r>
      <w:r>
        <w:rPr>
          <w:sz w:val="20"/>
          <w:szCs w:val="20"/>
          <w:color w:val="auto"/>
        </w:rPr>
        <w:tab/>
      </w:r>
      <w:r>
        <w:rPr>
          <w:rFonts w:ascii="Arial" w:cs="Arial" w:eastAsia="Arial" w:hAnsi="Arial"/>
          <w:sz w:val="24"/>
          <w:szCs w:val="24"/>
          <w:color w:val="auto"/>
        </w:rPr>
        <w:t>hereof,</w:t>
      </w:r>
      <w:r>
        <w:rPr>
          <w:sz w:val="20"/>
          <w:szCs w:val="20"/>
          <w:color w:val="auto"/>
        </w:rPr>
        <w:tab/>
      </w:r>
      <w:r>
        <w:rPr>
          <w:rFonts w:ascii="Arial" w:cs="Arial" w:eastAsia="Arial" w:hAnsi="Arial"/>
          <w:sz w:val="24"/>
          <w:szCs w:val="24"/>
          <w:color w:val="auto"/>
        </w:rPr>
        <w:t>which</w:t>
      </w:r>
      <w:r>
        <w:rPr>
          <w:sz w:val="20"/>
          <w:szCs w:val="20"/>
          <w:color w:val="auto"/>
        </w:rPr>
        <w:tab/>
      </w:r>
      <w:r>
        <w:rPr>
          <w:rFonts w:ascii="Arial" w:cs="Arial" w:eastAsia="Arial" w:hAnsi="Arial"/>
          <w:sz w:val="19"/>
          <w:szCs w:val="19"/>
          <w:color w:val="auto"/>
        </w:rPr>
        <w:t>has</w:t>
      </w:r>
    </w:p>
    <w:p>
      <w:pPr>
        <w:spacing w:after="0" w:line="97" w:lineRule="exact"/>
        <w:rPr>
          <w:sz w:val="20"/>
          <w:szCs w:val="20"/>
          <w:color w:val="auto"/>
        </w:rPr>
      </w:pPr>
    </w:p>
    <w:p>
      <w:pPr>
        <w:ind w:left="1000" w:right="40"/>
        <w:spacing w:after="0" w:line="307" w:lineRule="auto"/>
        <w:rPr>
          <w:sz w:val="20"/>
          <w:szCs w:val="20"/>
          <w:color w:val="auto"/>
        </w:rPr>
      </w:pPr>
      <w:r>
        <w:rPr>
          <w:rFonts w:ascii="Arial" w:cs="Arial" w:eastAsia="Arial" w:hAnsi="Arial"/>
          <w:sz w:val="24"/>
          <w:szCs w:val="24"/>
          <w:color w:val="auto"/>
        </w:rPr>
        <w:t>been paid to Bank prior to the date hereof, and exclusive of the Modification Paydown and the No 1, 2025 payment due pursuant to the terms of the Note and the terms hereof, is $20,393,715.73;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401955</wp:posOffset>
            </wp:positionV>
            <wp:extent cx="4824730"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4824730" cy="19050"/>
                    </a:xfrm>
                    <a:prstGeom prst="rect">
                      <a:avLst/>
                    </a:prstGeom>
                    <a:noFill/>
                  </pic:spPr>
                </pic:pic>
              </a:graphicData>
            </a:graphic>
          </wp:anchor>
        </w:drawing>
      </w:r>
    </w:p>
    <w:p>
      <w:pPr>
        <w:sectPr>
          <w:pgSz w:w="11900" w:h="16838" w:orient="portrait"/>
          <w:cols w:equalWidth="0" w:num="1">
            <w:col w:w="10460"/>
          </w:cols>
          <w:pgMar w:left="1440" w:top="122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93 / 98</w:t>
      </w:r>
    </w:p>
    <w:p>
      <w:pPr>
        <w:sectPr>
          <w:pgSz w:w="11900" w:h="16838" w:orient="portrait"/>
          <w:cols w:equalWidth="0" w:num="1">
            <w:col w:w="10460"/>
          </w:cols>
          <w:pgMar w:left="1440" w:top="1225" w:right="6" w:bottom="0" w:gutter="0" w:footer="0" w:header="0"/>
          <w:type w:val="continuous"/>
        </w:sectPr>
      </w:pPr>
    </w:p>
    <w:bookmarkStart w:id="275" w:name="page276"/>
    <w:bookmarkEnd w:id="275"/>
    <w:p>
      <w:pPr>
        <w:jc w:val="both"/>
        <w:ind w:left="1000" w:right="2220" w:firstLine="1439"/>
        <w:spacing w:after="0" w:line="224" w:lineRule="auto"/>
        <w:tabs>
          <w:tab w:leader="none" w:pos="3596" w:val="left"/>
        </w:tabs>
        <w:numPr>
          <w:ilvl w:val="0"/>
          <w:numId w:val="161"/>
        </w:numPr>
        <w:rPr>
          <w:rFonts w:ascii="Arial" w:cs="Arial" w:eastAsia="Arial" w:hAnsi="Arial"/>
          <w:sz w:val="23"/>
          <w:szCs w:val="23"/>
          <w:color w:val="auto"/>
        </w:rPr>
      </w:pPr>
      <w:r>
        <w:rPr>
          <w:rFonts w:ascii="Arial" w:cs="Arial" w:eastAsia="Arial" w:hAnsi="Arial"/>
          <w:sz w:val="23"/>
          <w:szCs w:val="23"/>
          <w:color w:val="auto"/>
        </w:rPr>
        <w:t>Borrower is not in default under the Note or the Mortgage or any of the other documents executed in connection therewith nor has any event occurred that would be deemed a default thereunder with the passage of time, the giving of notice, or both;</w:t>
      </w:r>
    </w:p>
    <w:p>
      <w:pPr>
        <w:spacing w:after="0" w:line="300" w:lineRule="exact"/>
        <w:rPr>
          <w:rFonts w:ascii="Arial" w:cs="Arial" w:eastAsia="Arial" w:hAnsi="Arial"/>
          <w:sz w:val="23"/>
          <w:szCs w:val="23"/>
          <w:color w:val="auto"/>
        </w:rPr>
      </w:pPr>
    </w:p>
    <w:p>
      <w:pPr>
        <w:jc w:val="both"/>
        <w:ind w:left="1000" w:right="2220" w:firstLine="1439"/>
        <w:spacing w:after="0" w:line="215" w:lineRule="auto"/>
        <w:tabs>
          <w:tab w:leader="none" w:pos="3606" w:val="left"/>
        </w:tabs>
        <w:numPr>
          <w:ilvl w:val="0"/>
          <w:numId w:val="161"/>
        </w:numPr>
        <w:rPr>
          <w:rFonts w:ascii="Arial" w:cs="Arial" w:eastAsia="Arial" w:hAnsi="Arial"/>
          <w:sz w:val="24"/>
          <w:szCs w:val="24"/>
          <w:color w:val="auto"/>
        </w:rPr>
      </w:pPr>
      <w:r>
        <w:rPr>
          <w:rFonts w:ascii="Arial" w:cs="Arial" w:eastAsia="Arial" w:hAnsi="Arial"/>
          <w:sz w:val="24"/>
          <w:szCs w:val="24"/>
          <w:color w:val="auto"/>
        </w:rPr>
        <w:t>there are no defenses, offsets or counterclaims to the Note or the Mortgage, the indebtedness evidenced and secured thereby, or any of the other documents executed in connection with the Note and/or Mortgage;</w:t>
      </w:r>
    </w:p>
    <w:p>
      <w:pPr>
        <w:spacing w:after="0" w:line="362" w:lineRule="exact"/>
        <w:rPr>
          <w:rFonts w:ascii="Arial" w:cs="Arial" w:eastAsia="Arial" w:hAnsi="Arial"/>
          <w:sz w:val="24"/>
          <w:szCs w:val="24"/>
          <w:color w:val="auto"/>
        </w:rPr>
      </w:pPr>
    </w:p>
    <w:p>
      <w:pPr>
        <w:jc w:val="both"/>
        <w:ind w:left="1000" w:right="2220" w:firstLine="1439"/>
        <w:spacing w:after="0" w:line="326" w:lineRule="auto"/>
        <w:tabs>
          <w:tab w:leader="none" w:pos="3650" w:val="left"/>
        </w:tabs>
        <w:numPr>
          <w:ilvl w:val="0"/>
          <w:numId w:val="161"/>
        </w:numPr>
        <w:rPr>
          <w:rFonts w:ascii="Arial" w:cs="Arial" w:eastAsia="Arial" w:hAnsi="Arial"/>
          <w:sz w:val="23"/>
          <w:szCs w:val="23"/>
          <w:color w:val="auto"/>
        </w:rPr>
      </w:pPr>
      <w:r>
        <w:rPr>
          <w:rFonts w:ascii="Arial" w:cs="Arial" w:eastAsia="Arial" w:hAnsi="Arial"/>
          <w:sz w:val="23"/>
          <w:szCs w:val="23"/>
          <w:color w:val="auto"/>
        </w:rPr>
        <w:t>Borrower is the holder of good, marketable, insurable title in fee simple to the Mortgaged Property and has full power, good right and lawful authority to encumber the Mortgaged Property in the manner and form set forth in the Mortgage and to execute and deliver this Agreement and has the power and authority to perform its obligations under each of the Loan Documents;</w:t>
      </w:r>
    </w:p>
    <w:p>
      <w:pPr>
        <w:spacing w:after="0" w:line="242" w:lineRule="exact"/>
        <w:rPr>
          <w:rFonts w:ascii="Arial" w:cs="Arial" w:eastAsia="Arial" w:hAnsi="Arial"/>
          <w:sz w:val="23"/>
          <w:szCs w:val="23"/>
          <w:color w:val="auto"/>
        </w:rPr>
      </w:pPr>
    </w:p>
    <w:p>
      <w:pPr>
        <w:ind w:left="3680" w:hanging="1241"/>
        <w:spacing w:after="0"/>
        <w:tabs>
          <w:tab w:leader="none" w:pos="3680" w:val="left"/>
        </w:tabs>
        <w:numPr>
          <w:ilvl w:val="0"/>
          <w:numId w:val="161"/>
        </w:numPr>
        <w:rPr>
          <w:rFonts w:ascii="Arial" w:cs="Arial" w:eastAsia="Arial" w:hAnsi="Arial"/>
          <w:sz w:val="24"/>
          <w:szCs w:val="24"/>
          <w:color w:val="auto"/>
        </w:rPr>
      </w:pPr>
      <w:r>
        <w:rPr>
          <w:rFonts w:ascii="Arial" w:cs="Arial" w:eastAsia="Arial" w:hAnsi="Arial"/>
          <w:sz w:val="24"/>
          <w:szCs w:val="24"/>
          <w:color w:val="auto"/>
        </w:rPr>
        <w:t>Borrower’s  execution  and  delivery  of  this</w:t>
      </w:r>
    </w:p>
    <w:p>
      <w:pPr>
        <w:ind w:left="1000"/>
        <w:spacing w:after="0" w:line="229" w:lineRule="auto"/>
        <w:tabs>
          <w:tab w:leader="none" w:pos="3340" w:val="left"/>
          <w:tab w:leader="none" w:pos="4920" w:val="left"/>
          <w:tab w:leader="none" w:pos="7240" w:val="left"/>
        </w:tabs>
        <w:rPr>
          <w:sz w:val="20"/>
          <w:szCs w:val="20"/>
          <w:color w:val="auto"/>
        </w:rPr>
      </w:pPr>
      <w:r>
        <w:rPr>
          <w:rFonts w:ascii="Arial" w:cs="Arial" w:eastAsia="Arial" w:hAnsi="Arial"/>
          <w:sz w:val="24"/>
          <w:szCs w:val="24"/>
          <w:color w:val="auto"/>
        </w:rPr>
        <w:t>Agreement,</w:t>
      </w:r>
      <w:r>
        <w:rPr>
          <w:sz w:val="20"/>
          <w:szCs w:val="20"/>
          <w:color w:val="auto"/>
        </w:rPr>
        <w:tab/>
      </w:r>
      <w:r>
        <w:rPr>
          <w:rFonts w:ascii="Arial" w:cs="Arial" w:eastAsia="Arial" w:hAnsi="Arial"/>
          <w:sz w:val="24"/>
          <w:szCs w:val="24"/>
          <w:color w:val="auto"/>
        </w:rPr>
        <w:t>and</w:t>
      </w:r>
      <w:r>
        <w:rPr>
          <w:sz w:val="20"/>
          <w:szCs w:val="20"/>
          <w:color w:val="auto"/>
        </w:rPr>
        <w:tab/>
      </w:r>
      <w:r>
        <w:rPr>
          <w:rFonts w:ascii="Arial" w:cs="Arial" w:eastAsia="Arial" w:hAnsi="Arial"/>
          <w:sz w:val="24"/>
          <w:szCs w:val="24"/>
          <w:color w:val="auto"/>
        </w:rPr>
        <w:t>Borrower’s</w:t>
      </w:r>
      <w:r>
        <w:rPr>
          <w:sz w:val="20"/>
          <w:szCs w:val="20"/>
          <w:color w:val="auto"/>
        </w:rPr>
        <w:tab/>
      </w:r>
      <w:r>
        <w:rPr>
          <w:rFonts w:ascii="Arial" w:cs="Arial" w:eastAsia="Arial" w:hAnsi="Arial"/>
          <w:sz w:val="22"/>
          <w:szCs w:val="22"/>
          <w:color w:val="auto"/>
        </w:rPr>
        <w:t>continued</w:t>
      </w:r>
    </w:p>
    <w:p>
      <w:pPr>
        <w:spacing w:after="0" w:line="1" w:lineRule="exact"/>
        <w:rPr>
          <w:sz w:val="20"/>
          <w:szCs w:val="20"/>
          <w:color w:val="auto"/>
        </w:rPr>
      </w:pPr>
    </w:p>
    <w:p>
      <w:pPr>
        <w:ind w:left="1000"/>
        <w:spacing w:after="0" w:line="219" w:lineRule="auto"/>
        <w:rPr>
          <w:sz w:val="20"/>
          <w:szCs w:val="20"/>
          <w:color w:val="auto"/>
        </w:rPr>
      </w:pPr>
      <w:r>
        <w:rPr>
          <w:rFonts w:ascii="Arial" w:cs="Arial" w:eastAsia="Arial" w:hAnsi="Arial"/>
          <w:sz w:val="24"/>
          <w:szCs w:val="24"/>
          <w:color w:val="auto"/>
        </w:rPr>
        <w:t>performance of its obligations under the other Loan Documents has been duly authorized by all ne action on the part of Borrower;</w:t>
      </w:r>
    </w:p>
    <w:p>
      <w:pPr>
        <w:spacing w:after="0" w:line="266"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(f)</w:t>
      </w:r>
    </w:p>
    <w:p>
      <w:pPr>
        <w:ind w:left="1000" w:right="1420"/>
        <w:spacing w:after="0" w:line="210" w:lineRule="auto"/>
        <w:rPr>
          <w:sz w:val="20"/>
          <w:szCs w:val="20"/>
          <w:color w:val="auto"/>
        </w:rPr>
      </w:pPr>
      <w:r>
        <w:rPr>
          <w:rFonts w:ascii="Arial" w:cs="Arial" w:eastAsia="Arial" w:hAnsi="Arial"/>
          <w:sz w:val="24"/>
          <w:szCs w:val="24"/>
          <w:color w:val="auto"/>
        </w:rPr>
        <w:t>the Loan Documents and this Agreement have been duly executed and delivered by Borrower, are in full force and effect in accordance with the provisions thereof, and are the valid and binding obligations of Borrower, enforceable against it in accordance with their respective terms, except</w:t>
      </w:r>
    </w:p>
    <w:p>
      <w:pPr>
        <w:spacing w:after="0" w:line="2" w:lineRule="exact"/>
        <w:rPr>
          <w:sz w:val="20"/>
          <w:szCs w:val="20"/>
          <w:color w:val="auto"/>
        </w:rPr>
      </w:pPr>
    </w:p>
    <w:p>
      <w:pPr>
        <w:ind w:left="1000"/>
        <w:spacing w:after="0" w:line="216" w:lineRule="auto"/>
        <w:rPr>
          <w:sz w:val="20"/>
          <w:szCs w:val="20"/>
          <w:color w:val="auto"/>
        </w:rPr>
      </w:pPr>
      <w:r>
        <w:rPr>
          <w:rFonts w:ascii="Arial" w:cs="Arial" w:eastAsia="Arial" w:hAnsi="Arial"/>
          <w:sz w:val="24"/>
          <w:szCs w:val="24"/>
          <w:color w:val="auto"/>
        </w:rPr>
        <w:t>as such enforceability may be limited by bankruptcy, insolvency, reorganization, liquidation, mora or other similar laws of general application and equitable principles relating to or affecting creditors’ rights;</w:t>
      </w:r>
    </w:p>
    <w:p>
      <w:pPr>
        <w:spacing w:after="0" w:line="260"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(g)</w:t>
      </w:r>
    </w:p>
    <w:p>
      <w:pPr>
        <w:ind w:left="1000" w:right="1380"/>
        <w:spacing w:after="0" w:line="219" w:lineRule="auto"/>
        <w:rPr>
          <w:sz w:val="20"/>
          <w:szCs w:val="20"/>
          <w:color w:val="auto"/>
        </w:rPr>
      </w:pPr>
      <w:r>
        <w:rPr>
          <w:rFonts w:ascii="Arial" w:cs="Arial" w:eastAsia="Arial" w:hAnsi="Arial"/>
          <w:sz w:val="23"/>
          <w:szCs w:val="23"/>
          <w:color w:val="auto"/>
        </w:rPr>
        <w:t>the execution and delivery of this Agreement does not and will not violate the terms of Borrower’s organizational documents, or any lease, agreement, mortgage, indenture or instrument affecting Borrower, Guarantor or the Mortgaged Property or any law, rule, order, ordinance or statute of</w:t>
      </w:r>
    </w:p>
    <w:p>
      <w:pPr>
        <w:spacing w:after="0" w:line="3" w:lineRule="exact"/>
        <w:rPr>
          <w:sz w:val="20"/>
          <w:szCs w:val="20"/>
          <w:color w:val="auto"/>
        </w:rPr>
      </w:pPr>
    </w:p>
    <w:p>
      <w:pPr>
        <w:ind w:left="1000" w:right="1820"/>
        <w:spacing w:after="0" w:line="219" w:lineRule="auto"/>
        <w:rPr>
          <w:sz w:val="20"/>
          <w:szCs w:val="20"/>
          <w:color w:val="auto"/>
        </w:rPr>
      </w:pPr>
      <w:r>
        <w:rPr>
          <w:rFonts w:ascii="Arial" w:cs="Arial" w:eastAsia="Arial" w:hAnsi="Arial"/>
          <w:sz w:val="24"/>
          <w:szCs w:val="24"/>
          <w:color w:val="auto"/>
        </w:rPr>
        <w:t>any governmental authority, purporting to have jurisdiction over Borrower and/ or the Mortgaged Property;</w:t>
      </w:r>
    </w:p>
    <w:p>
      <w:pPr>
        <w:spacing w:after="0" w:line="266"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(h)</w:t>
      </w:r>
    </w:p>
    <w:p>
      <w:pPr>
        <w:ind w:left="1000" w:right="1440"/>
        <w:spacing w:after="0" w:line="210" w:lineRule="auto"/>
        <w:rPr>
          <w:sz w:val="20"/>
          <w:szCs w:val="20"/>
          <w:color w:val="auto"/>
        </w:rPr>
      </w:pPr>
      <w:r>
        <w:rPr>
          <w:rFonts w:ascii="Arial" w:cs="Arial" w:eastAsia="Arial" w:hAnsi="Arial"/>
          <w:sz w:val="24"/>
          <w:szCs w:val="24"/>
          <w:color w:val="auto"/>
        </w:rPr>
        <w:t xml:space="preserve">except as amended by this Agreement and except as set forth on </w:t>
      </w:r>
      <w:r>
        <w:rPr>
          <w:rFonts w:ascii="Arial" w:cs="Arial" w:eastAsia="Arial" w:hAnsi="Arial"/>
          <w:sz w:val="24"/>
          <w:szCs w:val="24"/>
          <w:u w:val="single" w:color="auto"/>
          <w:color w:val="auto"/>
        </w:rPr>
        <w:t>Exhibit A</w:t>
      </w:r>
      <w:r>
        <w:rPr>
          <w:rFonts w:ascii="Arial" w:cs="Arial" w:eastAsia="Arial" w:hAnsi="Arial"/>
          <w:sz w:val="24"/>
          <w:szCs w:val="24"/>
          <w:color w:val="auto"/>
        </w:rPr>
        <w:t xml:space="preserve"> annexed hereto, all representations and warranties contained in the Loan Documents are true and correct in all material respects as if made on the</w:t>
      </w:r>
    </w:p>
    <w:p>
      <w:pPr>
        <w:spacing w:after="0" w:line="2" w:lineRule="exact"/>
        <w:rPr>
          <w:sz w:val="20"/>
          <w:szCs w:val="20"/>
          <w:color w:val="auto"/>
        </w:rPr>
      </w:pPr>
    </w:p>
    <w:p>
      <w:pPr>
        <w:jc w:val="both"/>
        <w:ind w:left="1000" w:right="2220"/>
        <w:spacing w:after="0" w:line="223" w:lineRule="auto"/>
        <w:rPr>
          <w:sz w:val="20"/>
          <w:szCs w:val="20"/>
          <w:color w:val="auto"/>
        </w:rPr>
      </w:pPr>
      <w:r>
        <w:rPr>
          <w:rFonts w:ascii="Arial" w:cs="Arial" w:eastAsia="Arial" w:hAnsi="Arial"/>
          <w:sz w:val="23"/>
          <w:szCs w:val="23"/>
          <w:color w:val="auto"/>
        </w:rPr>
        <w:t>date hereof (except in each case for representations and warranties which by their terms are expressly applicable only to an earlier date, in which event such representations and warranties shall be true and correct as of such earlier date) and are not limited in any way by the representations and warranties set forth in this Agreement; and</w:t>
      </w:r>
    </w:p>
    <w:p>
      <w:pPr>
        <w:sectPr>
          <w:pgSz w:w="11900" w:h="16838" w:orient="portrait"/>
          <w:cols w:equalWidth="0" w:num="1">
            <w:col w:w="10440"/>
          </w:cols>
          <w:pgMar w:left="1440" w:top="1243"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94 / 98</w:t>
      </w:r>
    </w:p>
    <w:p>
      <w:pPr>
        <w:sectPr>
          <w:pgSz w:w="11900" w:h="16838" w:orient="portrait"/>
          <w:cols w:equalWidth="0" w:num="1">
            <w:col w:w="10440"/>
          </w:cols>
          <w:pgMar w:left="1440" w:top="1243" w:right="26" w:bottom="0" w:gutter="0" w:footer="0" w:header="0"/>
          <w:type w:val="continuous"/>
        </w:sectPr>
      </w:pPr>
    </w:p>
    <w:bookmarkStart w:id="276" w:name="page277"/>
    <w:bookmarkEnd w:id="276"/>
    <w:p>
      <w:pPr>
        <w:spacing w:after="0" w:line="10" w:lineRule="exact"/>
        <w:rPr>
          <w:sz w:val="20"/>
          <w:szCs w:val="20"/>
          <w:color w:val="auto"/>
        </w:rPr>
      </w:pPr>
    </w:p>
    <w:p>
      <w:pPr>
        <w:jc w:val="both"/>
        <w:ind w:left="1000" w:right="2240" w:firstLine="1439"/>
        <w:spacing w:after="0" w:line="341" w:lineRule="auto"/>
        <w:tabs>
          <w:tab w:leader="none" w:pos="364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 payments of interest or any other charges have been made to Bank or paid by Borrower in connection with the Loan, or any Loan Document executed in connection therewith, which would result in the computation or earning of interest in excess of the maximum</w:t>
      </w:r>
    </w:p>
    <w:p>
      <w:pPr>
        <w:ind w:left="1000"/>
        <w:spacing w:after="0"/>
        <w:tabs>
          <w:tab w:leader="none" w:pos="3280" w:val="left"/>
          <w:tab w:leader="none" w:pos="5460" w:val="left"/>
          <w:tab w:leader="none" w:pos="7480" w:val="left"/>
        </w:tabs>
        <w:rPr>
          <w:sz w:val="20"/>
          <w:szCs w:val="20"/>
          <w:color w:val="auto"/>
        </w:rPr>
      </w:pPr>
      <w:r>
        <w:rPr>
          <w:rFonts w:ascii="Arial" w:cs="Arial" w:eastAsia="Arial" w:hAnsi="Arial"/>
          <w:sz w:val="24"/>
          <w:szCs w:val="24"/>
          <w:color w:val="auto"/>
        </w:rPr>
        <w:t>legal</w:t>
      </w:r>
      <w:r>
        <w:rPr>
          <w:sz w:val="20"/>
          <w:szCs w:val="20"/>
          <w:color w:val="auto"/>
        </w:rPr>
        <w:tab/>
      </w:r>
      <w:r>
        <w:rPr>
          <w:rFonts w:ascii="Arial" w:cs="Arial" w:eastAsia="Arial" w:hAnsi="Arial"/>
          <w:sz w:val="24"/>
          <w:szCs w:val="24"/>
          <w:color w:val="auto"/>
        </w:rPr>
        <w:t>rate</w:t>
      </w:r>
      <w:r>
        <w:rPr>
          <w:sz w:val="20"/>
          <w:szCs w:val="20"/>
          <w:color w:val="auto"/>
        </w:rPr>
        <w:tab/>
      </w:r>
      <w:r>
        <w:rPr>
          <w:rFonts w:ascii="Arial" w:cs="Arial" w:eastAsia="Arial" w:hAnsi="Arial"/>
          <w:sz w:val="24"/>
          <w:szCs w:val="24"/>
          <w:color w:val="auto"/>
        </w:rPr>
        <w:t>of</w:t>
      </w:r>
      <w:r>
        <w:rPr>
          <w:sz w:val="20"/>
          <w:szCs w:val="20"/>
          <w:color w:val="auto"/>
        </w:rPr>
        <w:tab/>
      </w:r>
      <w:r>
        <w:rPr>
          <w:rFonts w:ascii="Arial" w:cs="Arial" w:eastAsia="Arial" w:hAnsi="Arial"/>
          <w:sz w:val="21"/>
          <w:szCs w:val="21"/>
          <w:color w:val="auto"/>
        </w:rPr>
        <w:t>interest</w:t>
      </w:r>
    </w:p>
    <w:p>
      <w:pPr>
        <w:spacing w:after="0" w:line="97" w:lineRule="exact"/>
        <w:rPr>
          <w:sz w:val="20"/>
          <w:szCs w:val="20"/>
          <w:color w:val="auto"/>
        </w:rPr>
      </w:pPr>
    </w:p>
    <w:p>
      <w:pPr>
        <w:ind w:left="1000" w:right="60"/>
        <w:spacing w:after="0" w:line="302" w:lineRule="auto"/>
        <w:rPr>
          <w:sz w:val="20"/>
          <w:szCs w:val="20"/>
          <w:color w:val="auto"/>
        </w:rPr>
      </w:pPr>
      <w:r>
        <w:rPr>
          <w:rFonts w:ascii="Arial" w:cs="Arial" w:eastAsia="Arial" w:hAnsi="Arial"/>
          <w:sz w:val="24"/>
          <w:szCs w:val="24"/>
          <w:color w:val="auto"/>
        </w:rPr>
        <w:t>which is permitted under the laws of the State in which the Note and any other Loan Documents e in connection therewith would be enforced.</w:t>
      </w:r>
    </w:p>
    <w:p>
      <w:pPr>
        <w:spacing w:after="0" w:line="220" w:lineRule="exact"/>
        <w:rPr>
          <w:sz w:val="20"/>
          <w:szCs w:val="20"/>
          <w:color w:val="auto"/>
        </w:rPr>
      </w:pPr>
    </w:p>
    <w:p>
      <w:pPr>
        <w:jc w:val="center"/>
        <w:ind w:left="1460"/>
        <w:spacing w:after="0"/>
        <w:rPr>
          <w:sz w:val="20"/>
          <w:szCs w:val="20"/>
          <w:color w:val="auto"/>
        </w:rPr>
      </w:pPr>
      <w:r>
        <w:rPr>
          <w:rFonts w:ascii="Arial" w:cs="Arial" w:eastAsia="Arial" w:hAnsi="Arial"/>
          <w:sz w:val="24"/>
          <w:szCs w:val="24"/>
          <w:color w:val="auto"/>
        </w:rPr>
        <w:t>Borrower hereby acknowledges that Bank will rely upon</w:t>
      </w:r>
    </w:p>
    <w:p>
      <w:pPr>
        <w:ind w:left="900"/>
        <w:spacing w:after="0"/>
        <w:tabs>
          <w:tab w:leader="none" w:pos="3420" w:val="left"/>
          <w:tab w:leader="none" w:pos="6600" w:val="left"/>
        </w:tabs>
        <w:rPr>
          <w:sz w:val="20"/>
          <w:szCs w:val="20"/>
          <w:color w:val="auto"/>
        </w:rPr>
      </w:pP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foregoing</w:t>
      </w:r>
      <w:r>
        <w:rPr>
          <w:sz w:val="20"/>
          <w:szCs w:val="20"/>
          <w:color w:val="auto"/>
        </w:rPr>
        <w:tab/>
      </w:r>
      <w:r>
        <w:rPr>
          <w:rFonts w:ascii="Arial" w:cs="Arial" w:eastAsia="Arial" w:hAnsi="Arial"/>
          <w:sz w:val="21"/>
          <w:szCs w:val="21"/>
          <w:color w:val="auto"/>
        </w:rPr>
        <w:t>representations,</w:t>
      </w:r>
    </w:p>
    <w:p>
      <w:pPr>
        <w:spacing w:after="0" w:line="1" w:lineRule="exact"/>
        <w:rPr>
          <w:sz w:val="20"/>
          <w:szCs w:val="20"/>
          <w:color w:val="auto"/>
        </w:rPr>
      </w:pPr>
    </w:p>
    <w:p>
      <w:pPr>
        <w:ind w:left="900"/>
        <w:spacing w:after="0" w:line="219" w:lineRule="auto"/>
        <w:rPr>
          <w:sz w:val="20"/>
          <w:szCs w:val="20"/>
          <w:color w:val="auto"/>
        </w:rPr>
      </w:pPr>
      <w:r>
        <w:rPr>
          <w:rFonts w:ascii="Arial" w:cs="Arial" w:eastAsia="Arial" w:hAnsi="Arial"/>
          <w:sz w:val="24"/>
          <w:szCs w:val="24"/>
          <w:color w:val="auto"/>
        </w:rPr>
        <w:t>warranties and waivers and that Bank would not enter into this Agreement in the absence of the fore representations, warranties and waivers.</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24"/>
          <w:szCs w:val="24"/>
          <w:color w:val="auto"/>
        </w:rPr>
        <w:t>6.</w:t>
      </w:r>
    </w:p>
    <w:p>
      <w:pPr>
        <w:ind w:left="1000" w:right="1260"/>
        <w:spacing w:after="0" w:line="216" w:lineRule="auto"/>
        <w:rPr>
          <w:sz w:val="20"/>
          <w:szCs w:val="20"/>
          <w:color w:val="auto"/>
        </w:rPr>
      </w:pPr>
      <w:r>
        <w:rPr>
          <w:rFonts w:ascii="Arial" w:cs="Arial" w:eastAsia="Arial" w:hAnsi="Arial"/>
          <w:sz w:val="24"/>
          <w:szCs w:val="24"/>
          <w:u w:val="single" w:color="auto"/>
          <w:color w:val="auto"/>
        </w:rPr>
        <w:t>Ratification</w:t>
      </w:r>
      <w:r>
        <w:rPr>
          <w:rFonts w:ascii="Arial" w:cs="Arial" w:eastAsia="Arial" w:hAnsi="Arial"/>
          <w:sz w:val="24"/>
          <w:szCs w:val="24"/>
          <w:color w:val="auto"/>
        </w:rPr>
        <w:t>. Except as expressly modified by the terms of this Agreement, the terms, provisions and requirements of the Note, the Mortgage and all other Loan Documents remain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414020</wp:posOffset>
            </wp:positionV>
            <wp:extent cx="4824730"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482473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95 / 98</w:t>
      </w:r>
    </w:p>
    <w:p>
      <w:pPr>
        <w:sectPr>
          <w:pgSz w:w="11900" w:h="16838" w:orient="portrait"/>
          <w:cols w:equalWidth="0" w:num="1">
            <w:col w:w="10460"/>
          </w:cols>
          <w:pgMar w:left="1440" w:top="1440" w:right="6" w:bottom="0" w:gutter="0" w:footer="0" w:header="0"/>
          <w:type w:val="continuous"/>
        </w:sectPr>
      </w:pPr>
    </w:p>
    <w:bookmarkStart w:id="277" w:name="page278"/>
    <w:bookmarkEnd w:id="277"/>
    <w:p>
      <w:pPr>
        <w:jc w:val="both"/>
        <w:ind w:left="900" w:right="2320"/>
        <w:spacing w:after="0" w:line="357" w:lineRule="auto"/>
        <w:rPr>
          <w:sz w:val="20"/>
          <w:szCs w:val="20"/>
          <w:color w:val="auto"/>
        </w:rPr>
      </w:pPr>
      <w:r>
        <w:rPr>
          <w:rFonts w:ascii="Arial" w:cs="Arial" w:eastAsia="Arial" w:hAnsi="Arial"/>
          <w:sz w:val="21"/>
          <w:szCs w:val="21"/>
          <w:color w:val="auto"/>
        </w:rPr>
        <w:t>and in full force and effect in accordance with the terms and provisions thereof. Borrower hereby (i) unconditionally ratifies and confirms, renews and reaffirms all of the liabilities, obligations, duties and responsibilities of Borrower under and pursuant to the Loan Documents, (ii) acknowledges and agrees that such liabilities, obligations, duties and responsibilities remain and shall continue in full force and effect, binding on and enforceable against Borrower in accordance with the terms, covenants and</w:t>
      </w:r>
    </w:p>
    <w:p>
      <w:pPr>
        <w:spacing w:after="0" w:line="6" w:lineRule="exact"/>
        <w:rPr>
          <w:sz w:val="20"/>
          <w:szCs w:val="20"/>
          <w:color w:val="auto"/>
        </w:rPr>
      </w:pPr>
    </w:p>
    <w:p>
      <w:pPr>
        <w:jc w:val="both"/>
        <w:ind w:left="900"/>
        <w:spacing w:after="0" w:line="302" w:lineRule="auto"/>
        <w:rPr>
          <w:sz w:val="20"/>
          <w:szCs w:val="20"/>
          <w:color w:val="auto"/>
        </w:rPr>
      </w:pPr>
      <w:r>
        <w:rPr>
          <w:rFonts w:ascii="Arial" w:cs="Arial" w:eastAsia="Arial" w:hAnsi="Arial"/>
          <w:sz w:val="24"/>
          <w:szCs w:val="24"/>
          <w:color w:val="auto"/>
        </w:rPr>
        <w:t>conditions of the Loan Documents, without impairment, and that Borrower remains unconditionally to Bank in accordance with the terms, covenants and conditions of the</w:t>
      </w:r>
    </w:p>
    <w:p>
      <w:pPr>
        <w:spacing w:after="0" w:line="13" w:lineRule="exact"/>
        <w:rPr>
          <w:sz w:val="20"/>
          <w:szCs w:val="20"/>
          <w:color w:val="auto"/>
        </w:rPr>
      </w:pPr>
    </w:p>
    <w:p>
      <w:pPr>
        <w:ind w:left="900"/>
        <w:spacing w:after="0"/>
        <w:tabs>
          <w:tab w:leader="none" w:pos="2880" w:val="left"/>
          <w:tab w:leader="none" w:pos="5540" w:val="left"/>
          <w:tab w:leader="none" w:pos="7260" w:val="left"/>
        </w:tabs>
        <w:rPr>
          <w:sz w:val="20"/>
          <w:szCs w:val="20"/>
          <w:color w:val="auto"/>
        </w:rPr>
      </w:pPr>
      <w:r>
        <w:rPr>
          <w:rFonts w:ascii="Arial" w:cs="Arial" w:eastAsia="Arial" w:hAnsi="Arial"/>
          <w:sz w:val="24"/>
          <w:szCs w:val="24"/>
          <w:color w:val="auto"/>
        </w:rPr>
        <w:t>Loan</w:t>
      </w:r>
      <w:r>
        <w:rPr>
          <w:sz w:val="20"/>
          <w:szCs w:val="20"/>
          <w:color w:val="auto"/>
        </w:rPr>
        <w:tab/>
      </w:r>
      <w:r>
        <w:rPr>
          <w:rFonts w:ascii="Arial" w:cs="Arial" w:eastAsia="Arial" w:hAnsi="Arial"/>
          <w:sz w:val="24"/>
          <w:szCs w:val="24"/>
          <w:color w:val="auto"/>
        </w:rPr>
        <w:t>Documents,</w:t>
      </w:r>
      <w:r>
        <w:rPr>
          <w:sz w:val="20"/>
          <w:szCs w:val="20"/>
          <w:color w:val="auto"/>
        </w:rPr>
        <w:tab/>
      </w:r>
      <w:r>
        <w:rPr>
          <w:rFonts w:ascii="Arial" w:cs="Arial" w:eastAsia="Arial" w:hAnsi="Arial"/>
          <w:sz w:val="24"/>
          <w:szCs w:val="24"/>
          <w:color w:val="auto"/>
        </w:rPr>
        <w:t>as</w:t>
      </w:r>
      <w:r>
        <w:rPr>
          <w:sz w:val="20"/>
          <w:szCs w:val="20"/>
          <w:color w:val="auto"/>
        </w:rPr>
        <w:tab/>
      </w:r>
      <w:r>
        <w:rPr>
          <w:rFonts w:ascii="Arial" w:cs="Arial" w:eastAsia="Arial" w:hAnsi="Arial"/>
          <w:sz w:val="20"/>
          <w:szCs w:val="20"/>
          <w:color w:val="auto"/>
        </w:rPr>
        <w:t>amended</w:t>
      </w:r>
    </w:p>
    <w:p>
      <w:pPr>
        <w:spacing w:after="0" w:line="96" w:lineRule="exact"/>
        <w:rPr>
          <w:sz w:val="20"/>
          <w:szCs w:val="20"/>
          <w:color w:val="auto"/>
        </w:rPr>
      </w:pPr>
    </w:p>
    <w:p>
      <w:pPr>
        <w:jc w:val="both"/>
        <w:ind w:left="900" w:right="20"/>
        <w:spacing w:after="0" w:line="302" w:lineRule="auto"/>
        <w:rPr>
          <w:sz w:val="20"/>
          <w:szCs w:val="20"/>
          <w:color w:val="auto"/>
        </w:rPr>
      </w:pPr>
      <w:r>
        <w:rPr>
          <w:rFonts w:ascii="Arial" w:cs="Arial" w:eastAsia="Arial" w:hAnsi="Arial"/>
          <w:sz w:val="24"/>
          <w:szCs w:val="24"/>
          <w:color w:val="auto"/>
        </w:rPr>
        <w:t>hereby, (iii) certifies, confirms, acknowledges and agrees that nothing herein contained shall be con to impair the security or affect the priority of or otherwise impair the lien</w:t>
      </w:r>
    </w:p>
    <w:p>
      <w:pPr>
        <w:spacing w:after="0" w:line="25" w:lineRule="exact"/>
        <w:rPr>
          <w:sz w:val="20"/>
          <w:szCs w:val="20"/>
          <w:color w:val="auto"/>
        </w:rPr>
      </w:pPr>
    </w:p>
    <w:p>
      <w:pPr>
        <w:ind w:left="900" w:right="2320"/>
        <w:spacing w:after="0" w:line="302" w:lineRule="auto"/>
        <w:rPr>
          <w:sz w:val="20"/>
          <w:szCs w:val="20"/>
          <w:color w:val="auto"/>
        </w:rPr>
      </w:pPr>
      <w:r>
        <w:rPr>
          <w:rFonts w:ascii="Arial" w:cs="Arial" w:eastAsia="Arial" w:hAnsi="Arial"/>
          <w:sz w:val="24"/>
          <w:szCs w:val="24"/>
          <w:color w:val="auto"/>
        </w:rPr>
        <w:t>of any mortgage or other lien which Bank ever had, now has or may hereafter have on any of its/his property under any of the Loan</w:t>
      </w:r>
    </w:p>
    <w:p>
      <w:pPr>
        <w:spacing w:after="0" w:line="25" w:lineRule="exact"/>
        <w:rPr>
          <w:sz w:val="20"/>
          <w:szCs w:val="20"/>
          <w:color w:val="auto"/>
        </w:rPr>
      </w:pPr>
    </w:p>
    <w:p>
      <w:pPr>
        <w:jc w:val="both"/>
        <w:ind w:left="900"/>
        <w:spacing w:after="0" w:line="326" w:lineRule="auto"/>
        <w:rPr>
          <w:sz w:val="20"/>
          <w:szCs w:val="20"/>
          <w:color w:val="auto"/>
        </w:rPr>
      </w:pPr>
      <w:r>
        <w:rPr>
          <w:rFonts w:ascii="Arial" w:cs="Arial" w:eastAsia="Arial" w:hAnsi="Arial"/>
          <w:sz w:val="23"/>
          <w:szCs w:val="23"/>
          <w:color w:val="auto"/>
        </w:rPr>
        <w:t>Documents, nor to impair any rights or powers which Bank or its successors may have for nonperfo of any term of any of the Loan Documents, (iv) ratifies and confirms, renews and reaffirms in all re and without condition, all of the terms, covenants and conditions set forth</w:t>
      </w:r>
    </w:p>
    <w:p>
      <w:pPr>
        <w:spacing w:after="0" w:line="2" w:lineRule="exact"/>
        <w:rPr>
          <w:sz w:val="20"/>
          <w:szCs w:val="20"/>
          <w:color w:val="auto"/>
        </w:rPr>
      </w:pPr>
    </w:p>
    <w:p>
      <w:pPr>
        <w:jc w:val="both"/>
        <w:ind w:left="900" w:right="2320"/>
        <w:spacing w:after="0" w:line="326" w:lineRule="auto"/>
        <w:rPr>
          <w:sz w:val="20"/>
          <w:szCs w:val="20"/>
          <w:color w:val="auto"/>
        </w:rPr>
      </w:pPr>
      <w:r>
        <w:rPr>
          <w:rFonts w:ascii="Arial" w:cs="Arial" w:eastAsia="Arial" w:hAnsi="Arial"/>
          <w:sz w:val="23"/>
          <w:szCs w:val="23"/>
          <w:color w:val="auto"/>
        </w:rPr>
        <w:t>in the Loan Documents, as amended hereby, and (v) acknowledges, agrees, represents and warrants that no oral or other agreements,</w:t>
      </w:r>
    </w:p>
    <w:p>
      <w:pPr>
        <w:spacing w:after="0" w:line="1" w:lineRule="exact"/>
        <w:rPr>
          <w:sz w:val="20"/>
          <w:szCs w:val="20"/>
          <w:color w:val="auto"/>
        </w:rPr>
      </w:pPr>
    </w:p>
    <w:p>
      <w:pPr>
        <w:jc w:val="both"/>
        <w:ind w:left="900"/>
        <w:spacing w:after="0" w:line="302" w:lineRule="auto"/>
        <w:rPr>
          <w:sz w:val="20"/>
          <w:szCs w:val="20"/>
          <w:color w:val="auto"/>
        </w:rPr>
      </w:pPr>
      <w:r>
        <w:rPr>
          <w:rFonts w:ascii="Arial" w:cs="Arial" w:eastAsia="Arial" w:hAnsi="Arial"/>
          <w:sz w:val="24"/>
          <w:szCs w:val="24"/>
          <w:color w:val="auto"/>
        </w:rPr>
        <w:t>understandings, representations or warranties exist with respect to the Loan Documents or with resp its/</w:t>
      </w:r>
    </w:p>
    <w:p>
      <w:pPr>
        <w:spacing w:after="0" w:line="25" w:lineRule="exact"/>
        <w:rPr>
          <w:sz w:val="20"/>
          <w:szCs w:val="20"/>
          <w:color w:val="auto"/>
        </w:rPr>
      </w:pPr>
    </w:p>
    <w:p>
      <w:pPr>
        <w:jc w:val="both"/>
        <w:ind w:left="900"/>
        <w:spacing w:after="0" w:line="307" w:lineRule="auto"/>
        <w:rPr>
          <w:sz w:val="20"/>
          <w:szCs w:val="20"/>
          <w:color w:val="auto"/>
        </w:rPr>
      </w:pPr>
      <w:r>
        <w:rPr>
          <w:rFonts w:ascii="Arial" w:cs="Arial" w:eastAsia="Arial" w:hAnsi="Arial"/>
          <w:sz w:val="24"/>
          <w:szCs w:val="24"/>
          <w:color w:val="auto"/>
        </w:rPr>
        <w:t>his obligations thereunder. In the event of any conflict or ambiguity between the terms, covenants a provisions of this Agreement and those of the Note, the Mortgage or any other Loan Document, the covenants and provisions of this Agreement shall control.</w:t>
      </w:r>
    </w:p>
    <w:p>
      <w:pPr>
        <w:spacing w:after="0" w:line="329" w:lineRule="exact"/>
        <w:rPr>
          <w:sz w:val="20"/>
          <w:szCs w:val="20"/>
          <w:color w:val="auto"/>
        </w:rPr>
      </w:pPr>
    </w:p>
    <w:p>
      <w:pPr>
        <w:ind w:left="2280" w:hanging="591"/>
        <w:spacing w:after="0"/>
        <w:tabs>
          <w:tab w:leader="none" w:pos="2280" w:val="left"/>
        </w:tabs>
        <w:numPr>
          <w:ilvl w:val="0"/>
          <w:numId w:val="163"/>
        </w:numPr>
        <w:rPr>
          <w:rFonts w:ascii="Arial" w:cs="Arial" w:eastAsia="Arial" w:hAnsi="Arial"/>
          <w:sz w:val="24"/>
          <w:szCs w:val="24"/>
          <w:color w:val="auto"/>
        </w:rPr>
      </w:pPr>
      <w:r>
        <w:rPr>
          <w:rFonts w:ascii="Arial" w:cs="Arial" w:eastAsia="Arial" w:hAnsi="Arial"/>
          <w:sz w:val="24"/>
          <w:szCs w:val="24"/>
          <w:u w:val="single" w:color="auto"/>
          <w:color w:val="auto"/>
        </w:rPr>
        <w:t>Miscellaneous</w:t>
      </w:r>
      <w:r>
        <w:rPr>
          <w:rFonts w:ascii="Arial" w:cs="Arial" w:eastAsia="Arial" w:hAnsi="Arial"/>
          <w:sz w:val="24"/>
          <w:szCs w:val="24"/>
          <w:color w:val="auto"/>
        </w:rPr>
        <w:t>.</w:t>
      </w:r>
    </w:p>
    <w:p>
      <w:pPr>
        <w:spacing w:after="0" w:line="200" w:lineRule="exact"/>
        <w:rPr>
          <w:rFonts w:ascii="Arial" w:cs="Arial" w:eastAsia="Arial" w:hAnsi="Arial"/>
          <w:sz w:val="24"/>
          <w:szCs w:val="24"/>
          <w:color w:val="auto"/>
        </w:rPr>
      </w:pPr>
    </w:p>
    <w:p>
      <w:pPr>
        <w:spacing w:after="0" w:line="290" w:lineRule="exact"/>
        <w:rPr>
          <w:rFonts w:ascii="Arial" w:cs="Arial" w:eastAsia="Arial" w:hAnsi="Arial"/>
          <w:sz w:val="24"/>
          <w:szCs w:val="24"/>
          <w:color w:val="auto"/>
        </w:rPr>
      </w:pPr>
    </w:p>
    <w:p>
      <w:pPr>
        <w:jc w:val="both"/>
        <w:ind w:left="1000" w:right="2260" w:firstLine="1439"/>
        <w:spacing w:after="0" w:line="219" w:lineRule="auto"/>
        <w:tabs>
          <w:tab w:leader="none" w:pos="3614" w:val="left"/>
        </w:tabs>
        <w:numPr>
          <w:ilvl w:val="1"/>
          <w:numId w:val="163"/>
        </w:numPr>
        <w:rPr>
          <w:rFonts w:ascii="Arial" w:cs="Arial" w:eastAsia="Arial" w:hAnsi="Arial"/>
          <w:sz w:val="24"/>
          <w:szCs w:val="24"/>
          <w:color w:val="auto"/>
        </w:rPr>
      </w:pPr>
      <w:r>
        <w:rPr>
          <w:rFonts w:ascii="Arial" w:cs="Arial" w:eastAsia="Arial" w:hAnsi="Arial"/>
          <w:sz w:val="24"/>
          <w:szCs w:val="24"/>
          <w:color w:val="auto"/>
        </w:rPr>
        <w:t>Bank is under no obligation to further modify the terms of the Note, or any other Loan Document executed in connection therewith.</w:t>
      </w:r>
    </w:p>
    <w:p>
      <w:pPr>
        <w:spacing w:after="0" w:line="299" w:lineRule="exact"/>
        <w:rPr>
          <w:sz w:val="20"/>
          <w:szCs w:val="20"/>
          <w:color w:val="auto"/>
        </w:rPr>
      </w:pPr>
    </w:p>
    <w:p>
      <w:pPr>
        <w:jc w:val="both"/>
        <w:ind w:left="1000" w:right="2260" w:firstLine="1440"/>
        <w:spacing w:after="0" w:line="219" w:lineRule="auto"/>
        <w:rPr>
          <w:sz w:val="20"/>
          <w:szCs w:val="20"/>
          <w:color w:val="auto"/>
        </w:rPr>
      </w:pPr>
      <w:r>
        <w:rPr>
          <w:rFonts w:ascii="Arial" w:cs="Arial" w:eastAsia="Arial" w:hAnsi="Arial"/>
          <w:sz w:val="24"/>
          <w:szCs w:val="24"/>
          <w:color w:val="auto"/>
        </w:rPr>
        <w:t>(b) This Agreement is a modification of the terms of the Note. Any and all references to the Note shall mean the Note as modified by this Agreement.</w:t>
      </w:r>
    </w:p>
    <w:p>
      <w:pPr>
        <w:spacing w:after="0" w:line="263" w:lineRule="exact"/>
        <w:rPr>
          <w:sz w:val="20"/>
          <w:szCs w:val="20"/>
          <w:color w:val="auto"/>
        </w:rPr>
      </w:pPr>
    </w:p>
    <w:p>
      <w:pPr>
        <w:ind w:left="3620" w:hanging="1181"/>
        <w:spacing w:after="0"/>
        <w:tabs>
          <w:tab w:leader="none" w:pos="3620" w:val="left"/>
        </w:tabs>
        <w:numPr>
          <w:ilvl w:val="0"/>
          <w:numId w:val="164"/>
        </w:numPr>
        <w:rPr>
          <w:rFonts w:ascii="Arial" w:cs="Arial" w:eastAsia="Arial" w:hAnsi="Arial"/>
          <w:sz w:val="24"/>
          <w:szCs w:val="24"/>
          <w:color w:val="auto"/>
        </w:rPr>
      </w:pPr>
      <w:r>
        <w:rPr>
          <w:rFonts w:ascii="Arial" w:cs="Arial" w:eastAsia="Arial" w:hAnsi="Arial"/>
          <w:sz w:val="24"/>
          <w:szCs w:val="24"/>
          <w:color w:val="auto"/>
        </w:rPr>
        <w:t>This Agreement contains the entire agreement</w:t>
      </w:r>
    </w:p>
    <w:p>
      <w:pPr>
        <w:ind w:left="1000"/>
        <w:spacing w:after="0"/>
        <w:tabs>
          <w:tab w:leader="none" w:pos="1920" w:val="left"/>
          <w:tab w:leader="none" w:pos="2960" w:val="left"/>
          <w:tab w:leader="none" w:pos="4360" w:val="left"/>
          <w:tab w:leader="none" w:pos="5540" w:val="left"/>
          <w:tab w:leader="none" w:pos="6960" w:val="left"/>
          <w:tab w:leader="none" w:pos="7900" w:val="left"/>
        </w:tabs>
        <w:rPr>
          <w:sz w:val="20"/>
          <w:szCs w:val="20"/>
          <w:color w:val="auto"/>
        </w:rPr>
      </w:pPr>
      <w:r>
        <w:rPr>
          <w:rFonts w:ascii="Arial" w:cs="Arial" w:eastAsia="Arial" w:hAnsi="Arial"/>
          <w:sz w:val="24"/>
          <w:szCs w:val="24"/>
          <w:color w:val="auto"/>
        </w:rPr>
        <w:t>of</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parties</w:t>
      </w:r>
      <w:r>
        <w:rPr>
          <w:sz w:val="20"/>
          <w:szCs w:val="20"/>
          <w:color w:val="auto"/>
        </w:rPr>
        <w:tab/>
      </w:r>
      <w:r>
        <w:rPr>
          <w:rFonts w:ascii="Arial" w:cs="Arial" w:eastAsia="Arial" w:hAnsi="Arial"/>
          <w:sz w:val="24"/>
          <w:szCs w:val="24"/>
          <w:color w:val="auto"/>
        </w:rPr>
        <w:t>with</w:t>
      </w:r>
      <w:r>
        <w:rPr>
          <w:sz w:val="20"/>
          <w:szCs w:val="20"/>
          <w:color w:val="auto"/>
        </w:rPr>
        <w:tab/>
      </w:r>
      <w:r>
        <w:rPr>
          <w:rFonts w:ascii="Arial" w:cs="Arial" w:eastAsia="Arial" w:hAnsi="Arial"/>
          <w:sz w:val="24"/>
          <w:szCs w:val="24"/>
          <w:color w:val="auto"/>
        </w:rPr>
        <w:t>respect</w:t>
      </w:r>
      <w:r>
        <w:rPr>
          <w:sz w:val="20"/>
          <w:szCs w:val="20"/>
          <w:color w:val="auto"/>
        </w:rPr>
        <w:tab/>
      </w:r>
      <w:r>
        <w:rPr>
          <w:rFonts w:ascii="Arial" w:cs="Arial" w:eastAsia="Arial" w:hAnsi="Arial"/>
          <w:sz w:val="24"/>
          <w:szCs w:val="24"/>
          <w:color w:val="auto"/>
        </w:rPr>
        <w:t>to</w:t>
      </w:r>
      <w:r>
        <w:rPr>
          <w:sz w:val="20"/>
          <w:szCs w:val="20"/>
          <w:color w:val="auto"/>
        </w:rPr>
        <w:tab/>
      </w:r>
      <w:r>
        <w:rPr>
          <w:rFonts w:ascii="Arial" w:cs="Arial" w:eastAsia="Arial" w:hAnsi="Arial"/>
          <w:sz w:val="21"/>
          <w:szCs w:val="21"/>
          <w:color w:val="auto"/>
        </w:rPr>
        <w:t>the</w:t>
      </w:r>
    </w:p>
    <w:p>
      <w:pPr>
        <w:spacing w:after="0" w:line="1" w:lineRule="exact"/>
        <w:rPr>
          <w:sz w:val="20"/>
          <w:szCs w:val="20"/>
          <w:color w:val="auto"/>
        </w:rPr>
      </w:pPr>
    </w:p>
    <w:p>
      <w:pPr>
        <w:ind w:left="1000"/>
        <w:spacing w:after="0" w:line="219" w:lineRule="auto"/>
        <w:rPr>
          <w:sz w:val="20"/>
          <w:szCs w:val="20"/>
          <w:color w:val="auto"/>
        </w:rPr>
      </w:pPr>
      <w:r>
        <w:rPr>
          <w:rFonts w:ascii="Arial" w:cs="Arial" w:eastAsia="Arial" w:hAnsi="Arial"/>
          <w:sz w:val="24"/>
          <w:szCs w:val="24"/>
          <w:color w:val="auto"/>
        </w:rPr>
        <w:t>modification of the Note and this Agreement may not be modified, amended, changed or terminate by an agreement in writing signed by Borrower and Bank.</w:t>
      </w:r>
    </w:p>
    <w:p>
      <w:pPr>
        <w:spacing w:after="0" w:line="270"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(d)</w:t>
      </w:r>
    </w:p>
    <w:p>
      <w:pPr>
        <w:ind w:left="1000" w:right="1480"/>
        <w:spacing w:after="0" w:line="239" w:lineRule="auto"/>
        <w:rPr>
          <w:sz w:val="20"/>
          <w:szCs w:val="20"/>
          <w:color w:val="auto"/>
        </w:rPr>
      </w:pPr>
      <w:r>
        <w:rPr>
          <w:rFonts w:ascii="Arial" w:cs="Arial" w:eastAsia="Arial" w:hAnsi="Arial"/>
          <w:sz w:val="22"/>
          <w:szCs w:val="22"/>
          <w:color w:val="auto"/>
        </w:rPr>
        <w:t>This Agreement shall be binding upon and inure to the benefit of Borrower and the successors of Borrower and Bank and the successors and assigns of Bank.</w:t>
      </w:r>
    </w:p>
    <w:p>
      <w:pPr>
        <w:sectPr>
          <w:pgSz w:w="11900" w:h="16838" w:orient="portrait"/>
          <w:cols w:equalWidth="0" w:num="1">
            <w:col w:w="10460"/>
          </w:cols>
          <w:pgMar w:left="1440" w:top="1257"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96 / 98</w:t>
      </w:r>
    </w:p>
    <w:p>
      <w:pPr>
        <w:sectPr>
          <w:pgSz w:w="11900" w:h="16838" w:orient="portrait"/>
          <w:cols w:equalWidth="0" w:num="1">
            <w:col w:w="10460"/>
          </w:cols>
          <w:pgMar w:left="1440" w:top="1257" w:right="6" w:bottom="0" w:gutter="0" w:footer="0" w:header="0"/>
          <w:type w:val="continuous"/>
        </w:sectPr>
      </w:pPr>
    </w:p>
    <w:bookmarkStart w:id="278" w:name="page279"/>
    <w:bookmarkEnd w:id="278"/>
    <w:p>
      <w:pPr>
        <w:jc w:val="both"/>
        <w:ind w:left="1000" w:right="806" w:firstLine="1439"/>
        <w:spacing w:after="0" w:line="224" w:lineRule="auto"/>
        <w:tabs>
          <w:tab w:leader="none" w:pos="3626" w:val="left"/>
        </w:tabs>
        <w:numPr>
          <w:ilvl w:val="0"/>
          <w:numId w:val="165"/>
        </w:numPr>
        <w:rPr>
          <w:rFonts w:ascii="Arial" w:cs="Arial" w:eastAsia="Arial" w:hAnsi="Arial"/>
          <w:sz w:val="23"/>
          <w:szCs w:val="23"/>
          <w:color w:val="auto"/>
        </w:rPr>
      </w:pPr>
      <w:r>
        <w:rPr>
          <w:rFonts w:ascii="Arial" w:cs="Arial" w:eastAsia="Arial" w:hAnsi="Arial"/>
          <w:sz w:val="23"/>
          <w:szCs w:val="23"/>
          <w:color w:val="auto"/>
        </w:rPr>
        <w:t>This Agreement shall have no force or effect unless and until, and shall become effective only upon, the execution and delivery hereof by Borrower and Bank and the satisfaction in full of all conditions to the effectiveness hereof as set forth herein.</w:t>
      </w:r>
    </w:p>
    <w:p>
      <w:pPr>
        <w:spacing w:after="0" w:line="302" w:lineRule="exact"/>
        <w:rPr>
          <w:rFonts w:ascii="Arial" w:cs="Arial" w:eastAsia="Arial" w:hAnsi="Arial"/>
          <w:sz w:val="23"/>
          <w:szCs w:val="23"/>
          <w:color w:val="auto"/>
        </w:rPr>
      </w:pPr>
    </w:p>
    <w:p>
      <w:pPr>
        <w:jc w:val="both"/>
        <w:ind w:left="1000" w:right="806" w:firstLine="1439"/>
        <w:spacing w:after="0" w:line="229" w:lineRule="auto"/>
        <w:tabs>
          <w:tab w:leader="none" w:pos="3676" w:val="left"/>
        </w:tabs>
        <w:numPr>
          <w:ilvl w:val="0"/>
          <w:numId w:val="165"/>
        </w:numPr>
        <w:rPr>
          <w:rFonts w:ascii="Arial" w:cs="Arial" w:eastAsia="Arial" w:hAnsi="Arial"/>
          <w:sz w:val="23"/>
          <w:szCs w:val="23"/>
          <w:color w:val="auto"/>
        </w:rPr>
      </w:pPr>
      <w:r>
        <w:rPr>
          <w:rFonts w:ascii="Arial" w:cs="Arial" w:eastAsia="Arial" w:hAnsi="Arial"/>
          <w:sz w:val="23"/>
          <w:szCs w:val="23"/>
          <w:color w:val="auto"/>
        </w:rPr>
        <w:t>If any term, covenant or condition of this Agreement shall be held to be invalid, illegal or unenforceable in any respect, this Agreement shall be construed without such provision.</w:t>
      </w:r>
    </w:p>
    <w:p>
      <w:pPr>
        <w:spacing w:after="0" w:line="269"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(g)</w:t>
      </w:r>
    </w:p>
    <w:p>
      <w:pPr>
        <w:ind w:left="1000" w:right="46"/>
        <w:spacing w:after="0" w:line="219" w:lineRule="auto"/>
        <w:rPr>
          <w:sz w:val="20"/>
          <w:szCs w:val="20"/>
          <w:color w:val="auto"/>
        </w:rPr>
      </w:pPr>
      <w:r>
        <w:rPr>
          <w:rFonts w:ascii="Arial" w:cs="Arial" w:eastAsia="Arial" w:hAnsi="Arial"/>
          <w:sz w:val="24"/>
          <w:szCs w:val="24"/>
          <w:color w:val="auto"/>
        </w:rPr>
        <w:t>This Agreement shall be governed by and construed in accordance with the laws of the State of New York without regard to its principles of conflicts or choice of laws.</w:t>
      </w:r>
    </w:p>
    <w:p>
      <w:pPr>
        <w:spacing w:after="0" w:line="344"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(h)</w:t>
      </w:r>
    </w:p>
    <w:p>
      <w:pPr>
        <w:spacing w:after="0" w:line="96" w:lineRule="exact"/>
        <w:rPr>
          <w:sz w:val="20"/>
          <w:szCs w:val="20"/>
          <w:color w:val="auto"/>
        </w:rPr>
      </w:pPr>
    </w:p>
    <w:p>
      <w:pPr>
        <w:jc w:val="both"/>
        <w:ind w:left="1000" w:right="806"/>
        <w:spacing w:after="0" w:line="310" w:lineRule="auto"/>
        <w:rPr>
          <w:sz w:val="20"/>
          <w:szCs w:val="20"/>
          <w:color w:val="auto"/>
        </w:rPr>
      </w:pPr>
      <w:r>
        <w:rPr>
          <w:rFonts w:ascii="Arial" w:cs="Arial" w:eastAsia="Arial" w:hAnsi="Arial"/>
          <w:sz w:val="24"/>
          <w:szCs w:val="24"/>
          <w:color w:val="auto"/>
        </w:rPr>
        <w:t>This Agreement may be executed in one or more counterparts, each of which shall be deemed an original, but all of which together shall constitute the same instrument. This Agreement may be executed electronically using electronic signature technology that produces an audit trail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400050</wp:posOffset>
            </wp:positionV>
            <wp:extent cx="482473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4824730" cy="19050"/>
                    </a:xfrm>
                    <a:prstGeom prst="rect">
                      <a:avLst/>
                    </a:prstGeom>
                    <a:noFill/>
                  </pic:spPr>
                </pic:pic>
              </a:graphicData>
            </a:graphic>
          </wp:anchor>
        </w:drawing>
      </w:r>
    </w:p>
    <w:p>
      <w:pPr>
        <w:sectPr>
          <w:pgSz w:w="11900" w:h="16838" w:orient="portrait"/>
          <w:cols w:equalWidth="0" w:num="1">
            <w:col w:w="9026"/>
          </w:cols>
          <w:pgMar w:left="1440" w:top="140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97 / 98</w:t>
      </w:r>
    </w:p>
    <w:p>
      <w:pPr>
        <w:sectPr>
          <w:pgSz w:w="11900" w:h="16838" w:orient="portrait"/>
          <w:cols w:equalWidth="0" w:num="1">
            <w:col w:w="9026"/>
          </w:cols>
          <w:pgMar w:left="1440" w:top="1402" w:right="1440" w:bottom="0" w:gutter="0" w:footer="0" w:header="0"/>
          <w:type w:val="continuous"/>
        </w:sectPr>
      </w:pPr>
    </w:p>
    <w:bookmarkStart w:id="279" w:name="page280"/>
    <w:bookmarkEnd w:id="279"/>
    <w:tbl>
      <w:tblPr>
        <w:tblLayout w:type="fixed"/>
        <w:tblInd w:w="900" w:type="dxa"/>
        <w:tblCellMar>
          <w:top w:w="0" w:type="dxa"/>
          <w:left w:w="0" w:type="dxa"/>
          <w:bottom w:w="0" w:type="dxa"/>
          <w:right w:w="0" w:type="dxa"/>
        </w:tblCellMar>
      </w:tblPr>
      <w:tr>
        <w:trPr>
          <w:trHeight w:val="276"/>
        </w:trPr>
        <w:tc>
          <w:tcPr>
            <w:tcW w:w="1300" w:type="dxa"/>
            <w:vAlign w:val="bottom"/>
            <w:gridSpan w:val="2"/>
          </w:tcPr>
          <w:p>
            <w:pPr>
              <w:spacing w:after="0"/>
              <w:rPr>
                <w:sz w:val="20"/>
                <w:szCs w:val="20"/>
                <w:color w:val="auto"/>
              </w:rPr>
            </w:pPr>
            <w:r>
              <w:rPr>
                <w:rFonts w:ascii="Arial" w:cs="Arial" w:eastAsia="Arial" w:hAnsi="Arial"/>
                <w:sz w:val="24"/>
                <w:szCs w:val="24"/>
                <w:color w:val="auto"/>
              </w:rPr>
              <w:t>execution</w:t>
            </w:r>
          </w:p>
        </w:tc>
        <w:tc>
          <w:tcPr>
            <w:tcW w:w="1100" w:type="dxa"/>
            <w:vAlign w:val="bottom"/>
          </w:tcPr>
          <w:p>
            <w:pPr>
              <w:ind w:left="280"/>
              <w:spacing w:after="0"/>
              <w:rPr>
                <w:sz w:val="20"/>
                <w:szCs w:val="20"/>
                <w:color w:val="auto"/>
              </w:rPr>
            </w:pPr>
            <w:r>
              <w:rPr>
                <w:rFonts w:ascii="Arial" w:cs="Arial" w:eastAsia="Arial" w:hAnsi="Arial"/>
                <w:sz w:val="24"/>
                <w:szCs w:val="24"/>
                <w:color w:val="auto"/>
              </w:rPr>
              <w:t>(e.g.,</w:t>
            </w:r>
          </w:p>
        </w:tc>
        <w:tc>
          <w:tcPr>
            <w:tcW w:w="1540" w:type="dxa"/>
            <w:vAlign w:val="bottom"/>
          </w:tcPr>
          <w:p>
            <w:pPr>
              <w:ind w:left="300"/>
              <w:spacing w:after="0"/>
              <w:rPr>
                <w:sz w:val="20"/>
                <w:szCs w:val="20"/>
                <w:color w:val="auto"/>
              </w:rPr>
            </w:pPr>
            <w:r>
              <w:rPr>
                <w:rFonts w:ascii="Arial" w:cs="Arial" w:eastAsia="Arial" w:hAnsi="Arial"/>
                <w:sz w:val="24"/>
                <w:szCs w:val="24"/>
                <w:color w:val="auto"/>
              </w:rPr>
              <w:t>Adobe</w:t>
            </w:r>
          </w:p>
        </w:tc>
        <w:tc>
          <w:tcPr>
            <w:tcW w:w="760" w:type="dxa"/>
            <w:vAlign w:val="bottom"/>
          </w:tcPr>
          <w:p>
            <w:pPr>
              <w:ind w:left="40"/>
              <w:spacing w:after="0"/>
              <w:rPr>
                <w:sz w:val="20"/>
                <w:szCs w:val="20"/>
                <w:color w:val="auto"/>
              </w:rPr>
            </w:pPr>
            <w:r>
              <w:rPr>
                <w:rFonts w:ascii="Arial" w:cs="Arial" w:eastAsia="Arial" w:hAnsi="Arial"/>
                <w:sz w:val="24"/>
                <w:szCs w:val="24"/>
                <w:color w:val="auto"/>
              </w:rPr>
              <w:t>Sign,</w:t>
            </w:r>
          </w:p>
        </w:tc>
        <w:tc>
          <w:tcPr>
            <w:tcW w:w="2020" w:type="dxa"/>
            <w:vAlign w:val="bottom"/>
          </w:tcPr>
          <w:p>
            <w:pPr>
              <w:ind w:left="440"/>
              <w:spacing w:after="0"/>
              <w:rPr>
                <w:sz w:val="20"/>
                <w:szCs w:val="20"/>
                <w:color w:val="auto"/>
              </w:rPr>
            </w:pPr>
            <w:r>
              <w:rPr>
                <w:rFonts w:ascii="Arial" w:cs="Arial" w:eastAsia="Arial" w:hAnsi="Arial"/>
                <w:sz w:val="24"/>
                <w:szCs w:val="24"/>
                <w:color w:val="auto"/>
              </w:rPr>
              <w:t>DocuSign)</w:t>
            </w:r>
          </w:p>
        </w:tc>
        <w:tc>
          <w:tcPr>
            <w:tcW w:w="520" w:type="dxa"/>
            <w:vAlign w:val="bottom"/>
          </w:tcPr>
          <w:p>
            <w:pPr>
              <w:jc w:val="right"/>
              <w:spacing w:after="0"/>
              <w:rPr>
                <w:sz w:val="20"/>
                <w:szCs w:val="20"/>
                <w:color w:val="auto"/>
              </w:rPr>
            </w:pPr>
            <w:r>
              <w:rPr>
                <w:rFonts w:ascii="Arial" w:cs="Arial" w:eastAsia="Arial" w:hAnsi="Arial"/>
                <w:sz w:val="24"/>
                <w:szCs w:val="24"/>
                <w:color w:val="auto"/>
              </w:rPr>
              <w:t>and/</w:t>
            </w:r>
          </w:p>
        </w:tc>
      </w:tr>
      <w:tr>
        <w:trPr>
          <w:trHeight w:val="242"/>
        </w:trPr>
        <w:tc>
          <w:tcPr>
            <w:tcW w:w="320" w:type="dxa"/>
            <w:vAlign w:val="bottom"/>
          </w:tcPr>
          <w:p>
            <w:pPr>
              <w:spacing w:after="0" w:line="242" w:lineRule="exact"/>
              <w:rPr>
                <w:sz w:val="20"/>
                <w:szCs w:val="20"/>
                <w:color w:val="auto"/>
              </w:rPr>
            </w:pPr>
            <w:r>
              <w:rPr>
                <w:rFonts w:ascii="Arial" w:cs="Arial" w:eastAsia="Arial" w:hAnsi="Arial"/>
                <w:sz w:val="24"/>
                <w:szCs w:val="24"/>
                <w:color w:val="auto"/>
              </w:rPr>
              <w:t>or</w:t>
            </w:r>
          </w:p>
        </w:tc>
        <w:tc>
          <w:tcPr>
            <w:tcW w:w="980" w:type="dxa"/>
            <w:vAlign w:val="bottom"/>
          </w:tcPr>
          <w:p>
            <w:pPr>
              <w:ind w:left="100"/>
              <w:spacing w:after="0" w:line="242" w:lineRule="exact"/>
              <w:rPr>
                <w:sz w:val="20"/>
                <w:szCs w:val="20"/>
                <w:color w:val="auto"/>
              </w:rPr>
            </w:pPr>
            <w:r>
              <w:rPr>
                <w:rFonts w:ascii="Arial" w:cs="Arial" w:eastAsia="Arial" w:hAnsi="Arial"/>
                <w:sz w:val="24"/>
                <w:szCs w:val="24"/>
                <w:color w:val="auto"/>
              </w:rPr>
              <w:t>may  be</w:t>
            </w:r>
          </w:p>
        </w:tc>
        <w:tc>
          <w:tcPr>
            <w:tcW w:w="1100" w:type="dxa"/>
            <w:vAlign w:val="bottom"/>
          </w:tcPr>
          <w:p>
            <w:pPr>
              <w:ind w:left="180"/>
              <w:spacing w:after="0" w:line="242" w:lineRule="exact"/>
              <w:rPr>
                <w:sz w:val="20"/>
                <w:szCs w:val="20"/>
                <w:color w:val="auto"/>
              </w:rPr>
            </w:pPr>
            <w:r>
              <w:rPr>
                <w:rFonts w:ascii="Arial" w:cs="Arial" w:eastAsia="Arial" w:hAnsi="Arial"/>
                <w:sz w:val="24"/>
                <w:szCs w:val="24"/>
                <w:color w:val="auto"/>
                <w:w w:val="92"/>
              </w:rPr>
              <w:t>delivered</w:t>
            </w:r>
          </w:p>
        </w:tc>
        <w:tc>
          <w:tcPr>
            <w:tcW w:w="1540" w:type="dxa"/>
            <w:vAlign w:val="bottom"/>
          </w:tcPr>
          <w:p>
            <w:pPr>
              <w:ind w:left="200"/>
              <w:spacing w:after="0" w:line="242" w:lineRule="exact"/>
              <w:rPr>
                <w:sz w:val="20"/>
                <w:szCs w:val="20"/>
                <w:color w:val="auto"/>
              </w:rPr>
            </w:pPr>
            <w:r>
              <w:rPr>
                <w:rFonts w:ascii="Arial" w:cs="Arial" w:eastAsia="Arial" w:hAnsi="Arial"/>
                <w:sz w:val="24"/>
                <w:szCs w:val="24"/>
                <w:color w:val="auto"/>
                <w:w w:val="95"/>
              </w:rPr>
              <w:t>electronically</w:t>
            </w:r>
          </w:p>
        </w:tc>
        <w:tc>
          <w:tcPr>
            <w:tcW w:w="760" w:type="dxa"/>
            <w:vAlign w:val="bottom"/>
          </w:tcPr>
          <w:p>
            <w:pPr>
              <w:ind w:left="180"/>
              <w:spacing w:after="0" w:line="242" w:lineRule="exact"/>
              <w:rPr>
                <w:sz w:val="20"/>
                <w:szCs w:val="20"/>
                <w:color w:val="auto"/>
              </w:rPr>
            </w:pPr>
            <w:r>
              <w:rPr>
                <w:rFonts w:ascii="Arial" w:cs="Arial" w:eastAsia="Arial" w:hAnsi="Arial"/>
                <w:sz w:val="24"/>
                <w:szCs w:val="24"/>
                <w:color w:val="auto"/>
              </w:rPr>
              <w:t>(e.g.,</w:t>
            </w:r>
          </w:p>
        </w:tc>
        <w:tc>
          <w:tcPr>
            <w:tcW w:w="2020" w:type="dxa"/>
            <w:vAlign w:val="bottom"/>
          </w:tcPr>
          <w:p>
            <w:pPr>
              <w:ind w:left="120"/>
              <w:spacing w:after="0" w:line="242" w:lineRule="exact"/>
              <w:rPr>
                <w:sz w:val="20"/>
                <w:szCs w:val="20"/>
                <w:color w:val="auto"/>
              </w:rPr>
            </w:pPr>
            <w:r>
              <w:rPr>
                <w:rFonts w:ascii="Arial" w:cs="Arial" w:eastAsia="Arial" w:hAnsi="Arial"/>
                <w:sz w:val="24"/>
                <w:szCs w:val="24"/>
                <w:color w:val="auto"/>
              </w:rPr>
              <w:t>a  scanned  .PDF</w:t>
            </w:r>
          </w:p>
        </w:tc>
        <w:tc>
          <w:tcPr>
            <w:tcW w:w="520" w:type="dxa"/>
            <w:vAlign w:val="bottom"/>
          </w:tcPr>
          <w:p>
            <w:pPr>
              <w:jc w:val="right"/>
              <w:spacing w:after="0" w:line="242" w:lineRule="exact"/>
              <w:rPr>
                <w:sz w:val="20"/>
                <w:szCs w:val="20"/>
                <w:color w:val="auto"/>
              </w:rPr>
            </w:pPr>
            <w:r>
              <w:rPr>
                <w:rFonts w:ascii="Arial" w:cs="Arial" w:eastAsia="Arial" w:hAnsi="Arial"/>
                <w:sz w:val="24"/>
                <w:szCs w:val="24"/>
                <w:color w:val="auto"/>
              </w:rPr>
              <w:t>sent</w:t>
            </w:r>
          </w:p>
        </w:tc>
      </w:tr>
      <w:tr>
        <w:trPr>
          <w:trHeight w:val="242"/>
        </w:trPr>
        <w:tc>
          <w:tcPr>
            <w:tcW w:w="320" w:type="dxa"/>
            <w:vAlign w:val="bottom"/>
          </w:tcPr>
          <w:p>
            <w:pPr>
              <w:spacing w:after="0" w:line="242" w:lineRule="exact"/>
              <w:rPr>
                <w:sz w:val="20"/>
                <w:szCs w:val="20"/>
                <w:color w:val="auto"/>
              </w:rPr>
            </w:pPr>
            <w:r>
              <w:rPr>
                <w:rFonts w:ascii="Arial" w:cs="Arial" w:eastAsia="Arial" w:hAnsi="Arial"/>
                <w:sz w:val="24"/>
                <w:szCs w:val="24"/>
                <w:color w:val="auto"/>
              </w:rPr>
              <w:t>by</w:t>
            </w:r>
          </w:p>
        </w:tc>
        <w:tc>
          <w:tcPr>
            <w:tcW w:w="980" w:type="dxa"/>
            <w:vAlign w:val="bottom"/>
          </w:tcPr>
          <w:p>
            <w:pPr>
              <w:ind w:left="120"/>
              <w:spacing w:after="0" w:line="242" w:lineRule="exact"/>
              <w:rPr>
                <w:sz w:val="20"/>
                <w:szCs w:val="20"/>
                <w:color w:val="auto"/>
              </w:rPr>
            </w:pPr>
            <w:r>
              <w:rPr>
                <w:rFonts w:ascii="Arial" w:cs="Arial" w:eastAsia="Arial" w:hAnsi="Arial"/>
                <w:sz w:val="24"/>
                <w:szCs w:val="24"/>
                <w:color w:val="auto"/>
              </w:rPr>
              <w:t>email),</w:t>
            </w:r>
          </w:p>
        </w:tc>
        <w:tc>
          <w:tcPr>
            <w:tcW w:w="1100" w:type="dxa"/>
            <w:vAlign w:val="bottom"/>
          </w:tcPr>
          <w:p>
            <w:pPr>
              <w:ind w:left="20"/>
              <w:spacing w:after="0" w:line="242" w:lineRule="exact"/>
              <w:rPr>
                <w:sz w:val="20"/>
                <w:szCs w:val="20"/>
                <w:color w:val="auto"/>
              </w:rPr>
            </w:pPr>
            <w:r>
              <w:rPr>
                <w:rFonts w:ascii="Arial" w:cs="Arial" w:eastAsia="Arial" w:hAnsi="Arial"/>
                <w:sz w:val="24"/>
                <w:szCs w:val="24"/>
                <w:color w:val="auto"/>
              </w:rPr>
              <w:t>and  any</w:t>
            </w:r>
          </w:p>
        </w:tc>
        <w:tc>
          <w:tcPr>
            <w:tcW w:w="4320" w:type="dxa"/>
            <w:vAlign w:val="bottom"/>
            <w:gridSpan w:val="3"/>
          </w:tcPr>
          <w:p>
            <w:pPr>
              <w:ind w:left="20"/>
              <w:spacing w:after="0" w:line="242" w:lineRule="exact"/>
              <w:rPr>
                <w:sz w:val="20"/>
                <w:szCs w:val="20"/>
                <w:color w:val="auto"/>
              </w:rPr>
            </w:pPr>
            <w:r>
              <w:rPr>
                <w:rFonts w:ascii="Arial" w:cs="Arial" w:eastAsia="Arial" w:hAnsi="Arial"/>
                <w:sz w:val="24"/>
                <w:szCs w:val="24"/>
                <w:color w:val="auto"/>
                <w:w w:val="97"/>
              </w:rPr>
              <w:t>such  electronically  executed  signatures</w:t>
            </w:r>
          </w:p>
        </w:tc>
        <w:tc>
          <w:tcPr>
            <w:tcW w:w="520" w:type="dxa"/>
            <w:vAlign w:val="bottom"/>
          </w:tcPr>
          <w:p>
            <w:pPr>
              <w:jc w:val="right"/>
              <w:spacing w:after="0" w:line="242" w:lineRule="exact"/>
              <w:rPr>
                <w:sz w:val="20"/>
                <w:szCs w:val="20"/>
                <w:color w:val="auto"/>
              </w:rPr>
            </w:pPr>
            <w:r>
              <w:rPr>
                <w:rFonts w:ascii="Arial" w:cs="Arial" w:eastAsia="Arial" w:hAnsi="Arial"/>
                <w:sz w:val="24"/>
                <w:szCs w:val="24"/>
                <w:color w:val="auto"/>
              </w:rPr>
              <w:t>and/</w:t>
            </w:r>
          </w:p>
        </w:tc>
      </w:tr>
    </w:tbl>
    <w:p>
      <w:pPr>
        <w:jc w:val="both"/>
        <w:ind w:left="900" w:right="886"/>
        <w:spacing w:after="0" w:line="219" w:lineRule="auto"/>
        <w:rPr>
          <w:sz w:val="20"/>
          <w:szCs w:val="20"/>
          <w:color w:val="auto"/>
        </w:rPr>
      </w:pPr>
      <w:r>
        <w:rPr>
          <w:rFonts w:ascii="Arial" w:cs="Arial" w:eastAsia="Arial" w:hAnsi="Arial"/>
          <w:sz w:val="24"/>
          <w:szCs w:val="24"/>
          <w:color w:val="auto"/>
        </w:rPr>
        <w:t>or electronically delivered signatures shall have the same legal and binding effect as original handwritten signatures.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20" w:right="706"/>
        <w:spacing w:after="0" w:line="302" w:lineRule="auto"/>
        <w:rPr>
          <w:sz w:val="20"/>
          <w:szCs w:val="20"/>
          <w:color w:val="auto"/>
        </w:rPr>
      </w:pPr>
      <w:r>
        <w:rPr>
          <w:rFonts w:ascii="Arial" w:cs="Arial" w:eastAsia="Arial" w:hAnsi="Arial"/>
          <w:sz w:val="24"/>
          <w:szCs w:val="24"/>
          <w:i w:val="1"/>
          <w:iCs w:val="1"/>
          <w:color w:val="auto"/>
        </w:rPr>
        <w:t>[The remainder of this page is left intentionally blank. Signature page follows.]</w:t>
      </w:r>
    </w:p>
    <w:p>
      <w:pPr>
        <w:sectPr>
          <w:pgSz w:w="11900" w:h="16838" w:orient="portrait"/>
          <w:cols w:equalWidth="0" w:num="1">
            <w:col w:w="9026"/>
          </w:cols>
          <w:pgMar w:left="1440" w:top="11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98 / 98</w:t>
      </w:r>
    </w:p>
    <w:p>
      <w:pPr>
        <w:sectPr>
          <w:pgSz w:w="11900" w:h="16838" w:orient="portrait"/>
          <w:cols w:equalWidth="0" w:num="1">
            <w:col w:w="9026"/>
          </w:cols>
          <w:pgMar w:left="1440" w:top="1165" w:right="1440" w:bottom="0" w:gutter="0" w:footer="0" w:header="0"/>
          <w:type w:val="continuous"/>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881380</wp:posOffset>
            </wp:positionV>
            <wp:extent cx="5967730"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026"/>
          </w:cols>
          <w:pgMar w:left="1440" w:top="1440" w:right="1440" w:bottom="0" w:gutter="0" w:footer="0" w:header="0"/>
        </w:sectPr>
      </w:pPr>
    </w:p>
    <w:bookmarkStart w:id="281" w:name="page282"/>
    <w:bookmarkEnd w:id="2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Borrower and</w:t>
      </w:r>
    </w:p>
    <w:p>
      <w:pPr>
        <w:ind w:left="660" w:right="686"/>
        <w:spacing w:after="0" w:line="222" w:lineRule="auto"/>
        <w:rPr>
          <w:sz w:val="20"/>
          <w:szCs w:val="20"/>
          <w:color w:val="auto"/>
        </w:rPr>
      </w:pPr>
      <w:r>
        <w:rPr>
          <w:rFonts w:ascii="Arial" w:cs="Arial" w:eastAsia="Arial" w:hAnsi="Arial"/>
          <w:sz w:val="22"/>
          <w:szCs w:val="22"/>
          <w:color w:val="auto"/>
        </w:rPr>
        <w:t>Bank have caused the due execution of this Second Note Modification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80"/>
        <w:spacing w:after="0"/>
        <w:rPr>
          <w:sz w:val="20"/>
          <w:szCs w:val="20"/>
          <w:color w:val="auto"/>
        </w:rPr>
      </w:pPr>
      <w:r>
        <w:rPr>
          <w:rFonts w:ascii="Arial" w:cs="Arial" w:eastAsia="Arial" w:hAnsi="Arial"/>
          <w:sz w:val="22"/>
          <w:szCs w:val="22"/>
          <w:b w:val="1"/>
          <w:bCs w:val="1"/>
          <w:u w:val="single" w:color="auto"/>
          <w:color w:val="auto"/>
        </w:rPr>
        <w:t>BORROWER:</w:t>
      </w:r>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SUTTON HILL PROPERTIES, LLC,</w:t>
      </w:r>
    </w:p>
    <w:p>
      <w:pPr>
        <w:spacing w:after="0" w:line="3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 Nevada limited liability</w:t>
      </w:r>
    </w:p>
    <w:p>
      <w:pPr>
        <w:ind w:left="4840"/>
        <w:spacing w:after="0" w:line="219" w:lineRule="auto"/>
        <w:rPr>
          <w:sz w:val="20"/>
          <w:szCs w:val="20"/>
          <w:color w:val="auto"/>
        </w:rPr>
      </w:pPr>
      <w:r>
        <w:rPr>
          <w:rFonts w:ascii="Arial" w:cs="Arial" w:eastAsia="Arial" w:hAnsi="Arial"/>
          <w:sz w:val="22"/>
          <w:szCs w:val="22"/>
          <w:color w:val="auto"/>
        </w:rPr>
        <w:t>company, qualified to do</w:t>
      </w:r>
    </w:p>
    <w:p>
      <w:pPr>
        <w:ind w:left="4840"/>
        <w:spacing w:after="0" w:line="229" w:lineRule="auto"/>
        <w:rPr>
          <w:sz w:val="20"/>
          <w:szCs w:val="20"/>
          <w:color w:val="auto"/>
        </w:rPr>
      </w:pPr>
      <w:r>
        <w:rPr>
          <w:rFonts w:ascii="Arial" w:cs="Arial" w:eastAsia="Arial" w:hAnsi="Arial"/>
          <w:sz w:val="22"/>
          <w:szCs w:val="22"/>
          <w:color w:val="auto"/>
        </w:rPr>
        <w:t>business in New York</w:t>
      </w:r>
    </w:p>
    <w:p>
      <w:pPr>
        <w:spacing w:after="0" w:line="307" w:lineRule="exact"/>
        <w:rPr>
          <w:sz w:val="20"/>
          <w:szCs w:val="20"/>
          <w:color w:val="auto"/>
        </w:rPr>
      </w:pPr>
    </w:p>
    <w:p>
      <w:pPr>
        <w:ind w:left="480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Citadel</w:t>
      </w:r>
    </w:p>
    <w:p>
      <w:pPr>
        <w:ind w:left="5300"/>
        <w:spacing w:after="0" w:line="219" w:lineRule="auto"/>
        <w:rPr>
          <w:sz w:val="20"/>
          <w:szCs w:val="20"/>
          <w:color w:val="auto"/>
        </w:rPr>
      </w:pPr>
      <w:r>
        <w:rPr>
          <w:rFonts w:ascii="Arial" w:cs="Arial" w:eastAsia="Arial" w:hAnsi="Arial"/>
          <w:sz w:val="22"/>
          <w:szCs w:val="22"/>
          <w:color w:val="auto"/>
        </w:rPr>
        <w:t>Cinemas,</w:t>
      </w:r>
    </w:p>
    <w:p>
      <w:pPr>
        <w:ind w:left="5300"/>
        <w:spacing w:after="0" w:line="219" w:lineRule="auto"/>
        <w:tabs>
          <w:tab w:leader="none" w:pos="6200" w:val="left"/>
        </w:tabs>
        <w:rPr>
          <w:sz w:val="20"/>
          <w:szCs w:val="20"/>
          <w:color w:val="auto"/>
        </w:rPr>
      </w:pPr>
      <w:r>
        <w:rPr>
          <w:rFonts w:ascii="Arial" w:cs="Arial" w:eastAsia="Arial" w:hAnsi="Arial"/>
          <w:sz w:val="22"/>
          <w:szCs w:val="22"/>
          <w:color w:val="auto"/>
        </w:rPr>
        <w:t>Inc.,</w:t>
      </w:r>
      <w:r>
        <w:rPr>
          <w:sz w:val="20"/>
          <w:szCs w:val="20"/>
          <w:color w:val="auto"/>
        </w:rPr>
        <w:tab/>
      </w:r>
      <w:r>
        <w:rPr>
          <w:rFonts w:ascii="Arial" w:cs="Arial" w:eastAsia="Arial" w:hAnsi="Arial"/>
          <w:sz w:val="22"/>
          <w:szCs w:val="22"/>
          <w:color w:val="auto"/>
        </w:rPr>
        <w:t>a</w:t>
      </w:r>
    </w:p>
    <w:p>
      <w:pPr>
        <w:ind w:left="5300"/>
        <w:spacing w:after="0" w:line="219" w:lineRule="auto"/>
        <w:rPr>
          <w:sz w:val="20"/>
          <w:szCs w:val="20"/>
          <w:color w:val="auto"/>
        </w:rPr>
      </w:pPr>
      <w:r>
        <w:rPr>
          <w:rFonts w:ascii="Arial" w:cs="Arial" w:eastAsia="Arial" w:hAnsi="Arial"/>
          <w:sz w:val="22"/>
          <w:szCs w:val="22"/>
          <w:color w:val="auto"/>
        </w:rPr>
        <w:t>Nevada</w:t>
      </w:r>
    </w:p>
    <w:p>
      <w:pPr>
        <w:ind w:left="5300"/>
        <w:spacing w:after="0" w:line="219" w:lineRule="auto"/>
        <w:rPr>
          <w:sz w:val="20"/>
          <w:szCs w:val="20"/>
          <w:color w:val="auto"/>
        </w:rPr>
      </w:pPr>
      <w:r>
        <w:rPr>
          <w:rFonts w:ascii="Arial" w:cs="Arial" w:eastAsia="Arial" w:hAnsi="Arial"/>
          <w:sz w:val="22"/>
          <w:szCs w:val="22"/>
          <w:color w:val="auto"/>
        </w:rPr>
        <w:t>corporation,</w:t>
      </w:r>
    </w:p>
    <w:p>
      <w:pPr>
        <w:ind w:left="5300"/>
        <w:spacing w:after="0" w:line="219" w:lineRule="auto"/>
        <w:rPr>
          <w:sz w:val="20"/>
          <w:szCs w:val="20"/>
          <w:color w:val="auto"/>
        </w:rPr>
      </w:pPr>
      <w:r>
        <w:rPr>
          <w:rFonts w:ascii="Arial" w:cs="Arial" w:eastAsia="Arial" w:hAnsi="Arial"/>
          <w:sz w:val="22"/>
          <w:szCs w:val="22"/>
          <w:color w:val="auto"/>
        </w:rPr>
        <w:t>its</w:t>
      </w:r>
    </w:p>
    <w:p>
      <w:pPr>
        <w:ind w:left="5300"/>
        <w:spacing w:after="0" w:line="230" w:lineRule="auto"/>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 Gilbert Avanes</w:t>
      </w:r>
    </w:p>
    <w:p>
      <w:pPr>
        <w:spacing w:after="0" w:line="77" w:lineRule="exact"/>
        <w:rPr>
          <w:sz w:val="20"/>
          <w:szCs w:val="20"/>
          <w:color w:val="auto"/>
        </w:rPr>
      </w:pPr>
    </w:p>
    <w:p>
      <w:pPr>
        <w:jc w:val="center"/>
        <w:ind w:right="-273"/>
        <w:spacing w:after="0"/>
        <w:rPr>
          <w:sz w:val="20"/>
          <w:szCs w:val="20"/>
          <w:color w:val="auto"/>
        </w:rPr>
      </w:pPr>
      <w:r>
        <w:rPr>
          <w:rFonts w:ascii="Arial" w:cs="Arial" w:eastAsia="Arial" w:hAnsi="Arial"/>
          <w:sz w:val="22"/>
          <w:szCs w:val="22"/>
          <w:color w:val="auto"/>
        </w:rPr>
        <w:t>By:</w:t>
      </w:r>
    </w:p>
    <w:p>
      <w:pPr>
        <w:spacing w:after="0" w:line="7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Gilbert Avanes</w:t>
      </w:r>
    </w:p>
    <w:p>
      <w:pPr>
        <w:spacing w:after="0" w:line="8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BANK:</w:t>
      </w: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VALLEY NATIONAL BANK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 Leo Kuba</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Leo Kuba</w:t>
      </w:r>
    </w:p>
    <w:p>
      <w:pPr>
        <w:spacing w:after="0" w:line="7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418465</wp:posOffset>
            </wp:positionV>
            <wp:extent cx="5967730"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026"/>
          </w:cols>
          <w:pgMar w:left="1440" w:top="1440" w:right="1440" w:bottom="0" w:gutter="0" w:footer="0" w:header="0"/>
          <w:type w:val="continuous"/>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026"/>
          </w:cols>
          <w:pgMar w:left="1440" w:top="1440" w:right="1440" w:bottom="0" w:gutter="0" w:footer="0" w:header="0"/>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
        <w:spacing w:after="0"/>
        <w:rPr>
          <w:sz w:val="20"/>
          <w:szCs w:val="20"/>
          <w:color w:val="auto"/>
        </w:rPr>
      </w:pPr>
      <w:r>
        <w:rPr>
          <w:rFonts w:ascii="Arial" w:cs="Arial" w:eastAsia="Arial" w:hAnsi="Arial"/>
          <w:sz w:val="23"/>
          <w:szCs w:val="23"/>
          <w:b w:val="1"/>
          <w:bCs w:val="1"/>
          <w:color w:val="auto"/>
        </w:rPr>
        <w:t>Exhibit A</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3"/>
        <w:spacing w:after="0"/>
        <w:rPr>
          <w:sz w:val="20"/>
          <w:szCs w:val="20"/>
          <w:color w:val="auto"/>
        </w:rPr>
      </w:pPr>
      <w:r>
        <w:rPr>
          <w:rFonts w:ascii="Arial" w:cs="Arial" w:eastAsia="Arial" w:hAnsi="Arial"/>
          <w:sz w:val="24"/>
          <w:szCs w:val="24"/>
          <w:b w:val="1"/>
          <w:bCs w:val="1"/>
          <w:color w:val="auto"/>
        </w:rPr>
        <w:t>[***]</w:t>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026"/>
          </w:cols>
          <w:pgMar w:left="1440" w:top="1440" w:right="1440" w:bottom="0" w:gutter="0" w:footer="0" w:header="0"/>
          <w:type w:val="continuous"/>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434975</wp:posOffset>
            </wp:positionV>
            <wp:extent cx="5967730"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026"/>
          </w:cols>
          <w:pgMar w:left="1440" w:top="1440" w:right="1440" w:bottom="0" w:gutter="0" w:footer="0" w:header="0"/>
          <w:type w:val="continuous"/>
        </w:sectPr>
      </w:pPr>
    </w:p>
    <w:bookmarkStart w:id="285" w:name="page286"/>
    <w:bookmarkEnd w:id="285"/>
    <w:p>
      <w:pPr>
        <w:jc w:val="center"/>
        <w:ind w:right="6"/>
        <w:spacing w:after="0"/>
        <w:rPr>
          <w:sz w:val="20"/>
          <w:szCs w:val="20"/>
          <w:color w:val="auto"/>
        </w:rPr>
      </w:pPr>
      <w:r>
        <w:rPr>
          <w:rFonts w:ascii="Arial" w:cs="Arial" w:eastAsia="Arial" w:hAnsi="Arial"/>
          <w:sz w:val="22"/>
          <w:szCs w:val="22"/>
          <w:b w:val="1"/>
          <w:bCs w:val="1"/>
          <w:color w:val="auto"/>
        </w:rPr>
        <w:t>LIST OF SUBSIDIARIES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795655</wp:posOffset>
                </wp:positionH>
                <wp:positionV relativeFrom="paragraph">
                  <wp:posOffset>231140</wp:posOffset>
                </wp:positionV>
                <wp:extent cx="549148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148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65pt,18.2pt" to="495.05pt,18.2pt" o:allowincell="f" strokecolor="#000000" strokeweight="1.5pt"/>
            </w:pict>
          </mc:Fallback>
        </mc:AlternateContent>
      </w: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5020" w:type="dxa"/>
            <w:vAlign w:val="bottom"/>
            <w:vMerge w:val="restart"/>
          </w:tcPr>
          <w:p>
            <w:pPr>
              <w:spacing w:after="0"/>
              <w:rPr>
                <w:sz w:val="20"/>
                <w:szCs w:val="20"/>
                <w:color w:val="auto"/>
              </w:rPr>
            </w:pPr>
            <w:r>
              <w:rPr>
                <w:rFonts w:ascii="Arial" w:cs="Arial" w:eastAsia="Arial" w:hAnsi="Arial"/>
                <w:sz w:val="22"/>
                <w:szCs w:val="22"/>
                <w:b w:val="1"/>
                <w:bCs w:val="1"/>
                <w:color w:val="auto"/>
              </w:rPr>
              <w:t>Subsidiary</w:t>
            </w:r>
          </w:p>
        </w:tc>
        <w:tc>
          <w:tcPr>
            <w:tcW w:w="2660" w:type="dxa"/>
            <w:vAlign w:val="bottom"/>
          </w:tcPr>
          <w:p>
            <w:pPr>
              <w:ind w:left="1300"/>
              <w:spacing w:after="0"/>
              <w:rPr>
                <w:sz w:val="20"/>
                <w:szCs w:val="20"/>
                <w:color w:val="auto"/>
              </w:rPr>
            </w:pPr>
            <w:r>
              <w:rPr>
                <w:rFonts w:ascii="Arial" w:cs="Arial" w:eastAsia="Arial" w:hAnsi="Arial"/>
                <w:sz w:val="22"/>
                <w:szCs w:val="22"/>
                <w:b w:val="1"/>
                <w:bCs w:val="1"/>
                <w:color w:val="auto"/>
                <w:w w:val="88"/>
              </w:rPr>
              <w:t>Jurisdiction of</w:t>
            </w:r>
          </w:p>
        </w:tc>
        <w:tc>
          <w:tcPr>
            <w:tcW w:w="0" w:type="dxa"/>
            <w:vAlign w:val="bottom"/>
          </w:tcPr>
          <w:p>
            <w:pPr>
              <w:spacing w:after="0"/>
              <w:rPr>
                <w:sz w:val="1"/>
                <w:szCs w:val="1"/>
                <w:color w:val="auto"/>
              </w:rPr>
            </w:pPr>
          </w:p>
        </w:tc>
      </w:tr>
      <w:tr>
        <w:trPr>
          <w:trHeight w:val="132"/>
        </w:trPr>
        <w:tc>
          <w:tcPr>
            <w:tcW w:w="5020" w:type="dxa"/>
            <w:vAlign w:val="bottom"/>
            <w:vMerge w:val="continue"/>
          </w:tcPr>
          <w:p>
            <w:pPr>
              <w:spacing w:after="0"/>
              <w:rPr>
                <w:sz w:val="11"/>
                <w:szCs w:val="11"/>
                <w:color w:val="auto"/>
              </w:rPr>
            </w:pPr>
          </w:p>
        </w:tc>
        <w:tc>
          <w:tcPr>
            <w:tcW w:w="2660" w:type="dxa"/>
            <w:vAlign w:val="bottom"/>
            <w:vMerge w:val="restart"/>
          </w:tcPr>
          <w:p>
            <w:pPr>
              <w:ind w:left="1300"/>
              <w:spacing w:after="0" w:line="242" w:lineRule="exact"/>
              <w:rPr>
                <w:sz w:val="20"/>
                <w:szCs w:val="20"/>
                <w:color w:val="auto"/>
              </w:rPr>
            </w:pPr>
            <w:r>
              <w:rPr>
                <w:rFonts w:ascii="Arial" w:cs="Arial" w:eastAsia="Arial" w:hAnsi="Arial"/>
                <w:sz w:val="22"/>
                <w:szCs w:val="22"/>
                <w:b w:val="1"/>
                <w:bCs w:val="1"/>
                <w:color w:val="auto"/>
                <w:w w:val="94"/>
              </w:rPr>
              <w:t>Incorporation</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1001-1007 3</w:t>
            </w:r>
            <w:r>
              <w:rPr>
                <w:rFonts w:ascii="Arial" w:cs="Arial" w:eastAsia="Arial" w:hAnsi="Arial"/>
                <w:sz w:val="12"/>
                <w:szCs w:val="12"/>
                <w:color w:val="auto"/>
              </w:rPr>
              <w:t>rd</w:t>
            </w:r>
            <w:r>
              <w:rPr>
                <w:rFonts w:ascii="Arial" w:cs="Arial" w:eastAsia="Arial" w:hAnsi="Arial"/>
                <w:sz w:val="22"/>
                <w:szCs w:val="22"/>
                <w:color w:val="auto"/>
              </w:rPr>
              <w:t xml:space="preserve"> Avenue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AHGP, Inc.</w:t>
            </w:r>
          </w:p>
        </w:tc>
        <w:tc>
          <w:tcPr>
            <w:tcW w:w="2660" w:type="dxa"/>
            <w:vAlign w:val="bottom"/>
          </w:tcPr>
          <w:p>
            <w:pPr>
              <w:ind w:left="1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AHLP, Inc.</w:t>
            </w:r>
          </w:p>
        </w:tc>
        <w:tc>
          <w:tcPr>
            <w:tcW w:w="2660" w:type="dxa"/>
            <w:vAlign w:val="bottom"/>
          </w:tcPr>
          <w:p>
            <w:pPr>
              <w:ind w:left="1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Film Centers,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Anywhere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Anywhere Limited</w:t>
            </w:r>
          </w:p>
        </w:tc>
        <w:tc>
          <w:tcPr>
            <w:tcW w:w="2660" w:type="dxa"/>
            <w:vAlign w:val="bottom"/>
          </w:tcPr>
          <w:p>
            <w:pPr>
              <w:ind w:left="1300"/>
              <w:spacing w:after="0"/>
              <w:rPr>
                <w:sz w:val="20"/>
                <w:szCs w:val="20"/>
                <w:color w:val="auto"/>
              </w:rPr>
            </w:pPr>
            <w:r>
              <w:rPr>
                <w:rFonts w:ascii="Arial" w:cs="Arial" w:eastAsia="Arial" w:hAnsi="Arial"/>
                <w:sz w:val="22"/>
                <w:szCs w:val="22"/>
                <w:color w:val="auto"/>
              </w:rPr>
              <w:t>New Zealand</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Anywhere Pty Limited</w:t>
            </w:r>
          </w:p>
        </w:tc>
        <w:tc>
          <w:tcPr>
            <w:tcW w:w="2660" w:type="dxa"/>
            <w:vAlign w:val="bottom"/>
          </w:tcPr>
          <w:p>
            <w:pPr>
              <w:ind w:left="130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Film Center Mosaic,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Film Centers (Dallas), Inc.</w:t>
            </w:r>
          </w:p>
        </w:tc>
        <w:tc>
          <w:tcPr>
            <w:tcW w:w="2660" w:type="dxa"/>
            <w:vAlign w:val="bottom"/>
          </w:tcPr>
          <w:p>
            <w:pPr>
              <w:ind w:left="1300"/>
              <w:spacing w:after="0"/>
              <w:rPr>
                <w:sz w:val="20"/>
                <w:szCs w:val="20"/>
                <w:color w:val="auto"/>
              </w:rPr>
            </w:pPr>
            <w:r>
              <w:rPr>
                <w:rFonts w:ascii="Arial" w:cs="Arial" w:eastAsia="Arial" w:hAnsi="Arial"/>
                <w:sz w:val="22"/>
                <w:szCs w:val="22"/>
                <w:color w:val="auto"/>
              </w:rPr>
              <w:t>Texas</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Film Center Union Market,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Film Centers (Plano) LP</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Plano Beverage LLC</w:t>
            </w:r>
          </w:p>
        </w:tc>
        <w:tc>
          <w:tcPr>
            <w:tcW w:w="2660" w:type="dxa"/>
            <w:vAlign w:val="bottom"/>
          </w:tcPr>
          <w:p>
            <w:pPr>
              <w:ind w:left="1300"/>
              <w:spacing w:after="0"/>
              <w:rPr>
                <w:sz w:val="20"/>
                <w:szCs w:val="20"/>
                <w:color w:val="auto"/>
              </w:rPr>
            </w:pPr>
            <w:r>
              <w:rPr>
                <w:rFonts w:ascii="Arial" w:cs="Arial" w:eastAsia="Arial" w:hAnsi="Arial"/>
                <w:sz w:val="22"/>
                <w:szCs w:val="22"/>
                <w:color w:val="auto"/>
              </w:rPr>
              <w:t>Texas</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Angelika Plano Holdings,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Australia Country Cinemas Pty Limited</w:t>
            </w:r>
          </w:p>
        </w:tc>
        <w:tc>
          <w:tcPr>
            <w:tcW w:w="2660" w:type="dxa"/>
            <w:vAlign w:val="bottom"/>
          </w:tcPr>
          <w:p>
            <w:pPr>
              <w:ind w:left="130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Bayou Cinemas LP</w:t>
            </w:r>
          </w:p>
        </w:tc>
        <w:tc>
          <w:tcPr>
            <w:tcW w:w="2660" w:type="dxa"/>
            <w:vAlign w:val="bottom"/>
          </w:tcPr>
          <w:p>
            <w:pPr>
              <w:ind w:left="1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Bogart Holdings Limited</w:t>
            </w:r>
          </w:p>
        </w:tc>
        <w:tc>
          <w:tcPr>
            <w:tcW w:w="2660" w:type="dxa"/>
            <w:vAlign w:val="bottom"/>
          </w:tcPr>
          <w:p>
            <w:pPr>
              <w:ind w:left="1300"/>
              <w:spacing w:after="0"/>
              <w:rPr>
                <w:sz w:val="20"/>
                <w:szCs w:val="20"/>
                <w:color w:val="auto"/>
              </w:rPr>
            </w:pPr>
            <w:r>
              <w:rPr>
                <w:rFonts w:ascii="Arial" w:cs="Arial" w:eastAsia="Arial" w:hAnsi="Arial"/>
                <w:sz w:val="22"/>
                <w:szCs w:val="22"/>
                <w:color w:val="auto"/>
              </w:rPr>
              <w:t>New Zealand</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Burwood Developments Pty Ltd</w:t>
            </w:r>
          </w:p>
        </w:tc>
        <w:tc>
          <w:tcPr>
            <w:tcW w:w="2660" w:type="dxa"/>
            <w:vAlign w:val="bottom"/>
          </w:tcPr>
          <w:p>
            <w:pPr>
              <w:ind w:left="130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Carmel Theatres,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Citadel Agriculture, Inc.</w:t>
            </w:r>
          </w:p>
        </w:tc>
        <w:tc>
          <w:tcPr>
            <w:tcW w:w="2660" w:type="dxa"/>
            <w:vAlign w:val="bottom"/>
          </w:tcPr>
          <w:p>
            <w:pPr>
              <w:ind w:left="1300"/>
              <w:spacing w:after="0"/>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Citadel Cinemas, Inc.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Citadel Cinema Services,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Citadel Realty, Inc.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City Cinemas,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Consolidated Amusement Holdings,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Consolidated Cinema Services,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Consolidated Cinemas Kapolei,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Consolidated Entertainment, Inc.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0"/>
                <w:szCs w:val="20"/>
                <w:color w:val="auto"/>
              </w:rPr>
            </w:pPr>
            <w:r>
              <w:rPr>
                <w:rFonts w:ascii="Arial" w:cs="Arial" w:eastAsia="Arial" w:hAnsi="Arial"/>
                <w:sz w:val="22"/>
                <w:szCs w:val="22"/>
                <w:color w:val="auto"/>
              </w:rPr>
              <w:t>Consolidated Entertainment, LLC</w:t>
            </w:r>
          </w:p>
        </w:tc>
        <w:tc>
          <w:tcPr>
            <w:tcW w:w="2660" w:type="dxa"/>
            <w:vAlign w:val="bottom"/>
          </w:tcPr>
          <w:p>
            <w:pPr>
              <w:ind w:left="130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6"/>
          </w:cols>
          <w:pgMar w:left="1440" w:top="12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026"/>
          </w:cols>
          <w:pgMar w:left="1440" w:top="1231" w:right="1440" w:bottom="0" w:gutter="0" w:footer="0" w:header="0"/>
          <w:type w:val="continuous"/>
        </w:sectPr>
      </w:pPr>
    </w:p>
    <w:bookmarkStart w:id="286" w:name="page287"/>
    <w:bookmarkEnd w:id="286"/>
    <w:p>
      <w:pPr>
        <w:ind w:left="1260"/>
        <w:spacing w:after="0"/>
        <w:tabs>
          <w:tab w:leader="none" w:pos="7560" w:val="left"/>
        </w:tabs>
        <w:rPr>
          <w:sz w:val="20"/>
          <w:szCs w:val="20"/>
          <w:color w:val="auto"/>
        </w:rPr>
      </w:pPr>
      <w:r>
        <w:rPr>
          <w:rFonts w:ascii="Arial" w:cs="Arial" w:eastAsia="Arial" w:hAnsi="Arial"/>
          <w:sz w:val="22"/>
          <w:szCs w:val="22"/>
          <w:color w:val="auto"/>
        </w:rPr>
        <w:t>Courtenay Car Park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Craig Corporation</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Darnelle Enterprises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Dimension Speciality Company, Inc.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Epping Cinemas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Gaslamp Theatres,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Hope Street Hospitality,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Hotel Newmarket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Kaahumanu Cinemas,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Kahala Cinema Company,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KMA Cinemas,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Landplan Property Partners Manukau Trust</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Landplan Property Partners Discretionary Trust</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Liberty Live,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Liberty Theaters,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Liberty Theatricals,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Liberty Theatres Properties,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Minetta Live,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Movieland Cinemas (NZ)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New Zealand Equipment Supply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Newmarket Properties #3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Newmarket Properties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Orpheum Live,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Queenstown Land Holdings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RCPA LLC (fka Reading Company)</w:t>
      </w:r>
      <w:r>
        <w:rPr>
          <w:sz w:val="20"/>
          <w:szCs w:val="20"/>
          <w:color w:val="auto"/>
        </w:rPr>
        <w:tab/>
      </w:r>
      <w:r>
        <w:rPr>
          <w:rFonts w:ascii="Arial" w:cs="Arial" w:eastAsia="Arial" w:hAnsi="Arial"/>
          <w:sz w:val="19"/>
          <w:szCs w:val="19"/>
          <w:color w:val="auto"/>
        </w:rPr>
        <w:t>Pennsylvania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RDI Employee Investment Fund LLC</w:t>
      </w:r>
      <w:r>
        <w:rPr>
          <w:sz w:val="20"/>
          <w:szCs w:val="20"/>
          <w:color w:val="auto"/>
        </w:rPr>
        <w:tab/>
      </w:r>
      <w:r>
        <w:rPr>
          <w:rFonts w:ascii="Arial" w:cs="Arial" w:eastAsia="Arial" w:hAnsi="Arial"/>
          <w:sz w:val="21"/>
          <w:szCs w:val="21"/>
          <w:color w:val="auto"/>
        </w:rPr>
        <w:t>California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Altona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Arthouse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Armadale Pty Ltd (fka Reading Australia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Auburn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Belmont Pty Limited</w:t>
      </w:r>
      <w:r>
        <w:rPr>
          <w:sz w:val="20"/>
          <w:szCs w:val="20"/>
          <w:color w:val="auto"/>
        </w:rPr>
        <w:tab/>
      </w:r>
      <w:r>
        <w:rPr>
          <w:rFonts w:ascii="Arial" w:cs="Arial" w:eastAsia="Arial" w:hAnsi="Arial"/>
          <w:sz w:val="20"/>
          <w:szCs w:val="20"/>
          <w:color w:val="auto"/>
        </w:rPr>
        <w:t>Australia</w:t>
      </w:r>
    </w:p>
    <w:p>
      <w:pPr>
        <w:sectPr>
          <w:pgSz w:w="11900" w:h="16838" w:orient="portrait"/>
          <w:cols w:equalWidth="0" w:num="1">
            <w:col w:w="9026"/>
          </w:cols>
          <w:pgMar w:left="1440" w:top="12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026"/>
          </w:cols>
          <w:pgMar w:left="1440" w:top="1231" w:right="1440" w:bottom="0" w:gutter="0" w:footer="0" w:header="0"/>
          <w:type w:val="continuous"/>
        </w:sectPr>
      </w:pPr>
    </w:p>
    <w:bookmarkStart w:id="287" w:name="page288"/>
    <w:bookmarkEnd w:id="287"/>
    <w:tbl>
      <w:tblPr>
        <w:tblLayout w:type="fixed"/>
        <w:tblInd w:w="1260" w:type="dxa"/>
        <w:tblCellMar>
          <w:top w:w="0" w:type="dxa"/>
          <w:left w:w="0" w:type="dxa"/>
          <w:bottom w:w="0" w:type="dxa"/>
          <w:right w:w="0" w:type="dxa"/>
        </w:tblCellMar>
      </w:tblPr>
      <w:tr>
        <w:trPr>
          <w:trHeight w:val="253"/>
        </w:trPr>
        <w:tc>
          <w:tcPr>
            <w:tcW w:w="6160" w:type="dxa"/>
            <w:vAlign w:val="bottom"/>
          </w:tcPr>
          <w:p>
            <w:pPr>
              <w:spacing w:after="0"/>
              <w:rPr>
                <w:sz w:val="20"/>
                <w:szCs w:val="20"/>
                <w:color w:val="auto"/>
              </w:rPr>
            </w:pPr>
            <w:r>
              <w:rPr>
                <w:rFonts w:ascii="Arial" w:cs="Arial" w:eastAsia="Arial" w:hAnsi="Arial"/>
                <w:sz w:val="22"/>
                <w:szCs w:val="22"/>
                <w:color w:val="auto"/>
              </w:rPr>
              <w:t>Reading Beverages (California) LLC</w:t>
            </w:r>
          </w:p>
        </w:tc>
        <w:tc>
          <w:tcPr>
            <w:tcW w:w="1340" w:type="dxa"/>
            <w:vAlign w:val="bottom"/>
          </w:tcPr>
          <w:p>
            <w:pPr>
              <w:ind w:left="16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Bundaberg 2012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Burwood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Busselton Pty Ltd (fka A.C.N 143 633 096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Cannon Park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Capital Corporation</w:t>
            </w:r>
          </w:p>
        </w:tc>
        <w:tc>
          <w:tcPr>
            <w:tcW w:w="1340" w:type="dxa"/>
            <w:vAlign w:val="bottom"/>
          </w:tcPr>
          <w:p>
            <w:pPr>
              <w:ind w:left="16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Center Development Corporation</w:t>
            </w:r>
          </w:p>
        </w:tc>
        <w:tc>
          <w:tcPr>
            <w:tcW w:w="1340" w:type="dxa"/>
            <w:vAlign w:val="bottom"/>
          </w:tcPr>
          <w:p>
            <w:pPr>
              <w:ind w:left="160"/>
              <w:spacing w:after="0"/>
              <w:rPr>
                <w:sz w:val="20"/>
                <w:szCs w:val="20"/>
                <w:color w:val="auto"/>
              </w:rPr>
            </w:pPr>
            <w:r>
              <w:rPr>
                <w:rFonts w:ascii="Arial" w:cs="Arial" w:eastAsia="Arial" w:hAnsi="Arial"/>
                <w:sz w:val="22"/>
                <w:szCs w:val="22"/>
                <w:color w:val="auto"/>
                <w:w w:val="88"/>
              </w:rPr>
              <w:t>Pennsylvania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Charlestown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38"/>
        </w:trPr>
        <w:tc>
          <w:tcPr>
            <w:tcW w:w="6160" w:type="dxa"/>
            <w:vAlign w:val="bottom"/>
          </w:tcPr>
          <w:p>
            <w:pPr>
              <w:spacing w:after="0"/>
              <w:rPr>
                <w:sz w:val="20"/>
                <w:szCs w:val="20"/>
                <w:color w:val="auto"/>
              </w:rPr>
            </w:pPr>
            <w:r>
              <w:rPr>
                <w:rFonts w:ascii="Arial" w:cs="Arial" w:eastAsia="Arial" w:hAnsi="Arial"/>
                <w:sz w:val="22"/>
                <w:szCs w:val="22"/>
                <w:color w:val="auto"/>
              </w:rPr>
              <w:t>Reading Cinemas Asset Management Pty Ltd (fka Australian</w:t>
            </w:r>
          </w:p>
        </w:tc>
        <w:tc>
          <w:tcPr>
            <w:tcW w:w="1340" w:type="dxa"/>
            <w:vAlign w:val="bottom"/>
            <w:vMerge w:val="restart"/>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132"/>
        </w:trPr>
        <w:tc>
          <w:tcPr>
            <w:tcW w:w="6160" w:type="dxa"/>
            <w:vAlign w:val="bottom"/>
            <w:vMerge w:val="restart"/>
          </w:tcPr>
          <w:p>
            <w:pPr>
              <w:spacing w:after="0" w:line="242" w:lineRule="exact"/>
              <w:rPr>
                <w:sz w:val="20"/>
                <w:szCs w:val="20"/>
                <w:color w:val="auto"/>
              </w:rPr>
            </w:pPr>
            <w:r>
              <w:rPr>
                <w:rFonts w:ascii="Arial" w:cs="Arial" w:eastAsia="Arial" w:hAnsi="Arial"/>
                <w:sz w:val="22"/>
                <w:szCs w:val="22"/>
                <w:color w:val="auto"/>
              </w:rPr>
              <w:t>Equipment Supply Pty Limited)</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6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w w:val="94"/>
              </w:rPr>
              <w:t>Reading Cinemas Auburn Pty Ltd (fka Reading Alphington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Courtenay Central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Dunedin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Management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Management, LLC</w:t>
            </w:r>
          </w:p>
        </w:tc>
        <w:tc>
          <w:tcPr>
            <w:tcW w:w="1340" w:type="dxa"/>
            <w:vAlign w:val="bottom"/>
          </w:tcPr>
          <w:p>
            <w:pPr>
              <w:ind w:left="16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85"/>
        </w:trPr>
        <w:tc>
          <w:tcPr>
            <w:tcW w:w="6160" w:type="dxa"/>
            <w:vAlign w:val="bottom"/>
          </w:tcPr>
          <w:p>
            <w:pPr>
              <w:spacing w:after="0"/>
              <w:rPr>
                <w:sz w:val="20"/>
                <w:szCs w:val="20"/>
                <w:color w:val="auto"/>
              </w:rPr>
            </w:pPr>
            <w:r>
              <w:rPr>
                <w:rFonts w:ascii="Arial" w:cs="Arial" w:eastAsia="Arial" w:hAnsi="Arial"/>
                <w:sz w:val="22"/>
                <w:szCs w:val="22"/>
                <w:color w:val="auto"/>
              </w:rPr>
              <w:t>Reading Cinemas New Zealand Trust</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510"/>
        </w:trPr>
        <w:tc>
          <w:tcPr>
            <w:tcW w:w="6160" w:type="dxa"/>
            <w:vAlign w:val="bottom"/>
          </w:tcPr>
          <w:p>
            <w:pPr>
              <w:spacing w:after="0"/>
              <w:rPr>
                <w:sz w:val="20"/>
                <w:szCs w:val="20"/>
                <w:color w:val="auto"/>
              </w:rPr>
            </w:pPr>
            <w:r>
              <w:rPr>
                <w:rFonts w:ascii="Arial" w:cs="Arial" w:eastAsia="Arial" w:hAnsi="Arial"/>
                <w:sz w:val="22"/>
                <w:szCs w:val="22"/>
                <w:color w:val="auto"/>
              </w:rPr>
              <w:t>Reading Cinemas New Zealand Trustee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570"/>
        </w:trPr>
        <w:tc>
          <w:tcPr>
            <w:tcW w:w="6160" w:type="dxa"/>
            <w:vAlign w:val="bottom"/>
          </w:tcPr>
          <w:p>
            <w:pPr>
              <w:spacing w:after="0"/>
              <w:rPr>
                <w:sz w:val="20"/>
                <w:szCs w:val="20"/>
                <w:color w:val="auto"/>
              </w:rPr>
            </w:pPr>
            <w:r>
              <w:rPr>
                <w:rFonts w:ascii="Arial" w:cs="Arial" w:eastAsia="Arial" w:hAnsi="Arial"/>
                <w:sz w:val="22"/>
                <w:szCs w:val="22"/>
                <w:color w:val="auto"/>
              </w:rPr>
              <w:t>Reading Cinemas NJ, Inc.</w:t>
            </w:r>
          </w:p>
        </w:tc>
        <w:tc>
          <w:tcPr>
            <w:tcW w:w="1340" w:type="dxa"/>
            <w:vAlign w:val="bottom"/>
          </w:tcPr>
          <w:p>
            <w:pPr>
              <w:ind w:left="16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5"/>
        </w:trPr>
        <w:tc>
          <w:tcPr>
            <w:tcW w:w="6160" w:type="dxa"/>
            <w:vAlign w:val="bottom"/>
          </w:tcPr>
          <w:p>
            <w:pPr>
              <w:spacing w:after="0"/>
              <w:rPr>
                <w:sz w:val="20"/>
                <w:szCs w:val="20"/>
                <w:color w:val="auto"/>
              </w:rPr>
            </w:pPr>
            <w:r>
              <w:rPr>
                <w:rFonts w:ascii="Arial" w:cs="Arial" w:eastAsia="Arial" w:hAnsi="Arial"/>
                <w:sz w:val="22"/>
                <w:szCs w:val="22"/>
                <w:color w:val="auto"/>
              </w:rPr>
              <w:t>Reading Cinemas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Puerto Rico LLC</w:t>
            </w:r>
          </w:p>
        </w:tc>
        <w:tc>
          <w:tcPr>
            <w:tcW w:w="1340" w:type="dxa"/>
            <w:vAlign w:val="bottom"/>
          </w:tcPr>
          <w:p>
            <w:pPr>
              <w:ind w:left="16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Cinemas USA LLC</w:t>
            </w:r>
          </w:p>
        </w:tc>
        <w:tc>
          <w:tcPr>
            <w:tcW w:w="1340" w:type="dxa"/>
            <w:vAlign w:val="bottom"/>
          </w:tcPr>
          <w:p>
            <w:pPr>
              <w:ind w:left="16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Consolidated Holdings, Inc.</w:t>
            </w:r>
          </w:p>
        </w:tc>
        <w:tc>
          <w:tcPr>
            <w:tcW w:w="1340" w:type="dxa"/>
            <w:vAlign w:val="bottom"/>
          </w:tcPr>
          <w:p>
            <w:pPr>
              <w:ind w:left="160"/>
              <w:spacing w:after="0"/>
              <w:rPr>
                <w:sz w:val="20"/>
                <w:szCs w:val="20"/>
                <w:color w:val="auto"/>
              </w:rPr>
            </w:pPr>
            <w:r>
              <w:rPr>
                <w:rFonts w:ascii="Arial" w:cs="Arial" w:eastAsia="Arial" w:hAnsi="Arial"/>
                <w:sz w:val="22"/>
                <w:szCs w:val="22"/>
                <w:color w:val="auto"/>
              </w:rPr>
              <w:t>Nevada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Consolidated Holdings (Hawaii), Inc.</w:t>
            </w:r>
          </w:p>
        </w:tc>
        <w:tc>
          <w:tcPr>
            <w:tcW w:w="1340" w:type="dxa"/>
            <w:vAlign w:val="bottom"/>
          </w:tcPr>
          <w:p>
            <w:pPr>
              <w:ind w:left="160"/>
              <w:spacing w:after="0"/>
              <w:rPr>
                <w:sz w:val="20"/>
                <w:szCs w:val="20"/>
                <w:color w:val="auto"/>
              </w:rPr>
            </w:pPr>
            <w:r>
              <w:rPr>
                <w:rFonts w:ascii="Arial" w:cs="Arial" w:eastAsia="Arial" w:hAnsi="Arial"/>
                <w:sz w:val="22"/>
                <w:szCs w:val="22"/>
                <w:color w:val="auto"/>
              </w:rPr>
              <w:t>Hawaii</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Courtenay Central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Dandenong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Devonport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Dunedin Limited</w:t>
            </w:r>
          </w:p>
        </w:tc>
        <w:tc>
          <w:tcPr>
            <w:tcW w:w="1340" w:type="dxa"/>
            <w:vAlign w:val="bottom"/>
          </w:tcPr>
          <w:p>
            <w:pPr>
              <w:ind w:left="160"/>
              <w:spacing w:after="0"/>
              <w:rPr>
                <w:sz w:val="20"/>
                <w:szCs w:val="20"/>
                <w:color w:val="auto"/>
              </w:rPr>
            </w:pPr>
            <w:r>
              <w:rPr>
                <w:rFonts w:ascii="Arial" w:cs="Arial" w:eastAsia="Arial" w:hAnsi="Arial"/>
                <w:sz w:val="22"/>
                <w:szCs w:val="22"/>
                <w:color w:val="auto"/>
                <w:w w:val="89"/>
              </w:rPr>
              <w:t>New Zealand</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Elizabeth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Entertainment Australia Pty Limited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460"/>
        </w:trPr>
        <w:tc>
          <w:tcPr>
            <w:tcW w:w="6160" w:type="dxa"/>
            <w:vAlign w:val="bottom"/>
          </w:tcPr>
          <w:p>
            <w:pPr>
              <w:spacing w:after="0"/>
              <w:rPr>
                <w:sz w:val="20"/>
                <w:szCs w:val="20"/>
                <w:color w:val="auto"/>
              </w:rPr>
            </w:pPr>
            <w:r>
              <w:rPr>
                <w:rFonts w:ascii="Arial" w:cs="Arial" w:eastAsia="Arial" w:hAnsi="Arial"/>
                <w:sz w:val="22"/>
                <w:szCs w:val="22"/>
                <w:color w:val="auto"/>
              </w:rPr>
              <w:t>Reading Exhibition Pty Ltd</w:t>
            </w:r>
          </w:p>
        </w:tc>
        <w:tc>
          <w:tcPr>
            <w:tcW w:w="1340" w:type="dxa"/>
            <w:vAlign w:val="bottom"/>
          </w:tcPr>
          <w:p>
            <w:pPr>
              <w:ind w:left="160"/>
              <w:spacing w:after="0"/>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6"/>
          </w:cols>
          <w:pgMar w:left="1440" w:top="12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026"/>
          </w:cols>
          <w:pgMar w:left="1440" w:top="1231" w:right="1440" w:bottom="0" w:gutter="0" w:footer="0" w:header="0"/>
          <w:type w:val="continuous"/>
        </w:sectPr>
      </w:pPr>
    </w:p>
    <w:bookmarkStart w:id="288" w:name="page289"/>
    <w:bookmarkEnd w:id="288"/>
    <w:p>
      <w:pPr>
        <w:ind w:left="1260"/>
        <w:spacing w:after="0"/>
        <w:tabs>
          <w:tab w:leader="none" w:pos="7560" w:val="left"/>
        </w:tabs>
        <w:rPr>
          <w:sz w:val="20"/>
          <w:szCs w:val="20"/>
          <w:color w:val="auto"/>
        </w:rPr>
      </w:pPr>
      <w:r>
        <w:rPr>
          <w:rFonts w:ascii="Arial" w:cs="Arial" w:eastAsia="Arial" w:hAnsi="Arial"/>
          <w:sz w:val="22"/>
          <w:szCs w:val="22"/>
          <w:color w:val="auto"/>
        </w:rPr>
        <w:t>Reading Food Services,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Holdings, Inc.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International,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International Cinemas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International Services Company</w:t>
      </w:r>
      <w:r>
        <w:rPr>
          <w:sz w:val="20"/>
          <w:szCs w:val="20"/>
          <w:color w:val="auto"/>
        </w:rPr>
        <w:tab/>
      </w:r>
      <w:r>
        <w:rPr>
          <w:rFonts w:ascii="Arial" w:cs="Arial" w:eastAsia="Arial" w:hAnsi="Arial"/>
          <w:sz w:val="21"/>
          <w:szCs w:val="21"/>
          <w:color w:val="auto"/>
        </w:rPr>
        <w:t>California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IP,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Jindalee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Licences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Maitland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Melton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Murrieta Theater,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Napier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New Lynn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New Zealand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Noosa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Pacific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Productions,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Properties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Properties Indooroopilly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Properties Manukau Limited (Trustee)</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Properties New Zealand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Property Partners No. 1 Discretionary</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Properties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Property Holdings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Queenstown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RREC LLC (Reading Real Estate Company)</w:t>
      </w:r>
      <w:r>
        <w:rPr>
          <w:sz w:val="20"/>
          <w:szCs w:val="20"/>
          <w:color w:val="auto"/>
        </w:rPr>
        <w:tab/>
      </w:r>
      <w:r>
        <w:rPr>
          <w:rFonts w:ascii="Arial" w:cs="Arial" w:eastAsia="Arial" w:hAnsi="Arial"/>
          <w:sz w:val="19"/>
          <w:szCs w:val="19"/>
          <w:color w:val="auto"/>
        </w:rPr>
        <w:t>Pennsylvania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Rouse Hill Pty Limited</w:t>
      </w:r>
      <w:r>
        <w:rPr>
          <w:sz w:val="20"/>
          <w:szCs w:val="20"/>
          <w:color w:val="auto"/>
        </w:rPr>
        <w:tab/>
      </w:r>
      <w:r>
        <w:rPr>
          <w:rFonts w:ascii="Arial" w:cs="Arial" w:eastAsia="Arial" w:hAnsi="Arial"/>
          <w:sz w:val="20"/>
          <w:szCs w:val="20"/>
          <w:color w:val="auto"/>
        </w:rPr>
        <w:t>Australia</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Reading Rotorua Limited (fka Sails Apartments Management Limited) New Zealand</w:t>
      </w:r>
    </w:p>
    <w:p>
      <w:pPr>
        <w:spacing w:after="0" w:line="219"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Royal George,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South City Square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Sunbury Pty Limited</w:t>
      </w:r>
      <w:r>
        <w:rPr>
          <w:sz w:val="20"/>
          <w:szCs w:val="20"/>
          <w:color w:val="auto"/>
        </w:rPr>
        <w:tab/>
      </w:r>
      <w:r>
        <w:rPr>
          <w:rFonts w:ascii="Arial" w:cs="Arial" w:eastAsia="Arial" w:hAnsi="Arial"/>
          <w:sz w:val="20"/>
          <w:szCs w:val="20"/>
          <w:color w:val="auto"/>
        </w:rPr>
        <w:t>Australia</w:t>
      </w:r>
    </w:p>
    <w:p>
      <w:pPr>
        <w:sectPr>
          <w:pgSz w:w="11900" w:h="16838" w:orient="portrait"/>
          <w:cols w:equalWidth="0" w:num="1">
            <w:col w:w="9026"/>
          </w:cols>
          <w:pgMar w:left="1440" w:top="12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026"/>
          </w:cols>
          <w:pgMar w:left="1440" w:top="1231" w:right="1440" w:bottom="0" w:gutter="0" w:footer="0" w:header="0"/>
          <w:type w:val="continuous"/>
        </w:sectPr>
      </w:pPr>
    </w:p>
    <w:bookmarkStart w:id="289" w:name="page290"/>
    <w:bookmarkEnd w:id="289"/>
    <w:p>
      <w:pPr>
        <w:ind w:left="1260"/>
        <w:spacing w:after="0"/>
        <w:tabs>
          <w:tab w:leader="none" w:pos="7560" w:val="left"/>
        </w:tabs>
        <w:rPr>
          <w:sz w:val="20"/>
          <w:szCs w:val="20"/>
          <w:color w:val="auto"/>
        </w:rPr>
      </w:pPr>
      <w:r>
        <w:rPr>
          <w:rFonts w:ascii="Arial" w:cs="Arial" w:eastAsia="Arial" w:hAnsi="Arial"/>
          <w:sz w:val="22"/>
          <w:szCs w:val="22"/>
          <w:color w:val="auto"/>
        </w:rPr>
        <w:t>Reading Tammany Mezz,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Tammany Owner,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Theaters, Inc.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Townsville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Traralgon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Reading Wellington Properties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Rhodes Peninsula Cinema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Rialto Cinemas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Rialto Entertainment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Ronwood Investments Limited</w:t>
      </w:r>
      <w:r>
        <w:rPr>
          <w:sz w:val="20"/>
          <w:szCs w:val="20"/>
          <w:color w:val="auto"/>
        </w:rPr>
        <w:tab/>
      </w:r>
      <w:r>
        <w:rPr>
          <w:rFonts w:ascii="Arial" w:cs="Arial" w:eastAsia="Arial" w:hAnsi="Arial"/>
          <w:sz w:val="20"/>
          <w:szCs w:val="20"/>
          <w:color w:val="auto"/>
        </w:rPr>
        <w:t>New Zealand</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Rydal Equipment Co.</w:t>
      </w:r>
      <w:r>
        <w:rPr>
          <w:sz w:val="20"/>
          <w:szCs w:val="20"/>
          <w:color w:val="auto"/>
        </w:rPr>
        <w:tab/>
      </w:r>
      <w:r>
        <w:rPr>
          <w:rFonts w:ascii="Arial" w:cs="Arial" w:eastAsia="Arial" w:hAnsi="Arial"/>
          <w:sz w:val="19"/>
          <w:szCs w:val="19"/>
          <w:color w:val="auto"/>
        </w:rPr>
        <w:t>Pennsylvania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 Note Liquidation Company,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SHA Acquisition 1,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SHA Acquisition 2,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Shadow View Land and Farming,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State Cinema Hobart Pty Ltd (fka Reading Colac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Sutton Hill Associates, LLC (a General Partnership)</w:t>
      </w:r>
      <w:r>
        <w:rPr>
          <w:sz w:val="20"/>
          <w:szCs w:val="20"/>
          <w:color w:val="auto"/>
        </w:rPr>
        <w:tab/>
      </w:r>
      <w:r>
        <w:rPr>
          <w:rFonts w:ascii="Arial" w:cs="Arial" w:eastAsia="Arial" w:hAnsi="Arial"/>
          <w:sz w:val="21"/>
          <w:szCs w:val="21"/>
          <w:color w:val="auto"/>
        </w:rPr>
        <w:t>California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Sutton Hill Capital, LLC</w:t>
      </w:r>
      <w:r>
        <w:rPr>
          <w:sz w:val="20"/>
          <w:szCs w:val="20"/>
          <w:color w:val="auto"/>
        </w:rPr>
        <w:tab/>
      </w:r>
      <w:r>
        <w:rPr>
          <w:rFonts w:ascii="Arial" w:cs="Arial" w:eastAsia="Arial" w:hAnsi="Arial"/>
          <w:sz w:val="20"/>
          <w:szCs w:val="20"/>
          <w:color w:val="auto"/>
        </w:rPr>
        <w:t>New York</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Sutton Hill Properties,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The Theatre At Legacy L.P.</w:t>
      </w:r>
      <w:r>
        <w:rPr>
          <w:sz w:val="20"/>
          <w:szCs w:val="20"/>
          <w:color w:val="auto"/>
        </w:rPr>
        <w:tab/>
      </w:r>
      <w:r>
        <w:rPr>
          <w:rFonts w:ascii="Arial" w:cs="Arial" w:eastAsia="Arial" w:hAnsi="Arial"/>
          <w:sz w:val="18"/>
          <w:szCs w:val="18"/>
          <w:color w:val="auto"/>
        </w:rPr>
        <w:t>Texas</w:t>
      </w:r>
    </w:p>
    <w:p>
      <w:pPr>
        <w:spacing w:after="0" w:line="207" w:lineRule="exact"/>
        <w:rPr>
          <w:sz w:val="20"/>
          <w:szCs w:val="20"/>
          <w:color w:val="auto"/>
        </w:rPr>
      </w:pPr>
    </w:p>
    <w:p>
      <w:pPr>
        <w:ind w:left="7580"/>
        <w:spacing w:after="0"/>
        <w:rPr>
          <w:sz w:val="20"/>
          <w:szCs w:val="20"/>
          <w:color w:val="auto"/>
        </w:rPr>
      </w:pPr>
      <w:r>
        <w:rPr>
          <w:rFonts w:ascii="Arial" w:cs="Arial" w:eastAsia="Arial" w:hAnsi="Arial"/>
          <w:sz w:val="22"/>
          <w:szCs w:val="22"/>
          <w:color w:val="auto"/>
        </w:rPr>
        <w:t>New York</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Trans-Pacific Finance Fund I, LLC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Trenton-Princeton Traction Company</w:t>
      </w:r>
      <w:r>
        <w:rPr>
          <w:sz w:val="20"/>
          <w:szCs w:val="20"/>
          <w:color w:val="auto"/>
        </w:rPr>
        <w:tab/>
      </w:r>
      <w:r>
        <w:rPr>
          <w:rFonts w:ascii="Arial" w:cs="Arial" w:eastAsia="Arial" w:hAnsi="Arial"/>
          <w:sz w:val="19"/>
          <w:szCs w:val="19"/>
          <w:color w:val="auto"/>
        </w:rPr>
        <w:t>New Jersey</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Twin Cities Cinemas, Inc.</w:t>
      </w:r>
      <w:r>
        <w:rPr>
          <w:sz w:val="20"/>
          <w:szCs w:val="20"/>
          <w:color w:val="auto"/>
        </w:rPr>
        <w:tab/>
      </w:r>
      <w:r>
        <w:rPr>
          <w:rFonts w:ascii="Arial" w:cs="Arial" w:eastAsia="Arial" w:hAnsi="Arial"/>
          <w:sz w:val="19"/>
          <w:szCs w:val="19"/>
          <w:color w:val="auto"/>
        </w:rPr>
        <w:t>Delaware</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US Development, LLC</w:t>
      </w:r>
      <w:r>
        <w:rPr>
          <w:sz w:val="20"/>
          <w:szCs w:val="20"/>
          <w:color w:val="auto"/>
        </w:rPr>
        <w:tab/>
      </w:r>
      <w:r>
        <w:rPr>
          <w:rFonts w:ascii="Arial" w:cs="Arial" w:eastAsia="Arial" w:hAnsi="Arial"/>
          <w:sz w:val="19"/>
          <w:szCs w:val="19"/>
          <w:color w:val="auto"/>
        </w:rPr>
        <w:t>Nevada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US International Property Finance Pty Ltd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Washington and Franklin Railway Company</w:t>
      </w:r>
      <w:r>
        <w:rPr>
          <w:sz w:val="20"/>
          <w:szCs w:val="20"/>
          <w:color w:val="auto"/>
        </w:rPr>
        <w:tab/>
      </w:r>
      <w:r>
        <w:rPr>
          <w:rFonts w:ascii="Arial" w:cs="Arial" w:eastAsia="Arial" w:hAnsi="Arial"/>
          <w:sz w:val="19"/>
          <w:szCs w:val="19"/>
          <w:color w:val="auto"/>
        </w:rPr>
        <w:t>Pennsylvania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Westlakes Cinema Pty Limited</w:t>
      </w:r>
      <w:r>
        <w:rPr>
          <w:sz w:val="20"/>
          <w:szCs w:val="20"/>
          <w:color w:val="auto"/>
        </w:rPr>
        <w:tab/>
      </w:r>
      <w:r>
        <w:rPr>
          <w:rFonts w:ascii="Arial" w:cs="Arial" w:eastAsia="Arial" w:hAnsi="Arial"/>
          <w:sz w:val="20"/>
          <w:szCs w:val="20"/>
          <w:color w:val="auto"/>
        </w:rPr>
        <w:t>Australia</w:t>
      </w:r>
    </w:p>
    <w:p>
      <w:pPr>
        <w:spacing w:after="0" w:line="207" w:lineRule="exact"/>
        <w:rPr>
          <w:sz w:val="20"/>
          <w:szCs w:val="20"/>
          <w:color w:val="auto"/>
        </w:rPr>
      </w:pPr>
    </w:p>
    <w:p>
      <w:pPr>
        <w:ind w:left="1260"/>
        <w:spacing w:after="0"/>
        <w:tabs>
          <w:tab w:leader="none" w:pos="7560" w:val="left"/>
        </w:tabs>
        <w:rPr>
          <w:sz w:val="20"/>
          <w:szCs w:val="20"/>
          <w:color w:val="auto"/>
        </w:rPr>
      </w:pPr>
      <w:r>
        <w:rPr>
          <w:rFonts w:ascii="Arial" w:cs="Arial" w:eastAsia="Arial" w:hAnsi="Arial"/>
          <w:sz w:val="22"/>
          <w:szCs w:val="22"/>
          <w:color w:val="auto"/>
        </w:rPr>
        <w:t>Wilmington and Northern Railroad Company</w:t>
      </w:r>
      <w:r>
        <w:rPr>
          <w:sz w:val="20"/>
          <w:szCs w:val="20"/>
          <w:color w:val="auto"/>
        </w:rPr>
        <w:tab/>
      </w:r>
      <w:r>
        <w:rPr>
          <w:rFonts w:ascii="Arial" w:cs="Arial" w:eastAsia="Arial" w:hAnsi="Arial"/>
          <w:sz w:val="19"/>
          <w:szCs w:val="19"/>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590550</wp:posOffset>
            </wp:positionV>
            <wp:extent cx="4138930"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2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9026"/>
          </w:cols>
          <w:pgMar w:left="1440" w:top="1231" w:right="1440" w:bottom="0" w:gutter="0" w:footer="0" w:header="0"/>
          <w:type w:val="continuous"/>
        </w:sectPr>
      </w:pPr>
    </w:p>
    <w:bookmarkStart w:id="290" w:name="page291"/>
    <w:bookmarkEnd w:id="290"/>
    <w:p>
      <w:pPr>
        <w:spacing w:after="0" w:line="372"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CONSENT OF INDEPENDENT REGISTERED PUBLIC ACCOUNTING</w:t>
      </w:r>
    </w:p>
    <w:p>
      <w:pPr>
        <w:jc w:val="center"/>
        <w:ind w:right="-13"/>
        <w:spacing w:after="0" w:line="232" w:lineRule="auto"/>
        <w:rPr>
          <w:sz w:val="20"/>
          <w:szCs w:val="20"/>
          <w:color w:val="auto"/>
        </w:rPr>
      </w:pPr>
      <w:r>
        <w:rPr>
          <w:rFonts w:ascii="Arial" w:cs="Arial" w:eastAsia="Arial" w:hAnsi="Arial"/>
          <w:sz w:val="20"/>
          <w:szCs w:val="20"/>
          <w:b w:val="1"/>
          <w:bCs w:val="1"/>
          <w:color w:val="auto"/>
        </w:rPr>
        <w:t>FIRM</w:t>
      </w:r>
    </w:p>
    <w:p>
      <w:pPr>
        <w:spacing w:after="0" w:line="200" w:lineRule="exact"/>
        <w:rPr>
          <w:sz w:val="20"/>
          <w:szCs w:val="20"/>
          <w:color w:val="auto"/>
        </w:rPr>
      </w:pPr>
    </w:p>
    <w:p>
      <w:pPr>
        <w:spacing w:after="0" w:line="258" w:lineRule="exact"/>
        <w:rPr>
          <w:sz w:val="20"/>
          <w:szCs w:val="20"/>
          <w:color w:val="auto"/>
        </w:rPr>
      </w:pPr>
    </w:p>
    <w:p>
      <w:pPr>
        <w:jc w:val="both"/>
        <w:ind w:left="1260" w:right="1246"/>
        <w:spacing w:after="0" w:line="204" w:lineRule="exact"/>
        <w:rPr>
          <w:sz w:val="20"/>
          <w:szCs w:val="20"/>
          <w:color w:val="auto"/>
        </w:rPr>
      </w:pPr>
      <w:r>
        <w:rPr>
          <w:rFonts w:ascii="Arial" w:cs="Arial" w:eastAsia="Arial" w:hAnsi="Arial"/>
          <w:sz w:val="20"/>
          <w:szCs w:val="20"/>
          <w:color w:val="auto"/>
        </w:rPr>
        <w:t>We have issued our report dated March 31, 2026, with respect to the consolidated financial statements included in the Annual Report of Reading International, Inc. on Form 10-K for the year ended December 31, 2025. We consent to the incorporation by reference of said report in the Registration Statements of Reading International, Inc. on Forms S-8 (File No. 333</w:t>
      </w:r>
      <w:r>
        <w:rPr>
          <w:rFonts w:ascii="MS PGothic" w:cs="MS PGothic" w:eastAsia="MS PGothic" w:hAnsi="MS PGothic"/>
          <w:sz w:val="20"/>
          <w:szCs w:val="20"/>
          <w:color w:val="auto"/>
        </w:rPr>
        <w:t>‑</w:t>
      </w:r>
      <w:r>
        <w:rPr>
          <w:rFonts w:ascii="Arial" w:cs="Arial" w:eastAsia="Arial" w:hAnsi="Arial"/>
          <w:sz w:val="20"/>
          <w:szCs w:val="20"/>
          <w:color w:val="auto"/>
        </w:rPr>
        <w:t>167101, File No. 333</w:t>
      </w:r>
      <w:r>
        <w:rPr>
          <w:rFonts w:ascii="MS PGothic" w:cs="MS PGothic" w:eastAsia="MS PGothic" w:hAnsi="MS PGothic"/>
          <w:sz w:val="20"/>
          <w:szCs w:val="20"/>
          <w:color w:val="auto"/>
        </w:rPr>
        <w:t>‑</w:t>
      </w:r>
      <w:r>
        <w:rPr>
          <w:rFonts w:ascii="Arial" w:cs="Arial" w:eastAsia="Arial" w:hAnsi="Arial"/>
          <w:sz w:val="20"/>
          <w:szCs w:val="20"/>
          <w:color w:val="auto"/>
        </w:rPr>
        <w:t>225471, File No. 333</w:t>
      </w:r>
      <w:r>
        <w:rPr>
          <w:rFonts w:ascii="MS PGothic" w:cs="MS PGothic" w:eastAsia="MS PGothic" w:hAnsi="MS PGothic"/>
          <w:sz w:val="20"/>
          <w:szCs w:val="20"/>
          <w:color w:val="auto"/>
        </w:rPr>
        <w:t>‑</w:t>
      </w:r>
      <w:r>
        <w:rPr>
          <w:rFonts w:ascii="Arial" w:cs="Arial" w:eastAsia="Arial" w:hAnsi="Arial"/>
          <w:sz w:val="20"/>
          <w:szCs w:val="20"/>
          <w:color w:val="auto"/>
        </w:rPr>
        <w:t>254929, File No. 333-278404, and File No. 333-286288).</w:t>
      </w:r>
    </w:p>
    <w:p>
      <w:pPr>
        <w:spacing w:after="0" w:line="33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/s/GRANT THORNTON LLP</w:t>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Newport Beach, California</w:t>
      </w:r>
    </w:p>
    <w:p>
      <w:pPr>
        <w:ind w:left="1260"/>
        <w:spacing w:after="0" w:line="232" w:lineRule="auto"/>
        <w:rPr>
          <w:sz w:val="20"/>
          <w:szCs w:val="20"/>
          <w:color w:val="auto"/>
        </w:rPr>
      </w:pPr>
      <w:r>
        <w:rPr>
          <w:rFonts w:ascii="Arial" w:cs="Arial" w:eastAsia="Arial" w:hAnsi="Arial"/>
          <w:sz w:val="20"/>
          <w:szCs w:val="20"/>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536575</wp:posOffset>
            </wp:positionV>
            <wp:extent cx="4138930"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41389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9026"/>
          </w:cols>
          <w:pgMar w:left="1440" w:top="1440" w:right="1440" w:bottom="0" w:gutter="0" w:footer="0" w:header="0"/>
          <w:type w:val="continuous"/>
        </w:sectPr>
      </w:pPr>
    </w:p>
    <w:bookmarkStart w:id="291" w:name="page292"/>
    <w:bookmarkEnd w:id="291"/>
    <w:p>
      <w:pPr>
        <w:jc w:val="right"/>
        <w:ind w:right="1246"/>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57"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CERTIFICATION OF PRINCIPAL EXECUTIVE OFFICER</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PURSUANT TO EXCHANGE ACT RULE 13a-14(a)/15d-14(a) AS ADOPTED</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PURSUANT TO SECTION 302 OF THE SARBANES-OXLEY ACT OF</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2002</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Ellen M. Cotter, certify that:</w:t>
      </w:r>
    </w:p>
    <w:p>
      <w:pPr>
        <w:spacing w:after="0" w:line="291" w:lineRule="exact"/>
        <w:rPr>
          <w:sz w:val="20"/>
          <w:szCs w:val="20"/>
          <w:color w:val="auto"/>
        </w:rPr>
      </w:pPr>
    </w:p>
    <w:p>
      <w:pPr>
        <w:ind w:left="2140" w:right="1286" w:hanging="451"/>
        <w:spacing w:after="0" w:line="181" w:lineRule="auto"/>
        <w:tabs>
          <w:tab w:leader="none" w:pos="2140" w:val="left"/>
        </w:tabs>
        <w:numPr>
          <w:ilvl w:val="0"/>
          <w:numId w:val="166"/>
        </w:numPr>
        <w:rPr>
          <w:rFonts w:ascii="Calibri" w:cs="Calibri" w:eastAsia="Calibri" w:hAnsi="Calibri"/>
          <w:sz w:val="33"/>
          <w:szCs w:val="33"/>
          <w:color w:val="auto"/>
          <w:vertAlign w:val="subscript"/>
        </w:rPr>
      </w:pPr>
      <w:r>
        <w:rPr>
          <w:rFonts w:ascii="Arial" w:cs="Arial" w:eastAsia="Arial" w:hAnsi="Arial"/>
          <w:sz w:val="17"/>
          <w:szCs w:val="17"/>
          <w:color w:val="auto"/>
        </w:rPr>
        <w:t>I have reviewed this Annual Report on Form 10-K of Reading International, Inc.;</w:t>
      </w:r>
    </w:p>
    <w:p>
      <w:pPr>
        <w:spacing w:after="0" w:line="338" w:lineRule="exact"/>
        <w:rPr>
          <w:rFonts w:ascii="Calibri" w:cs="Calibri" w:eastAsia="Calibri" w:hAnsi="Calibri"/>
          <w:sz w:val="33"/>
          <w:szCs w:val="33"/>
          <w:color w:val="auto"/>
          <w:vertAlign w:val="subscript"/>
        </w:rPr>
      </w:pPr>
    </w:p>
    <w:p>
      <w:pPr>
        <w:jc w:val="both"/>
        <w:ind w:left="2140" w:right="1306"/>
        <w:spacing w:after="0" w:line="270" w:lineRule="auto"/>
        <w:rPr>
          <w:rFonts w:ascii="Calibri" w:cs="Calibri" w:eastAsia="Calibri" w:hAnsi="Calibri"/>
          <w:sz w:val="33"/>
          <w:szCs w:val="33"/>
          <w:color w:val="auto"/>
          <w:vertAlign w:val="subscript"/>
        </w:rPr>
      </w:pPr>
      <w:r>
        <w:rPr>
          <w:rFonts w:ascii="Arial" w:cs="Arial" w:eastAsia="Arial" w:hAnsi="Arial"/>
          <w:sz w:val="18"/>
          <w:szCs w:val="18"/>
          <w:color w:val="auto"/>
        </w:rPr>
        <w:t>Based on my knowledge, this report does not contain any untrue statement of a material fact or omit to state a material fact necessary</w:t>
      </w:r>
    </w:p>
    <w:p>
      <w:pPr>
        <w:jc w:val="both"/>
        <w:ind w:left="2140" w:right="1306" w:hanging="451"/>
        <w:spacing w:after="0" w:line="234" w:lineRule="auto"/>
        <w:tabs>
          <w:tab w:leader="none" w:pos="2140" w:val="left"/>
        </w:tabs>
        <w:numPr>
          <w:ilvl w:val="0"/>
          <w:numId w:val="166"/>
        </w:numPr>
        <w:rPr>
          <w:rFonts w:ascii="Calibri" w:cs="Calibri" w:eastAsia="Calibri" w:hAnsi="Calibri"/>
          <w:sz w:val="20"/>
          <w:szCs w:val="20"/>
          <w:color w:val="auto"/>
        </w:rPr>
      </w:pPr>
      <w:r>
        <w:rPr>
          <w:rFonts w:ascii="Arial" w:cs="Arial" w:eastAsia="Arial" w:hAnsi="Arial"/>
          <w:sz w:val="20"/>
          <w:szCs w:val="20"/>
          <w:color w:val="auto"/>
        </w:rPr>
        <w:t>to make the statements made, in light of the circumstances under which such statements were made, not misleading with respect to the period covered by this report;</w:t>
      </w:r>
    </w:p>
    <w:p>
      <w:pPr>
        <w:spacing w:after="0" w:line="336" w:lineRule="exact"/>
        <w:rPr>
          <w:rFonts w:ascii="Calibri" w:cs="Calibri" w:eastAsia="Calibri" w:hAnsi="Calibri"/>
          <w:sz w:val="20"/>
          <w:szCs w:val="20"/>
          <w:color w:val="auto"/>
        </w:rPr>
      </w:pPr>
    </w:p>
    <w:p>
      <w:pPr>
        <w:ind w:left="2140"/>
        <w:spacing w:after="0"/>
        <w:rPr>
          <w:rFonts w:ascii="Calibri" w:cs="Calibri" w:eastAsia="Calibri" w:hAnsi="Calibri"/>
          <w:sz w:val="20"/>
          <w:szCs w:val="20"/>
          <w:color w:val="auto"/>
        </w:rPr>
      </w:pPr>
      <w:r>
        <w:rPr>
          <w:rFonts w:ascii="Arial" w:cs="Arial" w:eastAsia="Arial" w:hAnsi="Arial"/>
          <w:sz w:val="18"/>
          <w:szCs w:val="18"/>
          <w:color w:val="auto"/>
        </w:rPr>
        <w:t>Based on my knowledge, the financial statements and other financial</w:t>
      </w:r>
    </w:p>
    <w:p>
      <w:pPr>
        <w:spacing w:after="0" w:line="26" w:lineRule="exact"/>
        <w:rPr>
          <w:rFonts w:ascii="Calibri" w:cs="Calibri" w:eastAsia="Calibri" w:hAnsi="Calibri"/>
          <w:sz w:val="20"/>
          <w:szCs w:val="20"/>
          <w:color w:val="auto"/>
        </w:rPr>
      </w:pPr>
    </w:p>
    <w:p>
      <w:pPr>
        <w:jc w:val="both"/>
        <w:ind w:left="2140" w:right="1306" w:hanging="451"/>
        <w:spacing w:after="0" w:line="193" w:lineRule="auto"/>
        <w:tabs>
          <w:tab w:leader="none" w:pos="2140" w:val="left"/>
        </w:tabs>
        <w:numPr>
          <w:ilvl w:val="0"/>
          <w:numId w:val="166"/>
        </w:numPr>
        <w:rPr>
          <w:rFonts w:ascii="Calibri" w:cs="Calibri" w:eastAsia="Calibri" w:hAnsi="Calibri"/>
          <w:sz w:val="36"/>
          <w:szCs w:val="36"/>
          <w:color w:val="auto"/>
          <w:vertAlign w:val="subscript"/>
        </w:rPr>
      </w:pPr>
      <w:r>
        <w:rPr>
          <w:rFonts w:ascii="Arial" w:cs="Arial" w:eastAsia="Arial" w:hAnsi="Arial"/>
          <w:sz w:val="18"/>
          <w:szCs w:val="18"/>
          <w:color w:val="auto"/>
        </w:rPr>
        <w:t>information included in this report, fairly present in all material respects the financial condition, results of operations and cash flows of the registrant as of, and for, the periods presented in this report;</w:t>
      </w:r>
    </w:p>
    <w:p>
      <w:pPr>
        <w:spacing w:after="0" w:line="336" w:lineRule="exact"/>
        <w:rPr>
          <w:rFonts w:ascii="Calibri" w:cs="Calibri" w:eastAsia="Calibri" w:hAnsi="Calibri"/>
          <w:sz w:val="36"/>
          <w:szCs w:val="36"/>
          <w:color w:val="auto"/>
          <w:vertAlign w:val="subscript"/>
        </w:rPr>
      </w:pPr>
    </w:p>
    <w:p>
      <w:pPr>
        <w:jc w:val="both"/>
        <w:ind w:left="2140" w:right="1306"/>
        <w:spacing w:after="0" w:line="270" w:lineRule="auto"/>
        <w:rPr>
          <w:rFonts w:ascii="Calibri" w:cs="Calibri" w:eastAsia="Calibri" w:hAnsi="Calibri"/>
          <w:sz w:val="36"/>
          <w:szCs w:val="36"/>
          <w:color w:val="auto"/>
          <w:vertAlign w:val="subscript"/>
        </w:rPr>
      </w:pPr>
      <w:r>
        <w:rPr>
          <w:rFonts w:ascii="Arial" w:cs="Arial" w:eastAsia="Arial" w:hAnsi="Arial"/>
          <w:sz w:val="18"/>
          <w:szCs w:val="18"/>
          <w:color w:val="auto"/>
        </w:rPr>
        <w:t>The registrant's other certifying officer and I are responsible for establishing and maintaining disclosure controls and procedures (as</w:t>
      </w:r>
    </w:p>
    <w:p>
      <w:pPr>
        <w:jc w:val="both"/>
        <w:ind w:left="2140" w:right="1286" w:hanging="451"/>
        <w:spacing w:after="0" w:line="262" w:lineRule="auto"/>
        <w:tabs>
          <w:tab w:leader="none" w:pos="2140" w:val="left"/>
        </w:tabs>
        <w:numPr>
          <w:ilvl w:val="0"/>
          <w:numId w:val="166"/>
        </w:numPr>
        <w:rPr>
          <w:rFonts w:ascii="Calibri" w:cs="Calibri" w:eastAsia="Calibri" w:hAnsi="Calibri"/>
          <w:sz w:val="18"/>
          <w:szCs w:val="18"/>
          <w:color w:val="auto"/>
        </w:rPr>
      </w:pPr>
      <w:r>
        <w:rPr>
          <w:rFonts w:ascii="Arial" w:cs="Arial" w:eastAsia="Arial" w:hAnsi="Arial"/>
          <w:sz w:val="18"/>
          <w:szCs w:val="18"/>
          <w:color w:val="auto"/>
        </w:rPr>
        <w:t>defined in Exchange Act Rules 13a-15(e) and 15d-15(e)) and internal control over financial reporting (as defined in Exchange Act Rules</w:t>
      </w:r>
    </w:p>
    <w:p>
      <w:pPr>
        <w:ind w:left="2140"/>
        <w:spacing w:after="0"/>
        <w:rPr>
          <w:rFonts w:ascii="Calibri" w:cs="Calibri" w:eastAsia="Calibri" w:hAnsi="Calibri"/>
          <w:sz w:val="18"/>
          <w:szCs w:val="18"/>
          <w:color w:val="auto"/>
        </w:rPr>
      </w:pPr>
      <w:r>
        <w:rPr>
          <w:rFonts w:ascii="Arial" w:cs="Arial" w:eastAsia="Arial" w:hAnsi="Arial"/>
          <w:sz w:val="20"/>
          <w:szCs w:val="20"/>
          <w:color w:val="auto"/>
        </w:rPr>
        <w:t>13a-15(f) and 15d-15(f)) for the registrant and have:</w:t>
      </w:r>
    </w:p>
    <w:p>
      <w:pPr>
        <w:spacing w:after="0" w:line="336" w:lineRule="exact"/>
        <w:rPr>
          <w:sz w:val="20"/>
          <w:szCs w:val="20"/>
          <w:color w:val="auto"/>
        </w:rPr>
      </w:pPr>
    </w:p>
    <w:p>
      <w:pPr>
        <w:jc w:val="both"/>
        <w:ind w:left="2860" w:right="1306"/>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w:t>
      </w:r>
    </w:p>
    <w:p>
      <w:pPr>
        <w:spacing w:after="0" w:line="1" w:lineRule="exact"/>
        <w:rPr>
          <w:sz w:val="20"/>
          <w:szCs w:val="20"/>
          <w:color w:val="auto"/>
        </w:rPr>
      </w:pPr>
    </w:p>
    <w:p>
      <w:pPr>
        <w:jc w:val="both"/>
        <w:ind w:left="2860" w:right="1306" w:hanging="451"/>
        <w:spacing w:after="0" w:line="236" w:lineRule="auto"/>
        <w:tabs>
          <w:tab w:leader="none" w:pos="2860" w:val="left"/>
        </w:tabs>
        <w:numPr>
          <w:ilvl w:val="0"/>
          <w:numId w:val="167"/>
        </w:numPr>
        <w:rPr>
          <w:rFonts w:ascii="Calibri" w:cs="Calibri" w:eastAsia="Calibri" w:hAnsi="Calibri"/>
          <w:sz w:val="20"/>
          <w:szCs w:val="20"/>
          <w:color w:val="auto"/>
        </w:rPr>
      </w:pPr>
      <w:r>
        <w:rPr>
          <w:rFonts w:ascii="Arial" w:cs="Arial" w:eastAsia="Arial" w:hAnsi="Arial"/>
          <w:sz w:val="20"/>
          <w:szCs w:val="20"/>
          <w:color w:val="auto"/>
        </w:rPr>
        <w:t>relating to the registrant, including its consolidated subsidiaries, is made known to us by others within those entities, particularly during the period in which this report is being prepared;</w:t>
      </w:r>
    </w:p>
    <w:p>
      <w:pPr>
        <w:spacing w:after="0" w:line="104" w:lineRule="exact"/>
        <w:rPr>
          <w:rFonts w:ascii="Calibri" w:cs="Calibri" w:eastAsia="Calibri" w:hAnsi="Calibri"/>
          <w:sz w:val="20"/>
          <w:szCs w:val="20"/>
          <w:color w:val="auto"/>
        </w:rPr>
      </w:pPr>
    </w:p>
    <w:p>
      <w:pPr>
        <w:jc w:val="both"/>
        <w:ind w:left="2860" w:right="1306"/>
        <w:spacing w:after="0" w:line="256" w:lineRule="auto"/>
        <w:rPr>
          <w:rFonts w:ascii="Calibri" w:cs="Calibri" w:eastAsia="Calibri" w:hAnsi="Calibri"/>
          <w:sz w:val="20"/>
          <w:szCs w:val="20"/>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w:t>
      </w:r>
    </w:p>
    <w:p>
      <w:pPr>
        <w:jc w:val="both"/>
        <w:ind w:left="2860" w:right="1306" w:hanging="451"/>
        <w:spacing w:after="0" w:line="236" w:lineRule="auto"/>
        <w:tabs>
          <w:tab w:leader="none" w:pos="2860" w:val="left"/>
        </w:tabs>
        <w:numPr>
          <w:ilvl w:val="0"/>
          <w:numId w:val="167"/>
        </w:numPr>
        <w:rPr>
          <w:rFonts w:ascii="Calibri" w:cs="Calibri" w:eastAsia="Calibri" w:hAnsi="Calibri"/>
          <w:sz w:val="20"/>
          <w:szCs w:val="20"/>
          <w:color w:val="auto"/>
        </w:rPr>
      </w:pPr>
      <w:r>
        <w:rPr>
          <w:rFonts w:ascii="Arial" w:cs="Arial" w:eastAsia="Arial" w:hAnsi="Arial"/>
          <w:sz w:val="20"/>
          <w:szCs w:val="20"/>
          <w:color w:val="auto"/>
        </w:rPr>
        <w:t>assurance regarding the reliability of financial reporting and the preparation of financial statements for external purposes in accordance with generally accepted accounting principles;</w:t>
      </w:r>
    </w:p>
    <w:p>
      <w:pPr>
        <w:spacing w:after="0" w:line="104" w:lineRule="exact"/>
        <w:rPr>
          <w:rFonts w:ascii="Calibri" w:cs="Calibri" w:eastAsia="Calibri" w:hAnsi="Calibri"/>
          <w:sz w:val="20"/>
          <w:szCs w:val="20"/>
          <w:color w:val="auto"/>
        </w:rPr>
      </w:pPr>
    </w:p>
    <w:p>
      <w:pPr>
        <w:jc w:val="both"/>
        <w:ind w:left="2860" w:right="1306"/>
        <w:spacing w:after="0" w:line="256" w:lineRule="auto"/>
        <w:rPr>
          <w:rFonts w:ascii="Calibri" w:cs="Calibri" w:eastAsia="Calibri" w:hAnsi="Calibri"/>
          <w:sz w:val="20"/>
          <w:szCs w:val="20"/>
          <w:color w:val="auto"/>
        </w:rPr>
      </w:pPr>
      <w:r>
        <w:rPr>
          <w:rFonts w:ascii="Arial" w:cs="Arial" w:eastAsia="Arial" w:hAnsi="Arial"/>
          <w:sz w:val="19"/>
          <w:szCs w:val="19"/>
          <w:color w:val="auto"/>
        </w:rPr>
        <w:t>evaluated the effectiveness of the registrant's disclosure controls and procedures and presented in this report our</w:t>
      </w:r>
    </w:p>
    <w:p>
      <w:pPr>
        <w:jc w:val="both"/>
        <w:ind w:left="2860" w:right="1306" w:hanging="451"/>
        <w:spacing w:after="0" w:line="234" w:lineRule="auto"/>
        <w:tabs>
          <w:tab w:leader="none" w:pos="2860" w:val="left"/>
        </w:tabs>
        <w:numPr>
          <w:ilvl w:val="0"/>
          <w:numId w:val="167"/>
        </w:numPr>
        <w:rPr>
          <w:rFonts w:ascii="Calibri" w:cs="Calibri" w:eastAsia="Calibri" w:hAnsi="Calibri"/>
          <w:sz w:val="20"/>
          <w:szCs w:val="20"/>
          <w:color w:val="auto"/>
        </w:rPr>
      </w:pPr>
      <w:r>
        <w:rPr>
          <w:rFonts w:ascii="Arial" w:cs="Arial" w:eastAsia="Arial" w:hAnsi="Arial"/>
          <w:sz w:val="20"/>
          <w:szCs w:val="20"/>
          <w:color w:val="auto"/>
        </w:rPr>
        <w:t>conclusions about the effectiveness of the disclosure controls and procedures, as of the end of the period covered by this report based on such evaluation; and</w:t>
      </w:r>
    </w:p>
    <w:p>
      <w:pPr>
        <w:spacing w:after="0" w:line="103" w:lineRule="exact"/>
        <w:rPr>
          <w:rFonts w:ascii="Calibri" w:cs="Calibri" w:eastAsia="Calibri" w:hAnsi="Calibri"/>
          <w:sz w:val="20"/>
          <w:szCs w:val="20"/>
          <w:color w:val="auto"/>
        </w:rPr>
      </w:pPr>
    </w:p>
    <w:p>
      <w:pPr>
        <w:jc w:val="both"/>
        <w:ind w:left="2860" w:right="1306"/>
        <w:spacing w:after="0" w:line="270" w:lineRule="auto"/>
        <w:rPr>
          <w:rFonts w:ascii="Calibri" w:cs="Calibri" w:eastAsia="Calibri" w:hAnsi="Calibri"/>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w:t>
      </w:r>
    </w:p>
    <w:p>
      <w:pPr>
        <w:jc w:val="both"/>
        <w:ind w:left="2860" w:right="1306" w:hanging="451"/>
        <w:spacing w:after="0" w:line="249" w:lineRule="auto"/>
        <w:tabs>
          <w:tab w:leader="none" w:pos="2860" w:val="left"/>
        </w:tabs>
        <w:numPr>
          <w:ilvl w:val="0"/>
          <w:numId w:val="167"/>
        </w:numPr>
        <w:rPr>
          <w:rFonts w:ascii="Calibri" w:cs="Calibri" w:eastAsia="Calibri" w:hAnsi="Calibri"/>
          <w:sz w:val="19"/>
          <w:szCs w:val="19"/>
          <w:color w:val="auto"/>
        </w:rPr>
      </w:pPr>
      <w:r>
        <w:rPr>
          <w:rFonts w:ascii="Arial" w:cs="Arial" w:eastAsia="Arial" w:hAnsi="Arial"/>
          <w:sz w:val="19"/>
          <w:szCs w:val="19"/>
          <w:color w:val="auto"/>
        </w:rPr>
        <w:t>registrant's fourth fiscal quarter that has materially affected, or is reasonably likely to materially affect, the registrant's internal control over financial reporting; and</w:t>
      </w:r>
    </w:p>
    <w:p>
      <w:pPr>
        <w:sectPr>
          <w:pgSz w:w="11900" w:h="16838" w:orient="portrait"/>
          <w:cols w:equalWidth="0" w:num="1">
            <w:col w:w="9026"/>
          </w:cols>
          <w:pgMar w:left="1440" w:top="11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026"/>
          </w:cols>
          <w:pgMar w:left="1440" w:top="1121" w:right="1440" w:bottom="0" w:gutter="0" w:footer="0" w:header="0"/>
          <w:type w:val="continuous"/>
        </w:sectPr>
      </w:pPr>
    </w:p>
    <w:bookmarkStart w:id="292" w:name="page293"/>
    <w:bookmarkEnd w:id="292"/>
    <w:p>
      <w:pPr>
        <w:ind w:left="2140" w:right="1306"/>
        <w:spacing w:after="0" w:line="270" w:lineRule="auto"/>
        <w:rPr>
          <w:sz w:val="20"/>
          <w:szCs w:val="20"/>
          <w:color w:val="auto"/>
        </w:rPr>
      </w:pPr>
      <w:r>
        <w:rPr>
          <w:rFonts w:ascii="Arial" w:cs="Arial" w:eastAsia="Arial" w:hAnsi="Arial"/>
          <w:sz w:val="18"/>
          <w:szCs w:val="18"/>
          <w:color w:val="auto"/>
        </w:rPr>
        <w:t>The registrant's other certifying officer and I have disclosed, based on our most recent evaluation of internal control over financial</w:t>
      </w:r>
    </w:p>
    <w:p>
      <w:pPr>
        <w:spacing w:after="0" w:line="1" w:lineRule="exact"/>
        <w:rPr>
          <w:sz w:val="20"/>
          <w:szCs w:val="20"/>
          <w:color w:val="auto"/>
        </w:rPr>
      </w:pPr>
    </w:p>
    <w:p>
      <w:pPr>
        <w:jc w:val="both"/>
        <w:ind w:left="2140" w:right="1306" w:hanging="451"/>
        <w:spacing w:after="0" w:line="234" w:lineRule="auto"/>
        <w:tabs>
          <w:tab w:leader="none" w:pos="2140" w:val="left"/>
        </w:tabs>
        <w:numPr>
          <w:ilvl w:val="0"/>
          <w:numId w:val="168"/>
        </w:numPr>
        <w:rPr>
          <w:rFonts w:ascii="Calibri" w:cs="Calibri" w:eastAsia="Calibri" w:hAnsi="Calibri"/>
          <w:sz w:val="20"/>
          <w:szCs w:val="20"/>
          <w:color w:val="auto"/>
        </w:rPr>
      </w:pPr>
      <w:r>
        <w:rPr>
          <w:rFonts w:ascii="Arial" w:cs="Arial" w:eastAsia="Arial" w:hAnsi="Arial"/>
          <w:sz w:val="20"/>
          <w:szCs w:val="20"/>
          <w:color w:val="auto"/>
        </w:rPr>
        <w:t>reporting, to the registrant's auditors and the audit committee of the registrant's board of directors (or persons performing the equivalent functions):</w:t>
      </w:r>
    </w:p>
    <w:p>
      <w:pPr>
        <w:spacing w:after="0" w:line="337" w:lineRule="exact"/>
        <w:rPr>
          <w:sz w:val="20"/>
          <w:szCs w:val="20"/>
          <w:color w:val="auto"/>
        </w:rPr>
      </w:pPr>
    </w:p>
    <w:p>
      <w:pPr>
        <w:ind w:left="2860" w:right="1306"/>
        <w:spacing w:after="0" w:line="256" w:lineRule="auto"/>
        <w:rPr>
          <w:sz w:val="20"/>
          <w:szCs w:val="20"/>
          <w:color w:val="auto"/>
        </w:rPr>
      </w:pPr>
      <w:r>
        <w:rPr>
          <w:rFonts w:ascii="Arial" w:cs="Arial" w:eastAsia="Arial" w:hAnsi="Arial"/>
          <w:sz w:val="19"/>
          <w:szCs w:val="19"/>
          <w:color w:val="auto"/>
        </w:rPr>
        <w:t>all significant deficiencies and material weaknesses in the design or operation of internal control over financial</w:t>
      </w:r>
    </w:p>
    <w:p>
      <w:pPr>
        <w:spacing w:after="0" w:line="1" w:lineRule="exact"/>
        <w:rPr>
          <w:sz w:val="20"/>
          <w:szCs w:val="20"/>
          <w:color w:val="auto"/>
        </w:rPr>
      </w:pPr>
    </w:p>
    <w:p>
      <w:pPr>
        <w:jc w:val="both"/>
        <w:ind w:left="2860" w:right="1306" w:hanging="451"/>
        <w:spacing w:after="0" w:line="234" w:lineRule="auto"/>
        <w:tabs>
          <w:tab w:leader="none" w:pos="2860" w:val="left"/>
        </w:tabs>
        <w:numPr>
          <w:ilvl w:val="0"/>
          <w:numId w:val="169"/>
        </w:numPr>
        <w:rPr>
          <w:rFonts w:ascii="Calibri" w:cs="Calibri" w:eastAsia="Calibri" w:hAnsi="Calibri"/>
          <w:sz w:val="20"/>
          <w:szCs w:val="20"/>
          <w:color w:val="auto"/>
        </w:rPr>
      </w:pPr>
      <w:r>
        <w:rPr>
          <w:rFonts w:ascii="Arial" w:cs="Arial" w:eastAsia="Arial" w:hAnsi="Arial"/>
          <w:sz w:val="20"/>
          <w:szCs w:val="20"/>
          <w:color w:val="auto"/>
        </w:rPr>
        <w:t>reporting which are reasonably likely to adversely affect the registrant's ability to record, process, summarize and report financial information; and</w:t>
      </w:r>
    </w:p>
    <w:p>
      <w:pPr>
        <w:spacing w:after="0" w:line="94" w:lineRule="exact"/>
        <w:rPr>
          <w:sz w:val="20"/>
          <w:szCs w:val="20"/>
          <w:color w:val="auto"/>
        </w:rPr>
      </w:pPr>
    </w:p>
    <w:p>
      <w:pPr>
        <w:ind w:left="2860"/>
        <w:spacing w:after="0"/>
        <w:tabs>
          <w:tab w:leader="none" w:pos="3320" w:val="left"/>
          <w:tab w:leader="none" w:pos="3980" w:val="left"/>
          <w:tab w:leader="none" w:pos="4820" w:val="left"/>
          <w:tab w:leader="none" w:pos="5180" w:val="left"/>
          <w:tab w:leader="none" w:pos="5640" w:val="left"/>
          <w:tab w:leader="none" w:pos="6540" w:val="left"/>
          <w:tab w:leader="none" w:pos="7020" w:val="left"/>
        </w:tabs>
        <w:rPr>
          <w:sz w:val="20"/>
          <w:szCs w:val="20"/>
          <w:color w:val="auto"/>
        </w:rPr>
      </w:pPr>
      <w:r>
        <w:rPr>
          <w:rFonts w:ascii="Arial" w:cs="Arial" w:eastAsia="Arial" w:hAnsi="Arial"/>
          <w:sz w:val="20"/>
          <w:szCs w:val="20"/>
          <w:color w:val="auto"/>
        </w:rPr>
        <w:t>any</w:t>
        <w:tab/>
        <w:t>fraud,</w:t>
        <w:tab/>
        <w:t>whether</w:t>
        <w:tab/>
        <w:t>or</w:t>
        <w:tab/>
        <w:t>not</w:t>
        <w:tab/>
        <w:t>material,</w:t>
        <w:tab/>
        <w:t>that</w:t>
      </w:r>
      <w:r>
        <w:rPr>
          <w:sz w:val="20"/>
          <w:szCs w:val="20"/>
          <w:color w:val="auto"/>
        </w:rPr>
        <w:tab/>
      </w:r>
      <w:r>
        <w:rPr>
          <w:rFonts w:ascii="Arial" w:cs="Arial" w:eastAsia="Arial" w:hAnsi="Arial"/>
          <w:sz w:val="18"/>
          <w:szCs w:val="18"/>
          <w:color w:val="auto"/>
        </w:rPr>
        <w:t>involves</w:t>
      </w:r>
    </w:p>
    <w:p>
      <w:pPr>
        <w:spacing w:after="0" w:line="13" w:lineRule="exact"/>
        <w:rPr>
          <w:sz w:val="20"/>
          <w:szCs w:val="20"/>
          <w:color w:val="auto"/>
        </w:rPr>
      </w:pPr>
    </w:p>
    <w:p>
      <w:pPr>
        <w:ind w:left="2860" w:right="1306" w:hanging="451"/>
        <w:spacing w:after="0" w:line="271" w:lineRule="auto"/>
        <w:tabs>
          <w:tab w:leader="none" w:pos="2860" w:val="left"/>
        </w:tabs>
        <w:numPr>
          <w:ilvl w:val="0"/>
          <w:numId w:val="170"/>
        </w:numPr>
        <w:rPr>
          <w:rFonts w:ascii="Calibri" w:cs="Calibri" w:eastAsia="Calibri" w:hAnsi="Calibri"/>
          <w:sz w:val="18"/>
          <w:szCs w:val="18"/>
          <w:color w:val="auto"/>
        </w:rPr>
      </w:pPr>
      <w:r>
        <w:rPr>
          <w:rFonts w:ascii="Arial" w:cs="Arial" w:eastAsia="Arial" w:hAnsi="Arial"/>
          <w:sz w:val="18"/>
          <w:szCs w:val="18"/>
          <w:color w:val="auto"/>
        </w:rPr>
        <w:t>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20"/>
                <w:szCs w:val="20"/>
                <w:color w:val="auto"/>
              </w:rPr>
              <w:t>/s/ Ellen M. Cotter</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34"/>
        </w:trPr>
        <w:tc>
          <w:tcPr>
            <w:tcW w:w="500" w:type="dxa"/>
            <w:vAlign w:val="bottom"/>
          </w:tcPr>
          <w:p>
            <w:pPr>
              <w:spacing w:after="0"/>
              <w:rPr>
                <w:sz w:val="20"/>
                <w:szCs w:val="20"/>
                <w:color w:val="auto"/>
              </w:rPr>
            </w:pPr>
          </w:p>
        </w:tc>
        <w:tc>
          <w:tcPr>
            <w:tcW w:w="6020" w:type="dxa"/>
            <w:vAlign w:val="bottom"/>
            <w:gridSpan w:val="3"/>
          </w:tcPr>
          <w:p>
            <w:pPr>
              <w:ind w:left="220"/>
              <w:spacing w:after="0"/>
              <w:rPr>
                <w:sz w:val="20"/>
                <w:szCs w:val="20"/>
                <w:color w:val="auto"/>
              </w:rPr>
            </w:pPr>
            <w:r>
              <w:rPr>
                <w:rFonts w:ascii="Arial" w:cs="Arial" w:eastAsia="Arial" w:hAnsi="Arial"/>
                <w:sz w:val="20"/>
                <w:szCs w:val="20"/>
                <w:color w:val="auto"/>
              </w:rPr>
              <w:t>Ellen M. Cotter</w:t>
            </w:r>
          </w:p>
        </w:tc>
      </w:tr>
      <w:tr>
        <w:trPr>
          <w:trHeight w:val="233"/>
        </w:trPr>
        <w:tc>
          <w:tcPr>
            <w:tcW w:w="500" w:type="dxa"/>
            <w:vAlign w:val="bottom"/>
          </w:tcPr>
          <w:p>
            <w:pPr>
              <w:spacing w:after="0"/>
              <w:rPr>
                <w:sz w:val="20"/>
                <w:szCs w:val="20"/>
                <w:color w:val="auto"/>
              </w:rPr>
            </w:pPr>
          </w:p>
        </w:tc>
        <w:tc>
          <w:tcPr>
            <w:tcW w:w="6020" w:type="dxa"/>
            <w:vAlign w:val="bottom"/>
            <w:gridSpan w:val="3"/>
          </w:tcPr>
          <w:p>
            <w:pPr>
              <w:ind w:left="220"/>
              <w:spacing w:after="0"/>
              <w:rPr>
                <w:sz w:val="20"/>
                <w:szCs w:val="20"/>
                <w:color w:val="auto"/>
              </w:rPr>
            </w:pPr>
            <w:r>
              <w:rPr>
                <w:rFonts w:ascii="Arial" w:cs="Arial" w:eastAsia="Arial" w:hAnsi="Arial"/>
                <w:sz w:val="20"/>
                <w:szCs w:val="20"/>
                <w:color w:val="auto"/>
              </w:rPr>
              <w:t>President and Chief Executive Officer</w:t>
            </w:r>
          </w:p>
        </w:tc>
      </w:tr>
      <w:tr>
        <w:trPr>
          <w:trHeight w:val="233"/>
        </w:trPr>
        <w:tc>
          <w:tcPr>
            <w:tcW w:w="500" w:type="dxa"/>
            <w:vAlign w:val="bottom"/>
          </w:tcPr>
          <w:p>
            <w:pPr>
              <w:spacing w:after="0"/>
              <w:rPr>
                <w:sz w:val="20"/>
                <w:szCs w:val="20"/>
                <w:color w:val="auto"/>
              </w:rPr>
            </w:pPr>
          </w:p>
        </w:tc>
        <w:tc>
          <w:tcPr>
            <w:tcW w:w="6020" w:type="dxa"/>
            <w:vAlign w:val="bottom"/>
            <w:gridSpan w:val="3"/>
          </w:tcPr>
          <w:p>
            <w:pPr>
              <w:ind w:left="220"/>
              <w:spacing w:after="0"/>
              <w:rPr>
                <w:sz w:val="20"/>
                <w:szCs w:val="20"/>
                <w:color w:val="auto"/>
              </w:rPr>
            </w:pPr>
            <w:r>
              <w:rPr>
                <w:rFonts w:ascii="Arial" w:cs="Arial" w:eastAsia="Arial" w:hAnsi="Arial"/>
                <w:sz w:val="20"/>
                <w:szCs w:val="20"/>
                <w:color w:val="auto"/>
              </w:rPr>
              <w:t>March 31, 2026</w:t>
            </w:r>
          </w:p>
        </w:tc>
      </w:tr>
      <w:tr>
        <w:trPr>
          <w:trHeight w:val="739"/>
        </w:trPr>
        <w:tc>
          <w:tcPr>
            <w:tcW w:w="5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-18415</wp:posOffset>
            </wp:positionV>
            <wp:extent cx="952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-18415</wp:posOffset>
            </wp:positionV>
            <wp:extent cx="952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026"/>
          </w:cols>
          <w:pgMar w:left="1440" w:top="1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026"/>
          </w:cols>
          <w:pgMar w:left="1440" w:top="1176" w:right="1440" w:bottom="0" w:gutter="0" w:footer="0" w:header="0"/>
          <w:type w:val="continuous"/>
        </w:sectPr>
      </w:pPr>
    </w:p>
    <w:bookmarkStart w:id="293" w:name="page294"/>
    <w:bookmarkEnd w:id="293"/>
    <w:p>
      <w:pPr>
        <w:jc w:val="right"/>
        <w:ind w:right="1246"/>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8"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CERTIFICATION OF PRINCIPAL FINANCIAL OFFICER</w:t>
      </w:r>
    </w:p>
    <w:p>
      <w:pPr>
        <w:jc w:val="center"/>
        <w:ind w:right="-13"/>
        <w:spacing w:after="0" w:line="226" w:lineRule="auto"/>
        <w:rPr>
          <w:sz w:val="20"/>
          <w:szCs w:val="20"/>
          <w:color w:val="auto"/>
        </w:rPr>
      </w:pPr>
      <w:r>
        <w:rPr>
          <w:rFonts w:ascii="Arial" w:cs="Arial" w:eastAsia="Arial" w:hAnsi="Arial"/>
          <w:sz w:val="20"/>
          <w:szCs w:val="20"/>
          <w:b w:val="1"/>
          <w:bCs w:val="1"/>
          <w:color w:val="auto"/>
        </w:rPr>
        <w:t>PURSUANT TO EXCHANGE ACT RULE 13a-14(a)/15d-14(a) AS</w:t>
      </w:r>
    </w:p>
    <w:p>
      <w:pPr>
        <w:jc w:val="center"/>
        <w:ind w:right="-13"/>
        <w:spacing w:after="0" w:line="227" w:lineRule="auto"/>
        <w:rPr>
          <w:sz w:val="20"/>
          <w:szCs w:val="20"/>
          <w:color w:val="auto"/>
        </w:rPr>
      </w:pPr>
      <w:r>
        <w:rPr>
          <w:rFonts w:ascii="Arial" w:cs="Arial" w:eastAsia="Arial" w:hAnsi="Arial"/>
          <w:sz w:val="20"/>
          <w:szCs w:val="20"/>
          <w:b w:val="1"/>
          <w:bCs w:val="1"/>
          <w:color w:val="auto"/>
        </w:rPr>
        <w:t>ADOPTED</w:t>
      </w:r>
    </w:p>
    <w:p>
      <w:pPr>
        <w:jc w:val="center"/>
        <w:ind w:right="-13"/>
        <w:spacing w:after="0" w:line="227" w:lineRule="auto"/>
        <w:rPr>
          <w:sz w:val="20"/>
          <w:szCs w:val="20"/>
          <w:color w:val="auto"/>
        </w:rPr>
      </w:pPr>
      <w:r>
        <w:rPr>
          <w:rFonts w:ascii="Arial" w:cs="Arial" w:eastAsia="Arial" w:hAnsi="Arial"/>
          <w:sz w:val="20"/>
          <w:szCs w:val="20"/>
          <w:b w:val="1"/>
          <w:bCs w:val="1"/>
          <w:color w:val="auto"/>
        </w:rPr>
        <w:t>PURSUANT TO SECTION 302 OF THE SARBANES-OXLEY ACT OF</w:t>
      </w:r>
    </w:p>
    <w:p>
      <w:pPr>
        <w:jc w:val="center"/>
        <w:ind w:right="-13"/>
        <w:spacing w:after="0" w:line="230" w:lineRule="auto"/>
        <w:rPr>
          <w:sz w:val="20"/>
          <w:szCs w:val="20"/>
          <w:color w:val="auto"/>
        </w:rPr>
      </w:pPr>
      <w:r>
        <w:rPr>
          <w:rFonts w:ascii="Arial" w:cs="Arial" w:eastAsia="Arial" w:hAnsi="Arial"/>
          <w:sz w:val="20"/>
          <w:szCs w:val="20"/>
          <w:b w:val="1"/>
          <w:bCs w:val="1"/>
          <w:color w:val="auto"/>
        </w:rPr>
        <w:t>2002</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Gilbert Avanes, certify that:</w:t>
      </w:r>
    </w:p>
    <w:p>
      <w:pPr>
        <w:spacing w:after="0" w:line="260" w:lineRule="exact"/>
        <w:rPr>
          <w:sz w:val="20"/>
          <w:szCs w:val="20"/>
          <w:color w:val="auto"/>
        </w:rPr>
      </w:pPr>
    </w:p>
    <w:p>
      <w:pPr>
        <w:ind w:left="2140" w:right="1286" w:hanging="451"/>
        <w:spacing w:after="0" w:line="183" w:lineRule="auto"/>
        <w:tabs>
          <w:tab w:leader="none" w:pos="2140" w:val="left"/>
        </w:tabs>
        <w:numPr>
          <w:ilvl w:val="0"/>
          <w:numId w:val="171"/>
        </w:numPr>
        <w:rPr>
          <w:rFonts w:ascii="Calibri" w:cs="Calibri" w:eastAsia="Calibri" w:hAnsi="Calibri"/>
          <w:sz w:val="31"/>
          <w:szCs w:val="31"/>
          <w:color w:val="auto"/>
          <w:vertAlign w:val="subscript"/>
        </w:rPr>
      </w:pPr>
      <w:r>
        <w:rPr>
          <w:rFonts w:ascii="Arial" w:cs="Arial" w:eastAsia="Arial" w:hAnsi="Arial"/>
          <w:sz w:val="17"/>
          <w:szCs w:val="17"/>
          <w:color w:val="auto"/>
        </w:rPr>
        <w:t>I have reviewed this Annual Report on Form 10-K of Reading International, Inc.;</w:t>
      </w:r>
    </w:p>
    <w:p>
      <w:pPr>
        <w:spacing w:after="0" w:line="304" w:lineRule="exact"/>
        <w:rPr>
          <w:rFonts w:ascii="Calibri" w:cs="Calibri" w:eastAsia="Calibri" w:hAnsi="Calibri"/>
          <w:sz w:val="31"/>
          <w:szCs w:val="31"/>
          <w:color w:val="auto"/>
          <w:vertAlign w:val="subscript"/>
        </w:rPr>
      </w:pPr>
    </w:p>
    <w:p>
      <w:pPr>
        <w:jc w:val="both"/>
        <w:ind w:left="2140" w:right="1306"/>
        <w:spacing w:after="0" w:line="252" w:lineRule="auto"/>
        <w:rPr>
          <w:rFonts w:ascii="Calibri" w:cs="Calibri" w:eastAsia="Calibri" w:hAnsi="Calibri"/>
          <w:sz w:val="31"/>
          <w:szCs w:val="31"/>
          <w:color w:val="auto"/>
          <w:vertAlign w:val="subscript"/>
        </w:rPr>
      </w:pPr>
      <w:r>
        <w:rPr>
          <w:rFonts w:ascii="Arial" w:cs="Arial" w:eastAsia="Arial" w:hAnsi="Arial"/>
          <w:sz w:val="18"/>
          <w:szCs w:val="18"/>
          <w:color w:val="auto"/>
        </w:rPr>
        <w:t>Based on my knowledge, this report does not contain any untrue statement of a material fact or omit to state a material fact necessary</w:t>
      </w:r>
    </w:p>
    <w:p>
      <w:pPr>
        <w:jc w:val="both"/>
        <w:ind w:left="2140" w:right="1306" w:hanging="451"/>
        <w:spacing w:after="0" w:line="223" w:lineRule="auto"/>
        <w:tabs>
          <w:tab w:leader="none" w:pos="2140" w:val="left"/>
        </w:tabs>
        <w:numPr>
          <w:ilvl w:val="0"/>
          <w:numId w:val="171"/>
        </w:numPr>
        <w:rPr>
          <w:rFonts w:ascii="Calibri" w:cs="Calibri" w:eastAsia="Calibri" w:hAnsi="Calibri"/>
          <w:sz w:val="20"/>
          <w:szCs w:val="20"/>
          <w:color w:val="auto"/>
        </w:rPr>
      </w:pPr>
      <w:r>
        <w:rPr>
          <w:rFonts w:ascii="Arial" w:cs="Arial" w:eastAsia="Arial" w:hAnsi="Arial"/>
          <w:sz w:val="20"/>
          <w:szCs w:val="20"/>
          <w:color w:val="auto"/>
        </w:rPr>
        <w:t>to make the statements made, in light of the circumstances under which such statements were made, not misleading with respect to the period covered by this report;</w:t>
      </w:r>
    </w:p>
    <w:p>
      <w:pPr>
        <w:spacing w:after="0" w:line="305" w:lineRule="exact"/>
        <w:rPr>
          <w:rFonts w:ascii="Calibri" w:cs="Calibri" w:eastAsia="Calibri" w:hAnsi="Calibri"/>
          <w:sz w:val="20"/>
          <w:szCs w:val="20"/>
          <w:color w:val="auto"/>
        </w:rPr>
      </w:pPr>
    </w:p>
    <w:p>
      <w:pPr>
        <w:ind w:left="2140"/>
        <w:spacing w:after="0"/>
        <w:rPr>
          <w:rFonts w:ascii="Calibri" w:cs="Calibri" w:eastAsia="Calibri" w:hAnsi="Calibri"/>
          <w:sz w:val="20"/>
          <w:szCs w:val="20"/>
          <w:color w:val="auto"/>
        </w:rPr>
      </w:pPr>
      <w:r>
        <w:rPr>
          <w:rFonts w:ascii="Arial" w:cs="Arial" w:eastAsia="Arial" w:hAnsi="Arial"/>
          <w:sz w:val="18"/>
          <w:szCs w:val="18"/>
          <w:color w:val="auto"/>
        </w:rPr>
        <w:t>Based on my knowledge, the financial statements, and other financial</w:t>
      </w:r>
    </w:p>
    <w:p>
      <w:pPr>
        <w:spacing w:after="0" w:line="10" w:lineRule="exact"/>
        <w:rPr>
          <w:rFonts w:ascii="Calibri" w:cs="Calibri" w:eastAsia="Calibri" w:hAnsi="Calibri"/>
          <w:sz w:val="20"/>
          <w:szCs w:val="20"/>
          <w:color w:val="auto"/>
        </w:rPr>
      </w:pPr>
    </w:p>
    <w:p>
      <w:pPr>
        <w:jc w:val="both"/>
        <w:ind w:left="2140" w:right="1306" w:hanging="451"/>
        <w:spacing w:after="0" w:line="184" w:lineRule="auto"/>
        <w:tabs>
          <w:tab w:leader="none" w:pos="2140" w:val="left"/>
        </w:tabs>
        <w:numPr>
          <w:ilvl w:val="0"/>
          <w:numId w:val="171"/>
        </w:numPr>
        <w:rPr>
          <w:rFonts w:ascii="Calibri" w:cs="Calibri" w:eastAsia="Calibri" w:hAnsi="Calibri"/>
          <w:sz w:val="36"/>
          <w:szCs w:val="36"/>
          <w:color w:val="auto"/>
          <w:vertAlign w:val="subscript"/>
        </w:rPr>
      </w:pPr>
      <w:r>
        <w:rPr>
          <w:rFonts w:ascii="Arial" w:cs="Arial" w:eastAsia="Arial" w:hAnsi="Arial"/>
          <w:sz w:val="18"/>
          <w:szCs w:val="18"/>
          <w:color w:val="auto"/>
        </w:rPr>
        <w:t>information included in this report, fairly present in all material respects the financial condition, results of operations and cash flows of the registrant as of, and for, the periods presented in this report;</w:t>
      </w:r>
    </w:p>
    <w:p>
      <w:pPr>
        <w:spacing w:after="0" w:line="305" w:lineRule="exact"/>
        <w:rPr>
          <w:rFonts w:ascii="Calibri" w:cs="Calibri" w:eastAsia="Calibri" w:hAnsi="Calibri"/>
          <w:sz w:val="36"/>
          <w:szCs w:val="36"/>
          <w:color w:val="auto"/>
          <w:vertAlign w:val="subscript"/>
        </w:rPr>
      </w:pPr>
    </w:p>
    <w:p>
      <w:pPr>
        <w:jc w:val="both"/>
        <w:ind w:left="2140" w:right="1306"/>
        <w:spacing w:after="0" w:line="252" w:lineRule="auto"/>
        <w:rPr>
          <w:rFonts w:ascii="Calibri" w:cs="Calibri" w:eastAsia="Calibri" w:hAnsi="Calibri"/>
          <w:sz w:val="36"/>
          <w:szCs w:val="36"/>
          <w:color w:val="auto"/>
          <w:vertAlign w:val="subscript"/>
        </w:rPr>
      </w:pPr>
      <w:r>
        <w:rPr>
          <w:rFonts w:ascii="Arial" w:cs="Arial" w:eastAsia="Arial" w:hAnsi="Arial"/>
          <w:sz w:val="18"/>
          <w:szCs w:val="18"/>
          <w:color w:val="auto"/>
        </w:rPr>
        <w:t>The registrant's other certifying officer and I are responsible for establishing and maintaining disclosure controls and procedures (as</w:t>
      </w:r>
    </w:p>
    <w:p>
      <w:pPr>
        <w:jc w:val="both"/>
        <w:ind w:left="2140" w:right="1286" w:hanging="451"/>
        <w:spacing w:after="0" w:line="244" w:lineRule="auto"/>
        <w:tabs>
          <w:tab w:leader="none" w:pos="2140" w:val="left"/>
        </w:tabs>
        <w:numPr>
          <w:ilvl w:val="0"/>
          <w:numId w:val="171"/>
        </w:numPr>
        <w:rPr>
          <w:rFonts w:ascii="Calibri" w:cs="Calibri" w:eastAsia="Calibri" w:hAnsi="Calibri"/>
          <w:sz w:val="18"/>
          <w:szCs w:val="18"/>
          <w:color w:val="auto"/>
        </w:rPr>
      </w:pPr>
      <w:r>
        <w:rPr>
          <w:rFonts w:ascii="Arial" w:cs="Arial" w:eastAsia="Arial" w:hAnsi="Arial"/>
          <w:sz w:val="18"/>
          <w:szCs w:val="18"/>
          <w:color w:val="auto"/>
        </w:rPr>
        <w:t>defined in Exchange Act Rules 13a-15(e) and 15d-15(e)) and internal control over financial reporting (as defined in Exchange Act Rules</w:t>
      </w:r>
    </w:p>
    <w:p>
      <w:pPr>
        <w:spacing w:after="0" w:line="1" w:lineRule="exact"/>
        <w:rPr>
          <w:rFonts w:ascii="Calibri" w:cs="Calibri" w:eastAsia="Calibri" w:hAnsi="Calibri"/>
          <w:sz w:val="18"/>
          <w:szCs w:val="18"/>
          <w:color w:val="auto"/>
        </w:rPr>
      </w:pPr>
    </w:p>
    <w:p>
      <w:pPr>
        <w:ind w:left="2140"/>
        <w:spacing w:after="0" w:line="229" w:lineRule="auto"/>
        <w:rPr>
          <w:rFonts w:ascii="Calibri" w:cs="Calibri" w:eastAsia="Calibri" w:hAnsi="Calibri"/>
          <w:sz w:val="18"/>
          <w:szCs w:val="18"/>
          <w:color w:val="auto"/>
        </w:rPr>
      </w:pPr>
      <w:r>
        <w:rPr>
          <w:rFonts w:ascii="Arial" w:cs="Arial" w:eastAsia="Arial" w:hAnsi="Arial"/>
          <w:sz w:val="20"/>
          <w:szCs w:val="20"/>
          <w:color w:val="auto"/>
        </w:rPr>
        <w:t>13a-15(f) and 15d-15(f)) for the registrant and have:</w:t>
      </w:r>
    </w:p>
    <w:p>
      <w:pPr>
        <w:spacing w:after="0" w:line="306" w:lineRule="exact"/>
        <w:rPr>
          <w:sz w:val="20"/>
          <w:szCs w:val="20"/>
          <w:color w:val="auto"/>
        </w:rPr>
      </w:pPr>
    </w:p>
    <w:p>
      <w:pPr>
        <w:jc w:val="both"/>
        <w:ind w:left="2860" w:right="1306"/>
        <w:spacing w:after="0" w:line="267"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w:t>
      </w:r>
    </w:p>
    <w:p>
      <w:pPr>
        <w:jc w:val="both"/>
        <w:ind w:left="2860" w:right="1306" w:hanging="451"/>
        <w:spacing w:after="0" w:line="224" w:lineRule="auto"/>
        <w:tabs>
          <w:tab w:leader="none" w:pos="2860" w:val="left"/>
        </w:tabs>
        <w:numPr>
          <w:ilvl w:val="0"/>
          <w:numId w:val="172"/>
        </w:numPr>
        <w:rPr>
          <w:rFonts w:ascii="Calibri" w:cs="Calibri" w:eastAsia="Calibri" w:hAnsi="Calibri"/>
          <w:sz w:val="20"/>
          <w:szCs w:val="20"/>
          <w:color w:val="auto"/>
        </w:rPr>
      </w:pPr>
      <w:r>
        <w:rPr>
          <w:rFonts w:ascii="Arial" w:cs="Arial" w:eastAsia="Arial" w:hAnsi="Arial"/>
          <w:sz w:val="20"/>
          <w:szCs w:val="20"/>
          <w:color w:val="auto"/>
        </w:rPr>
        <w:t>relating to the registrant, including its consolidated subsidiaries, is made known to us by others within those entities, particularly during the period in which this report is being prepared;</w:t>
      </w:r>
    </w:p>
    <w:p>
      <w:pPr>
        <w:spacing w:after="0" w:line="88" w:lineRule="exact"/>
        <w:rPr>
          <w:rFonts w:ascii="Calibri" w:cs="Calibri" w:eastAsia="Calibri" w:hAnsi="Calibri"/>
          <w:sz w:val="20"/>
          <w:szCs w:val="20"/>
          <w:color w:val="auto"/>
        </w:rPr>
      </w:pPr>
    </w:p>
    <w:p>
      <w:pPr>
        <w:jc w:val="both"/>
        <w:ind w:left="2860" w:right="1306"/>
        <w:spacing w:after="0" w:line="238" w:lineRule="auto"/>
        <w:rPr>
          <w:rFonts w:ascii="Calibri" w:cs="Calibri" w:eastAsia="Calibri" w:hAnsi="Calibri"/>
          <w:sz w:val="20"/>
          <w:szCs w:val="20"/>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w:t>
      </w:r>
    </w:p>
    <w:p>
      <w:pPr>
        <w:spacing w:after="0" w:line="2" w:lineRule="exact"/>
        <w:rPr>
          <w:rFonts w:ascii="Calibri" w:cs="Calibri" w:eastAsia="Calibri" w:hAnsi="Calibri"/>
          <w:sz w:val="20"/>
          <w:szCs w:val="20"/>
          <w:color w:val="auto"/>
        </w:rPr>
      </w:pPr>
    </w:p>
    <w:p>
      <w:pPr>
        <w:jc w:val="both"/>
        <w:ind w:left="2860" w:right="1306" w:hanging="451"/>
        <w:spacing w:after="0" w:line="224" w:lineRule="auto"/>
        <w:tabs>
          <w:tab w:leader="none" w:pos="2860" w:val="left"/>
        </w:tabs>
        <w:numPr>
          <w:ilvl w:val="0"/>
          <w:numId w:val="172"/>
        </w:numPr>
        <w:rPr>
          <w:rFonts w:ascii="Calibri" w:cs="Calibri" w:eastAsia="Calibri" w:hAnsi="Calibri"/>
          <w:sz w:val="20"/>
          <w:szCs w:val="20"/>
          <w:color w:val="auto"/>
        </w:rPr>
      </w:pPr>
      <w:r>
        <w:rPr>
          <w:rFonts w:ascii="Arial" w:cs="Arial" w:eastAsia="Arial" w:hAnsi="Arial"/>
          <w:sz w:val="20"/>
          <w:szCs w:val="20"/>
          <w:color w:val="auto"/>
        </w:rPr>
        <w:t>assurance regarding the reliability of financial reporting and the preparation of financial statements for external purposes in accordance with generally accepted accounting principles;</w:t>
      </w:r>
    </w:p>
    <w:p>
      <w:pPr>
        <w:spacing w:after="0" w:line="88" w:lineRule="exact"/>
        <w:rPr>
          <w:rFonts w:ascii="Calibri" w:cs="Calibri" w:eastAsia="Calibri" w:hAnsi="Calibri"/>
          <w:sz w:val="20"/>
          <w:szCs w:val="20"/>
          <w:color w:val="auto"/>
        </w:rPr>
      </w:pPr>
    </w:p>
    <w:p>
      <w:pPr>
        <w:jc w:val="both"/>
        <w:ind w:left="2860" w:right="1306"/>
        <w:spacing w:after="0" w:line="238" w:lineRule="auto"/>
        <w:rPr>
          <w:rFonts w:ascii="Calibri" w:cs="Calibri" w:eastAsia="Calibri" w:hAnsi="Calibri"/>
          <w:sz w:val="20"/>
          <w:szCs w:val="20"/>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1" w:lineRule="exact"/>
        <w:rPr>
          <w:rFonts w:ascii="Calibri" w:cs="Calibri" w:eastAsia="Calibri" w:hAnsi="Calibri"/>
          <w:sz w:val="20"/>
          <w:szCs w:val="20"/>
          <w:color w:val="auto"/>
        </w:rPr>
      </w:pPr>
    </w:p>
    <w:p>
      <w:pPr>
        <w:jc w:val="both"/>
        <w:ind w:left="2860" w:right="1306" w:hanging="451"/>
        <w:spacing w:after="0" w:line="223" w:lineRule="auto"/>
        <w:tabs>
          <w:tab w:leader="none" w:pos="2860" w:val="left"/>
        </w:tabs>
        <w:numPr>
          <w:ilvl w:val="0"/>
          <w:numId w:val="172"/>
        </w:numPr>
        <w:rPr>
          <w:rFonts w:ascii="Calibri" w:cs="Calibri" w:eastAsia="Calibri" w:hAnsi="Calibri"/>
          <w:sz w:val="20"/>
          <w:szCs w:val="20"/>
          <w:color w:val="auto"/>
        </w:rPr>
      </w:pPr>
      <w:r>
        <w:rPr>
          <w:rFonts w:ascii="Arial" w:cs="Arial" w:eastAsia="Arial" w:hAnsi="Arial"/>
          <w:sz w:val="20"/>
          <w:szCs w:val="20"/>
          <w:color w:val="auto"/>
        </w:rPr>
        <w:t>conclusions about the effectiveness of the disclosure controls and procedures, as of the end of the period covered by this report based on such evaluation; and</w:t>
      </w:r>
    </w:p>
    <w:p>
      <w:pPr>
        <w:spacing w:after="0" w:line="88" w:lineRule="exact"/>
        <w:rPr>
          <w:rFonts w:ascii="Calibri" w:cs="Calibri" w:eastAsia="Calibri" w:hAnsi="Calibri"/>
          <w:sz w:val="20"/>
          <w:szCs w:val="20"/>
          <w:color w:val="auto"/>
        </w:rPr>
      </w:pPr>
    </w:p>
    <w:p>
      <w:pPr>
        <w:jc w:val="both"/>
        <w:ind w:left="2860" w:right="1306"/>
        <w:spacing w:after="0" w:line="252" w:lineRule="auto"/>
        <w:rPr>
          <w:rFonts w:ascii="Calibri" w:cs="Calibri" w:eastAsia="Calibri" w:hAnsi="Calibri"/>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w:t>
      </w:r>
    </w:p>
    <w:p>
      <w:pPr>
        <w:jc w:val="both"/>
        <w:ind w:left="2860" w:right="1306" w:hanging="451"/>
        <w:spacing w:after="0" w:line="235" w:lineRule="auto"/>
        <w:tabs>
          <w:tab w:leader="none" w:pos="2860" w:val="left"/>
        </w:tabs>
        <w:numPr>
          <w:ilvl w:val="0"/>
          <w:numId w:val="172"/>
        </w:numPr>
        <w:rPr>
          <w:rFonts w:ascii="Calibri" w:cs="Calibri" w:eastAsia="Calibri" w:hAnsi="Calibri"/>
          <w:sz w:val="19"/>
          <w:szCs w:val="19"/>
          <w:color w:val="auto"/>
        </w:rPr>
      </w:pPr>
      <w:r>
        <w:rPr>
          <w:rFonts w:ascii="Arial" w:cs="Arial" w:eastAsia="Arial" w:hAnsi="Arial"/>
          <w:sz w:val="19"/>
          <w:szCs w:val="19"/>
          <w:color w:val="auto"/>
        </w:rPr>
        <w:t>registrant's fourth fiscal quarter that has materially affected, or is reasonably likely to materially affect, the registrant's internal control over financial reporting; and</w:t>
      </w:r>
    </w:p>
    <w:p>
      <w:pPr>
        <w:spacing w:after="0" w:line="305" w:lineRule="exact"/>
        <w:rPr>
          <w:sz w:val="20"/>
          <w:szCs w:val="20"/>
          <w:color w:val="auto"/>
        </w:rPr>
      </w:pPr>
    </w:p>
    <w:p>
      <w:pPr>
        <w:ind w:left="2140" w:right="1306"/>
        <w:spacing w:after="0" w:line="252" w:lineRule="auto"/>
        <w:rPr>
          <w:sz w:val="20"/>
          <w:szCs w:val="20"/>
          <w:color w:val="auto"/>
        </w:rPr>
      </w:pPr>
      <w:r>
        <w:rPr>
          <w:rFonts w:ascii="Arial" w:cs="Arial" w:eastAsia="Arial" w:hAnsi="Arial"/>
          <w:sz w:val="18"/>
          <w:szCs w:val="18"/>
          <w:color w:val="auto"/>
        </w:rPr>
        <w:t>The registrant's other certifying officer and I have disclosed, based on our most recent evaluation of internal control over financial</w:t>
      </w:r>
    </w:p>
    <w:p>
      <w:pPr>
        <w:jc w:val="both"/>
        <w:ind w:left="2140" w:right="1306" w:hanging="451"/>
        <w:spacing w:after="0" w:line="223" w:lineRule="auto"/>
        <w:tabs>
          <w:tab w:leader="none" w:pos="2140" w:val="left"/>
        </w:tabs>
        <w:numPr>
          <w:ilvl w:val="0"/>
          <w:numId w:val="173"/>
        </w:numPr>
        <w:rPr>
          <w:rFonts w:ascii="Calibri" w:cs="Calibri" w:eastAsia="Calibri" w:hAnsi="Calibri"/>
          <w:sz w:val="20"/>
          <w:szCs w:val="20"/>
          <w:color w:val="auto"/>
        </w:rPr>
      </w:pPr>
      <w:r>
        <w:rPr>
          <w:rFonts w:ascii="Arial" w:cs="Arial" w:eastAsia="Arial" w:hAnsi="Arial"/>
          <w:sz w:val="20"/>
          <w:szCs w:val="20"/>
          <w:color w:val="auto"/>
        </w:rPr>
        <w:t>reporting, to the registrant's auditors and the audit committee of the registrant's board of directors (or persons performing the equivalent functions):</w:t>
      </w:r>
    </w:p>
    <w:p>
      <w:pPr>
        <w:sectPr>
          <w:pgSz w:w="11900" w:h="16838" w:orient="portrait"/>
          <w:cols w:equalWidth="0" w:num="1">
            <w:col w:w="9026"/>
          </w:cols>
          <w:pgMar w:left="1440" w:top="1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9026"/>
          </w:cols>
          <w:pgMar w:left="1440" w:top="1122" w:right="1440" w:bottom="0" w:gutter="0" w:footer="0" w:header="0"/>
          <w:type w:val="continuous"/>
        </w:sectPr>
      </w:pPr>
    </w:p>
    <w:bookmarkStart w:id="294" w:name="page295"/>
    <w:bookmarkEnd w:id="294"/>
    <w:p>
      <w:pPr>
        <w:ind w:left="2860" w:right="1306"/>
        <w:spacing w:after="0" w:line="238" w:lineRule="auto"/>
        <w:rPr>
          <w:sz w:val="20"/>
          <w:szCs w:val="20"/>
          <w:color w:val="auto"/>
        </w:rPr>
      </w:pPr>
      <w:r>
        <w:rPr>
          <w:rFonts w:ascii="Arial" w:cs="Arial" w:eastAsia="Arial" w:hAnsi="Arial"/>
          <w:sz w:val="19"/>
          <w:szCs w:val="19"/>
          <w:color w:val="auto"/>
        </w:rPr>
        <w:t>all significant deficiencies and material weaknesses in the design or operation of internal control over financial</w:t>
      </w:r>
    </w:p>
    <w:p>
      <w:pPr>
        <w:spacing w:after="0" w:line="2" w:lineRule="exact"/>
        <w:rPr>
          <w:sz w:val="20"/>
          <w:szCs w:val="20"/>
          <w:color w:val="auto"/>
        </w:rPr>
      </w:pPr>
    </w:p>
    <w:p>
      <w:pPr>
        <w:jc w:val="both"/>
        <w:ind w:left="2860" w:right="1306" w:hanging="451"/>
        <w:spacing w:after="0" w:line="223" w:lineRule="auto"/>
        <w:tabs>
          <w:tab w:leader="none" w:pos="2860" w:val="left"/>
        </w:tabs>
        <w:numPr>
          <w:ilvl w:val="0"/>
          <w:numId w:val="174"/>
        </w:numPr>
        <w:rPr>
          <w:rFonts w:ascii="Calibri" w:cs="Calibri" w:eastAsia="Calibri" w:hAnsi="Calibri"/>
          <w:sz w:val="20"/>
          <w:szCs w:val="20"/>
          <w:color w:val="auto"/>
        </w:rPr>
      </w:pPr>
      <w:r>
        <w:rPr>
          <w:rFonts w:ascii="Arial" w:cs="Arial" w:eastAsia="Arial" w:hAnsi="Arial"/>
          <w:sz w:val="20"/>
          <w:szCs w:val="20"/>
          <w:color w:val="auto"/>
        </w:rPr>
        <w:t>reporting which are reasonably likely to adversely affect the registrant's ability to record, process, summarize and report financial information; and</w:t>
      </w:r>
    </w:p>
    <w:p>
      <w:pPr>
        <w:spacing w:after="0" w:line="76" w:lineRule="exact"/>
        <w:rPr>
          <w:sz w:val="20"/>
          <w:szCs w:val="20"/>
          <w:color w:val="auto"/>
        </w:rPr>
      </w:pPr>
    </w:p>
    <w:p>
      <w:pPr>
        <w:ind w:left="2860"/>
        <w:spacing w:after="0"/>
        <w:tabs>
          <w:tab w:leader="none" w:pos="3320" w:val="left"/>
          <w:tab w:leader="none" w:pos="3980" w:val="left"/>
          <w:tab w:leader="none" w:pos="4820" w:val="left"/>
          <w:tab w:leader="none" w:pos="5180" w:val="left"/>
          <w:tab w:leader="none" w:pos="5640" w:val="left"/>
          <w:tab w:leader="none" w:pos="6540" w:val="left"/>
          <w:tab w:leader="none" w:pos="7020" w:val="left"/>
        </w:tabs>
        <w:rPr>
          <w:sz w:val="20"/>
          <w:szCs w:val="20"/>
          <w:color w:val="auto"/>
        </w:rPr>
      </w:pPr>
      <w:r>
        <w:rPr>
          <w:rFonts w:ascii="Arial" w:cs="Arial" w:eastAsia="Arial" w:hAnsi="Arial"/>
          <w:sz w:val="20"/>
          <w:szCs w:val="20"/>
          <w:color w:val="auto"/>
        </w:rPr>
        <w:t>any</w:t>
        <w:tab/>
        <w:t>fraud,</w:t>
        <w:tab/>
        <w:t>whether</w:t>
        <w:tab/>
        <w:t>or</w:t>
        <w:tab/>
        <w:t>not</w:t>
        <w:tab/>
        <w:t>material,</w:t>
        <w:tab/>
        <w:t>that</w:t>
      </w:r>
      <w:r>
        <w:rPr>
          <w:sz w:val="20"/>
          <w:szCs w:val="20"/>
          <w:color w:val="auto"/>
        </w:rPr>
        <w:tab/>
      </w:r>
      <w:r>
        <w:rPr>
          <w:rFonts w:ascii="Arial" w:cs="Arial" w:eastAsia="Arial" w:hAnsi="Arial"/>
          <w:sz w:val="18"/>
          <w:szCs w:val="18"/>
          <w:color w:val="auto"/>
        </w:rPr>
        <w:t>involves</w:t>
      </w:r>
    </w:p>
    <w:p>
      <w:pPr>
        <w:ind w:left="2860" w:right="1306" w:hanging="451"/>
        <w:spacing w:after="0" w:line="252" w:lineRule="auto"/>
        <w:tabs>
          <w:tab w:leader="none" w:pos="2860" w:val="left"/>
        </w:tabs>
        <w:numPr>
          <w:ilvl w:val="0"/>
          <w:numId w:val="175"/>
        </w:numPr>
        <w:rPr>
          <w:rFonts w:ascii="Calibri" w:cs="Calibri" w:eastAsia="Calibri" w:hAnsi="Calibri"/>
          <w:sz w:val="18"/>
          <w:szCs w:val="18"/>
          <w:color w:val="auto"/>
        </w:rPr>
      </w:pPr>
      <w:r>
        <w:rPr>
          <w:rFonts w:ascii="Arial" w:cs="Arial" w:eastAsia="Arial" w:hAnsi="Arial"/>
          <w:sz w:val="18"/>
          <w:szCs w:val="18"/>
          <w:color w:val="auto"/>
        </w:rPr>
        <w:t>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20"/>
                <w:szCs w:val="20"/>
                <w:color w:val="auto"/>
              </w:rPr>
              <w:t>/s/ Gilbert Avanes</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6020" w:type="dxa"/>
            <w:vAlign w:val="bottom"/>
            <w:gridSpan w:val="3"/>
          </w:tcPr>
          <w:p>
            <w:pPr>
              <w:ind w:left="220"/>
              <w:spacing w:after="0" w:line="215" w:lineRule="exact"/>
              <w:rPr>
                <w:sz w:val="20"/>
                <w:szCs w:val="20"/>
                <w:color w:val="auto"/>
              </w:rPr>
            </w:pPr>
            <w:r>
              <w:rPr>
                <w:rFonts w:ascii="Arial" w:cs="Arial" w:eastAsia="Arial" w:hAnsi="Arial"/>
                <w:sz w:val="20"/>
                <w:szCs w:val="20"/>
                <w:color w:val="auto"/>
              </w:rPr>
              <w:t>Gilbert Avanes</w:t>
            </w:r>
          </w:p>
        </w:tc>
      </w:tr>
      <w:tr>
        <w:trPr>
          <w:trHeight w:val="217"/>
        </w:trPr>
        <w:tc>
          <w:tcPr>
            <w:tcW w:w="500" w:type="dxa"/>
            <w:vAlign w:val="bottom"/>
          </w:tcPr>
          <w:p>
            <w:pPr>
              <w:spacing w:after="0"/>
              <w:rPr>
                <w:sz w:val="18"/>
                <w:szCs w:val="18"/>
                <w:color w:val="auto"/>
              </w:rPr>
            </w:pPr>
          </w:p>
        </w:tc>
        <w:tc>
          <w:tcPr>
            <w:tcW w:w="6020" w:type="dxa"/>
            <w:vAlign w:val="bottom"/>
            <w:gridSpan w:val="3"/>
          </w:tcPr>
          <w:p>
            <w:pPr>
              <w:ind w:left="220"/>
              <w:spacing w:after="0" w:line="217" w:lineRule="exact"/>
              <w:rPr>
                <w:sz w:val="20"/>
                <w:szCs w:val="20"/>
                <w:color w:val="auto"/>
              </w:rPr>
            </w:pPr>
            <w:r>
              <w:rPr>
                <w:rFonts w:ascii="Arial" w:cs="Arial" w:eastAsia="Arial" w:hAnsi="Arial"/>
                <w:sz w:val="20"/>
                <w:szCs w:val="20"/>
                <w:color w:val="auto"/>
              </w:rPr>
              <w:t>Executive Vice President, Chief Financial Officer and Treasurer</w:t>
            </w:r>
          </w:p>
        </w:tc>
      </w:tr>
      <w:tr>
        <w:trPr>
          <w:trHeight w:val="220"/>
        </w:trPr>
        <w:tc>
          <w:tcPr>
            <w:tcW w:w="500" w:type="dxa"/>
            <w:vAlign w:val="bottom"/>
          </w:tcPr>
          <w:p>
            <w:pPr>
              <w:spacing w:after="0"/>
              <w:rPr>
                <w:sz w:val="19"/>
                <w:szCs w:val="19"/>
                <w:color w:val="auto"/>
              </w:rPr>
            </w:pPr>
          </w:p>
        </w:tc>
        <w:tc>
          <w:tcPr>
            <w:tcW w:w="6020" w:type="dxa"/>
            <w:vAlign w:val="bottom"/>
            <w:gridSpan w:val="3"/>
          </w:tcPr>
          <w:p>
            <w:pPr>
              <w:ind w:left="220"/>
              <w:spacing w:after="0" w:line="220" w:lineRule="exact"/>
              <w:rPr>
                <w:sz w:val="20"/>
                <w:szCs w:val="20"/>
                <w:color w:val="auto"/>
              </w:rPr>
            </w:pPr>
            <w:r>
              <w:rPr>
                <w:rFonts w:ascii="Arial" w:cs="Arial" w:eastAsia="Arial" w:hAnsi="Arial"/>
                <w:sz w:val="20"/>
                <w:szCs w:val="20"/>
                <w:color w:val="auto"/>
              </w:rPr>
              <w:t>March 31, 2026</w:t>
            </w:r>
          </w:p>
        </w:tc>
      </w:tr>
      <w:tr>
        <w:trPr>
          <w:trHeight w:val="698"/>
        </w:trPr>
        <w:tc>
          <w:tcPr>
            <w:tcW w:w="5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-18415</wp:posOffset>
            </wp:positionV>
            <wp:extent cx="952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-18415</wp:posOffset>
            </wp:positionV>
            <wp:extent cx="952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9026"/>
          </w:cols>
          <w:pgMar w:left="1440" w:top="1168" w:right="1440" w:bottom="0" w:gutter="0" w:footer="0" w:header="0"/>
          <w:type w:val="continuous"/>
        </w:sectPr>
      </w:pPr>
    </w:p>
    <w:bookmarkStart w:id="295" w:name="page296"/>
    <w:bookmarkEnd w:id="295"/>
    <w:p>
      <w:pPr>
        <w:ind w:left="6700"/>
        <w:spacing w:after="0"/>
        <w:rPr>
          <w:sz w:val="20"/>
          <w:szCs w:val="20"/>
          <w:color w:val="auto"/>
        </w:rPr>
      </w:pPr>
      <w:r>
        <w:rPr>
          <w:rFonts w:ascii="Arial" w:cs="Arial" w:eastAsia="Arial" w:hAnsi="Arial"/>
          <w:sz w:val="17"/>
          <w:szCs w:val="17"/>
          <w:color w:val="auto"/>
        </w:rPr>
        <w:t>EXHIBIT 32.1</w:t>
      </w:r>
    </w:p>
    <w:p>
      <w:pPr>
        <w:spacing w:after="0" w:line="173"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CERTIFICATION OF PRINCIPAL EXECUTIVE OFFICER</w:t>
      </w:r>
    </w:p>
    <w:p>
      <w:pPr>
        <w:ind w:left="3840"/>
        <w:spacing w:after="0" w:line="208" w:lineRule="auto"/>
        <w:rPr>
          <w:sz w:val="20"/>
          <w:szCs w:val="20"/>
          <w:color w:val="auto"/>
        </w:rPr>
      </w:pPr>
      <w:r>
        <w:rPr>
          <w:rFonts w:ascii="Arial" w:cs="Arial" w:eastAsia="Arial" w:hAnsi="Arial"/>
          <w:sz w:val="20"/>
          <w:szCs w:val="20"/>
          <w:color w:val="auto"/>
        </w:rPr>
        <w:t>PURSUANT TO</w:t>
      </w:r>
    </w:p>
    <w:p>
      <w:pPr>
        <w:ind w:left="3380"/>
        <w:spacing w:after="0" w:line="209" w:lineRule="auto"/>
        <w:rPr>
          <w:sz w:val="20"/>
          <w:szCs w:val="20"/>
          <w:color w:val="auto"/>
        </w:rPr>
      </w:pPr>
      <w:r>
        <w:rPr>
          <w:rFonts w:ascii="Arial" w:cs="Arial" w:eastAsia="Arial" w:hAnsi="Arial"/>
          <w:sz w:val="20"/>
          <w:szCs w:val="20"/>
          <w:color w:val="auto"/>
        </w:rPr>
        <w:t>18 U.S.C. SECTION 1350,</w:t>
      </w:r>
    </w:p>
    <w:p>
      <w:pPr>
        <w:ind w:left="3200"/>
        <w:spacing w:after="0" w:line="209" w:lineRule="auto"/>
        <w:rPr>
          <w:sz w:val="20"/>
          <w:szCs w:val="20"/>
          <w:color w:val="auto"/>
        </w:rPr>
      </w:pPr>
      <w:r>
        <w:rPr>
          <w:rFonts w:ascii="Arial" w:cs="Arial" w:eastAsia="Arial" w:hAnsi="Arial"/>
          <w:sz w:val="20"/>
          <w:szCs w:val="20"/>
          <w:color w:val="auto"/>
        </w:rPr>
        <w:t>AS ADOPTED PURSUANT TO</w:t>
      </w:r>
    </w:p>
    <w:p>
      <w:pPr>
        <w:ind w:left="2040"/>
        <w:spacing w:after="0" w:line="229" w:lineRule="auto"/>
        <w:rPr>
          <w:sz w:val="20"/>
          <w:szCs w:val="20"/>
          <w:color w:val="auto"/>
        </w:rPr>
      </w:pPr>
      <w:r>
        <w:rPr>
          <w:rFonts w:ascii="Arial" w:cs="Arial" w:eastAsia="Arial" w:hAnsi="Arial"/>
          <w:sz w:val="20"/>
          <w:szCs w:val="20"/>
          <w:color w:val="auto"/>
        </w:rPr>
        <w:t>SECTION 906 OF THE SARBANES-OXLEY ACT OF 2002</w:t>
      </w:r>
    </w:p>
    <w:p>
      <w:pPr>
        <w:spacing w:after="0" w:line="381" w:lineRule="exact"/>
        <w:rPr>
          <w:sz w:val="20"/>
          <w:szCs w:val="20"/>
          <w:color w:val="auto"/>
        </w:rPr>
      </w:pPr>
    </w:p>
    <w:p>
      <w:pPr>
        <w:jc w:val="both"/>
        <w:ind w:left="1260" w:right="1246"/>
        <w:spacing w:after="0" w:line="213" w:lineRule="auto"/>
        <w:rPr>
          <w:sz w:val="20"/>
          <w:szCs w:val="20"/>
          <w:color w:val="auto"/>
        </w:rPr>
      </w:pPr>
      <w:r>
        <w:rPr>
          <w:rFonts w:ascii="Arial" w:cs="Arial" w:eastAsia="Arial" w:hAnsi="Arial"/>
          <w:sz w:val="20"/>
          <w:szCs w:val="20"/>
          <w:color w:val="auto"/>
        </w:rPr>
        <w:t>Ellen M. Cotter, Chief Executive Officer of Reading International, Inc. (the “Company”), pursuant to 18 U.S.C. Section 1350, as adopted pursuant to Section 906 of the Sarbanes-Oxley Act of 2002, does hereby certify, that, to her knowledge:</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Annual Report on Form 10-K for the year ended December 31,</w:t>
      </w:r>
    </w:p>
    <w:p>
      <w:pPr>
        <w:jc w:val="both"/>
        <w:ind w:left="2140" w:right="2066" w:hanging="451"/>
        <w:spacing w:after="0" w:line="182" w:lineRule="auto"/>
        <w:tabs>
          <w:tab w:leader="none" w:pos="2140" w:val="left"/>
        </w:tabs>
        <w:numPr>
          <w:ilvl w:val="0"/>
          <w:numId w:val="176"/>
        </w:numPr>
        <w:rPr>
          <w:rFonts w:ascii="Arial" w:cs="Arial" w:eastAsia="Arial" w:hAnsi="Arial"/>
          <w:sz w:val="35"/>
          <w:szCs w:val="35"/>
          <w:color w:val="auto"/>
          <w:vertAlign w:val="subscript"/>
        </w:rPr>
      </w:pPr>
      <w:r>
        <w:rPr>
          <w:rFonts w:ascii="Arial" w:cs="Arial" w:eastAsia="Arial" w:hAnsi="Arial"/>
          <w:sz w:val="18"/>
          <w:szCs w:val="18"/>
          <w:color w:val="auto"/>
        </w:rPr>
        <w:t>2025 (the "Report") of the Company fully complies with the requirements of Section 13(a) or 15(d), as applicable, of the Securities Exchange Act of 1934; and</w:t>
      </w:r>
    </w:p>
    <w:p>
      <w:pPr>
        <w:spacing w:after="0" w:line="260" w:lineRule="exact"/>
        <w:rPr>
          <w:rFonts w:ascii="Arial" w:cs="Arial" w:eastAsia="Arial" w:hAnsi="Arial"/>
          <w:sz w:val="35"/>
          <w:szCs w:val="35"/>
          <w:color w:val="auto"/>
          <w:vertAlign w:val="subscript"/>
        </w:rPr>
      </w:pPr>
    </w:p>
    <w:p>
      <w:pPr>
        <w:ind w:left="2140"/>
        <w:spacing w:after="0"/>
        <w:rPr>
          <w:rFonts w:ascii="Arial" w:cs="Arial" w:eastAsia="Arial" w:hAnsi="Arial"/>
          <w:sz w:val="35"/>
          <w:szCs w:val="35"/>
          <w:color w:val="auto"/>
          <w:vertAlign w:val="subscript"/>
        </w:rPr>
      </w:pPr>
      <w:r>
        <w:rPr>
          <w:rFonts w:ascii="Arial" w:cs="Arial" w:eastAsia="Arial" w:hAnsi="Arial"/>
          <w:sz w:val="20"/>
          <w:szCs w:val="20"/>
          <w:color w:val="auto"/>
        </w:rPr>
        <w:t>The information contained in the Report fairly presents, in all</w:t>
      </w:r>
    </w:p>
    <w:p>
      <w:pPr>
        <w:ind w:left="2140" w:right="1406" w:hanging="451"/>
        <w:spacing w:after="0" w:line="219" w:lineRule="auto"/>
        <w:tabs>
          <w:tab w:leader="none" w:pos="21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material respects, the financial condition and results of operations of the Company.</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Dated: March 31, 2026</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/s/ Ellen M. Cotter</w:t>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0"/>
        </w:trPr>
        <w:tc>
          <w:tcPr>
            <w:tcW w:w="840" w:type="dxa"/>
            <w:vAlign w:val="bottom"/>
          </w:tcPr>
          <w:p>
            <w:pPr>
              <w:spacing w:after="0" w:line="180" w:lineRule="exact"/>
              <w:rPr>
                <w:sz w:val="20"/>
                <w:szCs w:val="20"/>
                <w:color w:val="auto"/>
              </w:rPr>
            </w:pPr>
            <w:r>
              <w:rPr>
                <w:rFonts w:ascii="Arial" w:cs="Arial" w:eastAsia="Arial" w:hAnsi="Arial"/>
                <w:sz w:val="20"/>
                <w:szCs w:val="20"/>
                <w:color w:val="auto"/>
              </w:rPr>
              <w:t>Name:</w:t>
            </w:r>
          </w:p>
        </w:tc>
        <w:tc>
          <w:tcPr>
            <w:tcW w:w="5680" w:type="dxa"/>
            <w:vAlign w:val="bottom"/>
            <w:gridSpan w:val="2"/>
          </w:tcPr>
          <w:p>
            <w:pPr>
              <w:ind w:left="400"/>
              <w:spacing w:after="0" w:line="180" w:lineRule="exact"/>
              <w:rPr>
                <w:sz w:val="20"/>
                <w:szCs w:val="20"/>
                <w:color w:val="auto"/>
              </w:rPr>
            </w:pPr>
            <w:r>
              <w:rPr>
                <w:rFonts w:ascii="Arial" w:cs="Arial" w:eastAsia="Arial" w:hAnsi="Arial"/>
                <w:sz w:val="20"/>
                <w:szCs w:val="20"/>
                <w:color w:val="auto"/>
              </w:rPr>
              <w:t>Ellen M. Cotter</w:t>
            </w:r>
          </w:p>
        </w:tc>
      </w:tr>
      <w:tr>
        <w:trPr>
          <w:trHeight w:val="220"/>
        </w:trPr>
        <w:tc>
          <w:tcPr>
            <w:tcW w:w="840" w:type="dxa"/>
            <w:vAlign w:val="bottom"/>
          </w:tcPr>
          <w:p>
            <w:pPr>
              <w:spacing w:after="0" w:line="220" w:lineRule="exact"/>
              <w:rPr>
                <w:sz w:val="20"/>
                <w:szCs w:val="20"/>
                <w:color w:val="auto"/>
              </w:rPr>
            </w:pPr>
            <w:r>
              <w:rPr>
                <w:rFonts w:ascii="Arial" w:cs="Arial" w:eastAsia="Arial" w:hAnsi="Arial"/>
                <w:sz w:val="20"/>
                <w:szCs w:val="20"/>
                <w:color w:val="auto"/>
              </w:rPr>
              <w:t>Title:</w:t>
            </w:r>
          </w:p>
        </w:tc>
        <w:tc>
          <w:tcPr>
            <w:tcW w:w="5680" w:type="dxa"/>
            <w:vAlign w:val="bottom"/>
            <w:gridSpan w:val="2"/>
          </w:tcPr>
          <w:p>
            <w:pPr>
              <w:ind w:left="300"/>
              <w:spacing w:after="0" w:line="220" w:lineRule="exact"/>
              <w:rPr>
                <w:sz w:val="20"/>
                <w:szCs w:val="20"/>
                <w:color w:val="auto"/>
              </w:rPr>
            </w:pPr>
            <w:r>
              <w:rPr>
                <w:rFonts w:ascii="Arial" w:cs="Arial" w:eastAsia="Arial" w:hAnsi="Arial"/>
                <w:sz w:val="20"/>
                <w:szCs w:val="20"/>
                <w:color w:val="auto"/>
              </w:rPr>
              <w:t>President and Chief Executive Officer</w:t>
            </w:r>
          </w:p>
        </w:tc>
      </w:tr>
      <w:tr>
        <w:trPr>
          <w:trHeight w:val="687"/>
        </w:trPr>
        <w:tc>
          <w:tcPr>
            <w:tcW w:w="8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-18415</wp:posOffset>
            </wp:positionV>
            <wp:extent cx="952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-18415</wp:posOffset>
            </wp:positionV>
            <wp:extent cx="952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026"/>
          </w:cols>
          <w:pgMar w:left="1440" w:top="11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026"/>
          </w:cols>
          <w:pgMar w:left="1440" w:top="1124" w:right="1440" w:bottom="0" w:gutter="0" w:footer="0" w:header="0"/>
          <w:type w:val="continuous"/>
        </w:sectPr>
      </w:pPr>
    </w:p>
    <w:bookmarkStart w:id="296" w:name="page297"/>
    <w:bookmarkEnd w:id="296"/>
    <w:p>
      <w:pPr>
        <w:ind w:left="6700"/>
        <w:spacing w:after="0"/>
        <w:rPr>
          <w:sz w:val="20"/>
          <w:szCs w:val="20"/>
          <w:color w:val="auto"/>
        </w:rPr>
      </w:pPr>
      <w:r>
        <w:rPr>
          <w:rFonts w:ascii="Arial" w:cs="Arial" w:eastAsia="Arial" w:hAnsi="Arial"/>
          <w:sz w:val="17"/>
          <w:szCs w:val="17"/>
          <w:color w:val="auto"/>
        </w:rPr>
        <w:t>EXHIBIT 32.2</w:t>
      </w:r>
    </w:p>
    <w:p>
      <w:pPr>
        <w:spacing w:after="0" w:line="173"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CERTIFICATION OF PRINCIPAL FINANCIAL OFFICER</w:t>
      </w:r>
    </w:p>
    <w:p>
      <w:pPr>
        <w:ind w:left="3840"/>
        <w:spacing w:after="0" w:line="208" w:lineRule="auto"/>
        <w:rPr>
          <w:sz w:val="20"/>
          <w:szCs w:val="20"/>
          <w:color w:val="auto"/>
        </w:rPr>
      </w:pPr>
      <w:r>
        <w:rPr>
          <w:rFonts w:ascii="Arial" w:cs="Arial" w:eastAsia="Arial" w:hAnsi="Arial"/>
          <w:sz w:val="20"/>
          <w:szCs w:val="20"/>
          <w:color w:val="auto"/>
        </w:rPr>
        <w:t>PURSUANT TO</w:t>
      </w:r>
    </w:p>
    <w:p>
      <w:pPr>
        <w:ind w:left="3380"/>
        <w:spacing w:after="0" w:line="209" w:lineRule="auto"/>
        <w:rPr>
          <w:sz w:val="20"/>
          <w:szCs w:val="20"/>
          <w:color w:val="auto"/>
        </w:rPr>
      </w:pPr>
      <w:r>
        <w:rPr>
          <w:rFonts w:ascii="Arial" w:cs="Arial" w:eastAsia="Arial" w:hAnsi="Arial"/>
          <w:sz w:val="20"/>
          <w:szCs w:val="20"/>
          <w:color w:val="auto"/>
        </w:rPr>
        <w:t>18 U.S.C. SECTION 1350,</w:t>
      </w:r>
    </w:p>
    <w:p>
      <w:pPr>
        <w:ind w:left="3200"/>
        <w:spacing w:after="0" w:line="209" w:lineRule="auto"/>
        <w:rPr>
          <w:sz w:val="20"/>
          <w:szCs w:val="20"/>
          <w:color w:val="auto"/>
        </w:rPr>
      </w:pPr>
      <w:r>
        <w:rPr>
          <w:rFonts w:ascii="Arial" w:cs="Arial" w:eastAsia="Arial" w:hAnsi="Arial"/>
          <w:sz w:val="20"/>
          <w:szCs w:val="20"/>
          <w:color w:val="auto"/>
        </w:rPr>
        <w:t>AS ADOPTED PURSUANT TO</w:t>
      </w:r>
    </w:p>
    <w:p>
      <w:pPr>
        <w:ind w:left="2040"/>
        <w:spacing w:after="0" w:line="229" w:lineRule="auto"/>
        <w:rPr>
          <w:sz w:val="20"/>
          <w:szCs w:val="20"/>
          <w:color w:val="auto"/>
        </w:rPr>
      </w:pPr>
      <w:r>
        <w:rPr>
          <w:rFonts w:ascii="Arial" w:cs="Arial" w:eastAsia="Arial" w:hAnsi="Arial"/>
          <w:sz w:val="20"/>
          <w:szCs w:val="20"/>
          <w:color w:val="auto"/>
        </w:rPr>
        <w:t>SECTION 906 OF THE SARBANES-OXLEY ACT OF 2002</w:t>
      </w:r>
    </w:p>
    <w:p>
      <w:pPr>
        <w:spacing w:after="0" w:line="381" w:lineRule="exact"/>
        <w:rPr>
          <w:sz w:val="20"/>
          <w:szCs w:val="20"/>
          <w:color w:val="auto"/>
        </w:rPr>
      </w:pPr>
    </w:p>
    <w:p>
      <w:pPr>
        <w:jc w:val="both"/>
        <w:ind w:left="1260" w:right="1246"/>
        <w:spacing w:after="0" w:line="213" w:lineRule="auto"/>
        <w:rPr>
          <w:sz w:val="20"/>
          <w:szCs w:val="20"/>
          <w:color w:val="auto"/>
        </w:rPr>
      </w:pPr>
      <w:r>
        <w:rPr>
          <w:rFonts w:ascii="Arial" w:cs="Arial" w:eastAsia="Arial" w:hAnsi="Arial"/>
          <w:sz w:val="20"/>
          <w:szCs w:val="20"/>
          <w:color w:val="auto"/>
        </w:rPr>
        <w:t>Gilbert Avanes, Chief Financial Officer, of Reading International, Inc. (the “Company”), pursuant to 18 U.S.C. Section 1350, as adopted pursuant to Section 906 of the Sarbanes-Oxley Act of 2002, does hereby certify, that, to his knowledge:</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Annual Report on Form 10-K for the year ended December 31,</w:t>
      </w:r>
    </w:p>
    <w:p>
      <w:pPr>
        <w:jc w:val="both"/>
        <w:ind w:left="2140" w:right="2066" w:hanging="451"/>
        <w:spacing w:after="0" w:line="182" w:lineRule="auto"/>
        <w:tabs>
          <w:tab w:leader="none" w:pos="2140" w:val="left"/>
        </w:tabs>
        <w:numPr>
          <w:ilvl w:val="0"/>
          <w:numId w:val="177"/>
        </w:numPr>
        <w:rPr>
          <w:rFonts w:ascii="Arial" w:cs="Arial" w:eastAsia="Arial" w:hAnsi="Arial"/>
          <w:sz w:val="35"/>
          <w:szCs w:val="35"/>
          <w:color w:val="auto"/>
          <w:vertAlign w:val="subscript"/>
        </w:rPr>
      </w:pPr>
      <w:r>
        <w:rPr>
          <w:rFonts w:ascii="Arial" w:cs="Arial" w:eastAsia="Arial" w:hAnsi="Arial"/>
          <w:sz w:val="18"/>
          <w:szCs w:val="18"/>
          <w:color w:val="auto"/>
        </w:rPr>
        <w:t>2025 (the "Report") of the Company fully complies with the requirements of Section 13(a) or 15(d), as applicable, of the Securities Exchange Act of 1934; and</w:t>
      </w:r>
    </w:p>
    <w:p>
      <w:pPr>
        <w:spacing w:after="0" w:line="260" w:lineRule="exact"/>
        <w:rPr>
          <w:rFonts w:ascii="Arial" w:cs="Arial" w:eastAsia="Arial" w:hAnsi="Arial"/>
          <w:sz w:val="35"/>
          <w:szCs w:val="35"/>
          <w:color w:val="auto"/>
          <w:vertAlign w:val="subscript"/>
        </w:rPr>
      </w:pPr>
    </w:p>
    <w:p>
      <w:pPr>
        <w:ind w:left="2140"/>
        <w:spacing w:after="0"/>
        <w:rPr>
          <w:rFonts w:ascii="Arial" w:cs="Arial" w:eastAsia="Arial" w:hAnsi="Arial"/>
          <w:sz w:val="35"/>
          <w:szCs w:val="35"/>
          <w:color w:val="auto"/>
          <w:vertAlign w:val="subscript"/>
        </w:rPr>
      </w:pPr>
      <w:r>
        <w:rPr>
          <w:rFonts w:ascii="Arial" w:cs="Arial" w:eastAsia="Arial" w:hAnsi="Arial"/>
          <w:sz w:val="20"/>
          <w:szCs w:val="20"/>
          <w:color w:val="auto"/>
        </w:rPr>
        <w:t>The information contained in the Report fairly presents, in all</w:t>
      </w:r>
    </w:p>
    <w:p>
      <w:pPr>
        <w:ind w:left="2140" w:right="1406" w:hanging="451"/>
        <w:spacing w:after="0" w:line="219" w:lineRule="auto"/>
        <w:tabs>
          <w:tab w:leader="none" w:pos="214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material respects, the financial condition and results of operations of the Company.</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Dated: March 31, 2026</w:t>
      </w:r>
    </w:p>
    <w:p>
      <w:pPr>
        <w:spacing w:after="0" w:line="35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/s/ Gilbert Avanes</w:t>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80"/>
        </w:trPr>
        <w:tc>
          <w:tcPr>
            <w:tcW w:w="840" w:type="dxa"/>
            <w:vAlign w:val="bottom"/>
          </w:tcPr>
          <w:p>
            <w:pPr>
              <w:spacing w:after="0" w:line="180" w:lineRule="exact"/>
              <w:rPr>
                <w:sz w:val="20"/>
                <w:szCs w:val="20"/>
                <w:color w:val="auto"/>
              </w:rPr>
            </w:pPr>
            <w:r>
              <w:rPr>
                <w:rFonts w:ascii="Arial" w:cs="Arial" w:eastAsia="Arial" w:hAnsi="Arial"/>
                <w:sz w:val="20"/>
                <w:szCs w:val="20"/>
                <w:color w:val="auto"/>
              </w:rPr>
              <w:t>Name:</w:t>
            </w:r>
          </w:p>
        </w:tc>
        <w:tc>
          <w:tcPr>
            <w:tcW w:w="5680" w:type="dxa"/>
            <w:vAlign w:val="bottom"/>
            <w:gridSpan w:val="2"/>
          </w:tcPr>
          <w:p>
            <w:pPr>
              <w:ind w:left="400"/>
              <w:spacing w:after="0" w:line="180" w:lineRule="exact"/>
              <w:rPr>
                <w:sz w:val="20"/>
                <w:szCs w:val="20"/>
                <w:color w:val="auto"/>
              </w:rPr>
            </w:pPr>
            <w:r>
              <w:rPr>
                <w:rFonts w:ascii="Arial" w:cs="Arial" w:eastAsia="Arial" w:hAnsi="Arial"/>
                <w:sz w:val="20"/>
                <w:szCs w:val="20"/>
                <w:color w:val="auto"/>
              </w:rPr>
              <w:t>Gilbert Avanes</w:t>
            </w:r>
          </w:p>
        </w:tc>
      </w:tr>
      <w:tr>
        <w:trPr>
          <w:trHeight w:val="220"/>
        </w:trPr>
        <w:tc>
          <w:tcPr>
            <w:tcW w:w="840" w:type="dxa"/>
            <w:vAlign w:val="bottom"/>
          </w:tcPr>
          <w:p>
            <w:pPr>
              <w:spacing w:after="0" w:line="220" w:lineRule="exact"/>
              <w:rPr>
                <w:sz w:val="20"/>
                <w:szCs w:val="20"/>
                <w:color w:val="auto"/>
              </w:rPr>
            </w:pPr>
            <w:r>
              <w:rPr>
                <w:rFonts w:ascii="Arial" w:cs="Arial" w:eastAsia="Arial" w:hAnsi="Arial"/>
                <w:sz w:val="20"/>
                <w:szCs w:val="20"/>
                <w:color w:val="auto"/>
              </w:rPr>
              <w:t>Title:</w:t>
            </w:r>
          </w:p>
        </w:tc>
        <w:tc>
          <w:tcPr>
            <w:tcW w:w="5680" w:type="dxa"/>
            <w:vAlign w:val="bottom"/>
            <w:gridSpan w:val="2"/>
          </w:tcPr>
          <w:p>
            <w:pPr>
              <w:ind w:left="300"/>
              <w:spacing w:after="0" w:line="220" w:lineRule="exact"/>
              <w:rPr>
                <w:sz w:val="20"/>
                <w:szCs w:val="20"/>
                <w:color w:val="auto"/>
              </w:rPr>
            </w:pPr>
            <w:r>
              <w:rPr>
                <w:rFonts w:ascii="Arial" w:cs="Arial" w:eastAsia="Arial" w:hAnsi="Arial"/>
                <w:sz w:val="20"/>
                <w:szCs w:val="20"/>
                <w:color w:val="auto"/>
                <w:w w:val="95"/>
              </w:rPr>
              <w:t>Executive Vice President, Chief Financial Officer and Treasurer</w:t>
            </w:r>
          </w:p>
        </w:tc>
      </w:tr>
      <w:tr>
        <w:trPr>
          <w:trHeight w:val="687"/>
        </w:trPr>
        <w:tc>
          <w:tcPr>
            <w:tcW w:w="84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-18415</wp:posOffset>
            </wp:positionV>
            <wp:extent cx="952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-18415</wp:posOffset>
            </wp:positionV>
            <wp:extent cx="952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026"/>
          </w:cols>
          <w:pgMar w:left="1440" w:top="11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17</w:t>
      </w:r>
    </w:p>
    <w:sectPr>
      <w:pgSz w:w="11900" w:h="16838" w:orient="portrait"/>
      <w:cols w:equalWidth="0" w:num="1">
        <w:col w:w="9026"/>
      </w:cols>
      <w:pgMar w:left="1440" w:top="1124"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2"/>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1)"/>
      <w:numFmt w:val="decimal"/>
      <w:start w:val="2"/>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lvl w:ilvl="1">
      <w:lvlJc w:val="left"/>
      <w:lvlText w:val="o"/>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lvl w:ilvl="1">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lvl w:ilvl="1">
      <w:lvlJc w:val="left"/>
      <w:lvlText w:val=""/>
      <w:numFmt w:val="bullet"/>
      <w:start w:val="1"/>
    </w:lvl>
  </w:abstractNum>
  <w:abstractNum w:abstractNumId="11">
    <w:nsid w:val="26F324BA"/>
    <w:multiLevelType w:val="hybridMultilevel"/>
    <w:lvl w:ilvl="0">
      <w:lvlJc w:val="left"/>
      <w:lvlText w:val=""/>
      <w:numFmt w:val="bullet"/>
      <w:start w:val="1"/>
    </w:lvl>
    <w:lvl w:ilvl="1">
      <w:lvlJc w:val="left"/>
      <w:lvlText w:val="-"/>
      <w:numFmt w:val="bullet"/>
      <w:start w:val="1"/>
    </w:lvl>
  </w:abstractNum>
  <w:abstractNum w:abstractNumId="12">
    <w:nsid w:val="7F01579B"/>
    <w:multiLevelType w:val="hybridMultilevel"/>
    <w:lvl w:ilvl="0">
      <w:lvlJc w:val="left"/>
      <w:lvlText w:val=""/>
      <w:numFmt w:val="bullet"/>
      <w:start w:val="1"/>
    </w:lvl>
    <w:lvl w:ilvl="1">
      <w:lvlJc w:val="left"/>
      <w:lvlText w:val=""/>
      <w:numFmt w:val="bullet"/>
      <w:start w:val="1"/>
    </w:lvl>
  </w:abstractNum>
  <w:abstractNum w:abstractNumId="13">
    <w:nsid w:val="49DA307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1)"/>
      <w:numFmt w:val="decimal"/>
      <w:start w:val="1"/>
    </w:lvl>
  </w:abstractNum>
  <w:abstractNum w:abstractNumId="21">
    <w:nsid w:val="6FC75AF8"/>
    <w:multiLevelType w:val="hybridMultilevel"/>
    <w:lvl w:ilvl="0">
      <w:lvlJc w:val="left"/>
      <w:lvlText w:val="(%1)"/>
      <w:numFmt w:val="decimal"/>
      <w:start w:val="1"/>
    </w:lvl>
  </w:abstractNum>
  <w:abstractNum w:abstractNumId="22">
    <w:nsid w:val="6A5F7029"/>
    <w:multiLevelType w:val="hybridMultilevel"/>
    <w:lvl w:ilvl="0">
      <w:lvlJc w:val="left"/>
      <w:lvlText w:val="%1."/>
      <w:numFmt w:val="decimal"/>
      <w:start w:val="1"/>
    </w:lvl>
  </w:abstractNum>
  <w:abstractNum w:abstractNumId="23">
    <w:nsid w:val="7D5E18F8"/>
    <w:multiLevelType w:val="hybridMultilevel"/>
    <w:lvl w:ilvl="0">
      <w:lvlJc w:val="left"/>
      <w:lvlText w:val="%1."/>
      <w:numFmt w:val="decimal"/>
      <w:start w:val="5"/>
    </w:lvl>
    <w:lvl w:ilvl="1">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1)"/>
      <w:numFmt w:val="decimal"/>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lvl w:ilvl="1">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1)"/>
      <w:numFmt w:val="decimal"/>
      <w:start w:val="1"/>
    </w:lvl>
  </w:abstractNum>
  <w:abstractNum w:abstractNumId="32">
    <w:nsid w:val="9DAF632"/>
    <w:multiLevelType w:val="hybridMultilevel"/>
    <w:lvl w:ilvl="0">
      <w:lvlJc w:val="left"/>
      <w:lvlText w:val="(%1)"/>
      <w:numFmt w:val="decimal"/>
      <w:start w:val="1"/>
    </w:lvl>
  </w:abstractNum>
  <w:abstractNum w:abstractNumId="33">
    <w:nsid w:val="53299938"/>
    <w:multiLevelType w:val="hybridMultilevel"/>
    <w:lvl w:ilvl="0">
      <w:lvlJc w:val="left"/>
      <w:lvlText w:val="(%1)"/>
      <w:numFmt w:val="lowerRoman"/>
      <w:start w:val="1"/>
    </w:lvl>
  </w:abstractNum>
  <w:abstractNum w:abstractNumId="34">
    <w:nsid w:val="1FBFE8E0"/>
    <w:multiLevelType w:val="hybridMultilevel"/>
    <w:lvl w:ilvl="0">
      <w:lvlJc w:val="left"/>
      <w:lvlText w:val="(%1)"/>
      <w:numFmt w:val="lowerRoman"/>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1)"/>
      <w:numFmt w:val="lowerRoman"/>
      <w:start w:val="1"/>
    </w:lvl>
  </w:abstractNum>
  <w:abstractNum w:abstractNumId="40">
    <w:nsid w:val="1D9F6E5F"/>
    <w:multiLevelType w:val="hybridMultilevel"/>
    <w:lvl w:ilvl="0">
      <w:lvlJc w:val="left"/>
      <w:lvlText w:val="(%1)"/>
      <w:numFmt w:val="lowerRoman"/>
      <w:start w:val="1"/>
    </w:lvl>
    <w:lvl w:ilvl="1">
      <w:lvlJc w:val="left"/>
      <w:lvlText w:val="-"/>
      <w:numFmt w:val="bullet"/>
      <w:start w:val="1"/>
    </w:lvl>
  </w:abstractNum>
  <w:abstractNum w:abstractNumId="41">
    <w:nsid w:val="97E1B4E"/>
    <w:multiLevelType w:val="hybridMultilevel"/>
    <w:lvl w:ilvl="0">
      <w:lvlJc w:val="left"/>
      <w:lvlText w:val="(%1)"/>
      <w:numFmt w:val="lowerRoman"/>
      <w:start w:val="1"/>
    </w:lvl>
  </w:abstractNum>
  <w:abstractNum w:abstractNumId="42">
    <w:nsid w:val="51088277"/>
    <w:multiLevelType w:val="hybridMultilevel"/>
    <w:lvl w:ilvl="0">
      <w:lvlJc w:val="left"/>
      <w:lvlText w:val="(%1)"/>
      <w:numFmt w:val="lowerRoman"/>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1)"/>
      <w:numFmt w:val="lowerRoman"/>
      <w:start w:val="2"/>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1)"/>
      <w:numFmt w:val="lowerRoman"/>
      <w:start w:val="1"/>
    </w:lvl>
  </w:abstractNum>
  <w:abstractNum w:abstractNumId="47">
    <w:nsid w:val="23D86AAC"/>
    <w:multiLevelType w:val="hybridMultilevel"/>
    <w:lvl w:ilvl="0">
      <w:lvlJc w:val="left"/>
      <w:lvlText w:val="(%1)"/>
      <w:numFmt w:val="lowerRoman"/>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1)"/>
      <w:numFmt w:val="decimal"/>
      <w:start w:val="1"/>
    </w:lvl>
    <w:lvl w:ilvl="1">
      <w:lvlJc w:val="left"/>
      <w:lvlText w:val="-"/>
      <w:numFmt w:val="bullet"/>
      <w:start w:val="1"/>
    </w:lvl>
  </w:abstractNum>
  <w:abstractNum w:abstractNumId="51">
    <w:nsid w:val="3C5991AA"/>
    <w:multiLevelType w:val="hybridMultilevel"/>
    <w:lvl w:ilvl="0">
      <w:lvlJc w:val="left"/>
      <w:lvlText w:val="(%1)"/>
      <w:numFmt w:val="decimal"/>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1)"/>
      <w:numFmt w:val="decimal"/>
      <w:start w:val="1"/>
    </w:lvl>
  </w:abstractNum>
  <w:abstractNum w:abstractNumId="54">
    <w:nsid w:val="39B7AAA2"/>
    <w:multiLevelType w:val="hybridMultilevel"/>
    <w:lvl w:ilvl="0">
      <w:lvlJc w:val="left"/>
      <w:lvlText w:val="(%1)"/>
      <w:numFmt w:val="decimal"/>
      <w:start w:val="1"/>
    </w:lvl>
    <w:lvl w:ilvl="1">
      <w:lvlJc w:val="left"/>
      <w:lvlText w:val="-"/>
      <w:numFmt w:val="bullet"/>
      <w:start w:val="1"/>
    </w:lvl>
  </w:abstractNum>
  <w:abstractNum w:abstractNumId="55">
    <w:nsid w:val="2B0D8DBE"/>
    <w:multiLevelType w:val="hybridMultilevel"/>
    <w:lvl w:ilvl="0">
      <w:lvlJc w:val="left"/>
      <w:lvlText w:val="(%1)"/>
      <w:numFmt w:val="decimal"/>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1)"/>
      <w:numFmt w:val="decimal"/>
      <w:start w:val="1"/>
    </w:lvl>
  </w:abstractNum>
  <w:abstractNum w:abstractNumId="59">
    <w:nsid w:val="2C27173B"/>
    <w:multiLevelType w:val="hybridMultilevel"/>
    <w:lvl w:ilvl="0">
      <w:lvlJc w:val="left"/>
      <w:lvlText w:val=""/>
      <w:numFmt w:val="bullet"/>
      <w:start w:val="1"/>
    </w:lvl>
    <w:lvl w:ilvl="1">
      <w:lvlJc w:val="left"/>
      <w:lvlText w:val="%2."/>
      <w:numFmt w:val="lowerRoman"/>
      <w:start w:val="1"/>
    </w:lvl>
  </w:abstractNum>
  <w:abstractNum w:abstractNumId="60">
    <w:nsid w:val="4C9B0904"/>
    <w:multiLevelType w:val="hybridMultilevel"/>
    <w:lvl w:ilvl="0">
      <w:lvlJc w:val="left"/>
      <w:lvlText w:val="(%1)"/>
      <w:numFmt w:val="decimal"/>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1)"/>
      <w:numFmt w:val="decimal"/>
      <w:start w:val="101"/>
    </w:lvl>
    <w:lvl w:ilvl="1">
      <w:lvlJc w:val="left"/>
      <w:lvlText w:val="%2."/>
      <w:numFmt w:val="decimal"/>
      <w:start w:val="101"/>
    </w:lvl>
  </w:abstractNum>
  <w:abstractNum w:abstractNumId="64">
    <w:nsid w:val="3DD15094"/>
    <w:multiLevelType w:val="hybridMultilevel"/>
    <w:lvl w:ilvl="0">
      <w:lvlJc w:val="left"/>
      <w:lvlText w:val="I"/>
      <w:numFmt w:val="bullet"/>
      <w:start w:val="1"/>
    </w:lvl>
  </w:abstractNum>
  <w:abstractNum w:abstractNumId="65">
    <w:nsid w:val="3DB012B3"/>
    <w:multiLevelType w:val="hybridMultilevel"/>
    <w:lvl w:ilvl="0">
      <w:lvlJc w:val="left"/>
      <w:lvlText w:val="%1"/>
      <w:numFmt w:val="decimal"/>
      <w:start w:val="18"/>
    </w:lvl>
  </w:abstractNum>
  <w:abstractNum w:abstractNumId="66">
    <w:nsid w:val="2708C9AF"/>
    <w:multiLevelType w:val="hybridMultilevel"/>
    <w:lvl w:ilvl="0">
      <w:lvlJc w:val="left"/>
      <w:lvlText w:val="%1"/>
      <w:numFmt w:val="decimal"/>
      <w:start w:val="101"/>
    </w:lvl>
  </w:abstractNum>
  <w:abstractNum w:abstractNumId="67">
    <w:nsid w:val="5B25ACE2"/>
    <w:multiLevelType w:val="hybridMultilevel"/>
    <w:lvl w:ilvl="0">
      <w:lvlJc w:val="left"/>
      <w:lvlText w:val="(%1)"/>
      <w:numFmt w:val="lowerRoman"/>
      <w:start w:val="4"/>
    </w:lvl>
  </w:abstractNum>
  <w:abstractNum w:abstractNumId="68">
    <w:nsid w:val="175DFCF0"/>
    <w:multiLevelType w:val="hybridMultilevel"/>
    <w:lvl w:ilvl="0">
      <w:lvlJc w:val="left"/>
      <w:lvlText w:val="%1"/>
      <w:numFmt w:val="decimal"/>
      <w:start w:val="104"/>
    </w:lvl>
  </w:abstractNum>
  <w:abstractNum w:abstractNumId="69">
    <w:nsid w:val="4F97E3E4"/>
    <w:multiLevelType w:val="hybridMultilevel"/>
    <w:lvl w:ilvl="0">
      <w:lvlJc w:val="left"/>
      <w:lvlText w:val="†"/>
      <w:numFmt w:val="bullet"/>
      <w:start w:val="1"/>
    </w:lvl>
    <w:lvl w:ilvl="1">
      <w:lvlJc w:val="left"/>
      <w:lvlText w:val="-"/>
      <w:numFmt w:val="bullet"/>
      <w:start w:val="1"/>
    </w:lvl>
  </w:abstractNum>
  <w:abstractNum w:abstractNumId="70">
    <w:nsid w:val="53B0A9E"/>
    <w:multiLevelType w:val="hybridMultilevel"/>
    <w:lvl w:ilvl="0">
      <w:lvlJc w:val="left"/>
      <w:lvlText w:val="2"/>
      <w:numFmt w:val="bullet"/>
      <w:start w:val="1"/>
    </w:lvl>
  </w:abstractNum>
  <w:abstractNum w:abstractNumId="71">
    <w:nsid w:val="34FD6B4F"/>
    <w:multiLevelType w:val="hybridMultilevel"/>
    <w:lvl w:ilvl="0">
      <w:lvlJc w:val="left"/>
      <w:lvlText w:val="3"/>
      <w:numFmt w:val="bullet"/>
      <w:start w:val="1"/>
    </w:lvl>
  </w:abstractNum>
  <w:abstractNum w:abstractNumId="72">
    <w:nsid w:val="5915FF32"/>
    <w:multiLevelType w:val="hybridMultilevel"/>
    <w:lvl w:ilvl="0">
      <w:lvlJc w:val="left"/>
      <w:lvlText w:val="1"/>
      <w:numFmt w:val="bullet"/>
      <w:start w:val="1"/>
    </w:lvl>
  </w:abstractNum>
  <w:abstractNum w:abstractNumId="73">
    <w:nsid w:val="56438D15"/>
    <w:multiLevelType w:val="hybridMultilevel"/>
    <w:lvl w:ilvl="0">
      <w:lvlJc w:val="left"/>
      <w:lvlText w:val="2"/>
      <w:numFmt w:val="bullet"/>
      <w:start w:val="1"/>
    </w:lvl>
  </w:abstractNum>
  <w:abstractNum w:abstractNumId="74">
    <w:nsid w:val="519E3149"/>
    <w:multiLevelType w:val="hybridMultilevel"/>
    <w:lvl w:ilvl="0">
      <w:lvlJc w:val="left"/>
      <w:lvlText w:val="3"/>
      <w:numFmt w:val="bullet"/>
      <w:start w:val="1"/>
    </w:lvl>
  </w:abstractNum>
  <w:abstractNum w:abstractNumId="75">
    <w:nsid w:val="2C6E4AFD"/>
    <w:multiLevelType w:val="hybridMultilevel"/>
    <w:lvl w:ilvl="0">
      <w:lvlJc w:val="left"/>
      <w:lvlText w:val="(%1)"/>
      <w:numFmt w:val="lowerLetter"/>
      <w:start w:val="1"/>
    </w:lvl>
    <w:lvl w:ilvl="1">
      <w:lvlJc w:val="left"/>
      <w:lvlText w:val="(%2)"/>
      <w:numFmt w:val="lowerRoman"/>
      <w:start w:val="1"/>
    </w:lvl>
  </w:abstractNum>
  <w:abstractNum w:abstractNumId="76">
    <w:nsid w:val="17A1B582"/>
    <w:multiLevelType w:val="hybridMultilevel"/>
    <w:lvl w:ilvl="0">
      <w:lvlJc w:val="left"/>
      <w:lvlText w:val="(%1)"/>
      <w:numFmt w:val="lowerLetter"/>
      <w:start w:val="2"/>
    </w:lvl>
  </w:abstractNum>
  <w:abstractNum w:abstractNumId="77">
    <w:nsid w:val="4DF72E4E"/>
    <w:multiLevelType w:val="hybridMultilevel"/>
    <w:lvl w:ilvl="0">
      <w:lvlJc w:val="left"/>
      <w:lvlText w:val="(%1)"/>
      <w:numFmt w:val="lowerLetter"/>
      <w:start w:val="1"/>
    </w:lvl>
  </w:abstractNum>
  <w:abstractNum w:abstractNumId="78">
    <w:nsid w:val="5046B5A9"/>
    <w:multiLevelType w:val="hybridMultilevel"/>
    <w:lvl w:ilvl="0">
      <w:lvlJc w:val="left"/>
      <w:lvlText w:val="4"/>
      <w:numFmt w:val="bullet"/>
      <w:start w:val="1"/>
    </w:lvl>
  </w:abstractNum>
  <w:abstractNum w:abstractNumId="79">
    <w:nsid w:val="5D888A08"/>
    <w:multiLevelType w:val="hybridMultilevel"/>
    <w:lvl w:ilvl="0">
      <w:lvlJc w:val="left"/>
      <w:lvlText w:val="5"/>
      <w:numFmt w:val="bullet"/>
      <w:start w:val="1"/>
    </w:lvl>
  </w:abstractNum>
  <w:abstractNum w:abstractNumId="80">
    <w:nsid w:val="2A082C70"/>
    <w:multiLevelType w:val="hybridMultilevel"/>
    <w:lvl w:ilvl="0">
      <w:lvlJc w:val="left"/>
      <w:lvlText w:val="(%1)"/>
      <w:numFmt w:val="lowerLetter"/>
      <w:start w:val="1"/>
    </w:lvl>
  </w:abstractNum>
  <w:abstractNum w:abstractNumId="81">
    <w:nsid w:val="5EC6AFD4"/>
    <w:multiLevelType w:val="hybridMultilevel"/>
    <w:lvl w:ilvl="0">
      <w:lvlJc w:val="left"/>
      <w:lvlText w:val="6"/>
      <w:numFmt w:val="bullet"/>
      <w:start w:val="1"/>
    </w:lvl>
  </w:abstractNum>
  <w:abstractNum w:abstractNumId="82">
    <w:nsid w:val="19E21BB2"/>
    <w:multiLevelType w:val="hybridMultilevel"/>
    <w:lvl w:ilvl="0">
      <w:lvlJc w:val="left"/>
      <w:lvlText w:val="(%1)"/>
      <w:numFmt w:val="lowerLetter"/>
      <w:start w:val="1"/>
    </w:lvl>
  </w:abstractNum>
  <w:abstractNum w:abstractNumId="83">
    <w:nsid w:val="75E0858A"/>
    <w:multiLevelType w:val="hybridMultilevel"/>
    <w:lvl w:ilvl="0">
      <w:lvlJc w:val="left"/>
      <w:lvlText w:val="7"/>
      <w:numFmt w:val="bullet"/>
      <w:start w:val="1"/>
    </w:lvl>
  </w:abstractNum>
  <w:abstractNum w:abstractNumId="84">
    <w:nsid w:val="57A61A29"/>
    <w:multiLevelType w:val="hybridMultilevel"/>
    <w:lvl w:ilvl="0">
      <w:lvlJc w:val="left"/>
      <w:lvlText w:val="(%1)"/>
      <w:numFmt w:val="lowerLetter"/>
      <w:start w:val="1"/>
    </w:lvl>
    <w:lvl w:ilvl="1">
      <w:lvlJc w:val="left"/>
      <w:lvlText w:val="(%2)"/>
      <w:numFmt w:val="lowerRoman"/>
      <w:start w:val="1"/>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1"/>
    </w:lvl>
    <w:lvl w:ilvl="1">
      <w:lvlJc w:val="left"/>
      <w:lvlText w:val="(%2)"/>
      <w:numFmt w:val="lowerLetter"/>
      <w:start w:val="9"/>
    </w:lvl>
  </w:abstractNum>
  <w:abstractNum w:abstractNumId="87">
    <w:nsid w:val="4427069A"/>
    <w:multiLevelType w:val="hybridMultilevel"/>
    <w:lvl w:ilvl="0">
      <w:lvlJc w:val="left"/>
      <w:lvlText w:val="(%1)"/>
      <w:numFmt w:val="lowerLetter"/>
      <w:start w:val="2"/>
    </w:lvl>
  </w:abstractNum>
  <w:abstractNum w:abstractNumId="88">
    <w:nsid w:val="B37E80A"/>
    <w:multiLevelType w:val="hybridMultilevel"/>
    <w:lvl w:ilvl="0">
      <w:lvlJc w:val="left"/>
      <w:lvlText w:val="X"/>
      <w:numFmt w:val="bullet"/>
      <w:start w:val="1"/>
    </w:lvl>
  </w:abstractNum>
  <w:abstractNum w:abstractNumId="89">
    <w:nsid w:val="2157F6BC"/>
    <w:multiLevelType w:val="hybridMultilevel"/>
    <w:lvl w:ilvl="0">
      <w:lvlJc w:val="left"/>
      <w:lvlText w:val="%1"/>
      <w:numFmt w:val="lowerRoman"/>
      <w:start w:val="1"/>
    </w:lvl>
    <w:lvl w:ilvl="1">
      <w:lvlJc w:val="left"/>
      <w:lvlText w:val="(%2)"/>
      <w:numFmt w:val="lowerLetter"/>
      <w:start w:val="1"/>
    </w:lvl>
  </w:abstractNum>
  <w:abstractNum w:abstractNumId="90">
    <w:nsid w:val="704E1DD5"/>
    <w:multiLevelType w:val="hybridMultilevel"/>
    <w:lvl w:ilvl="0">
      <w:lvlJc w:val="left"/>
      <w:lvlText w:val="(%1)"/>
      <w:numFmt w:val="lowerRoman"/>
      <w:start w:val="1"/>
    </w:lvl>
    <w:lvl w:ilvl="1">
      <w:lvlJc w:val="left"/>
      <w:lvlText w:val="%2"/>
      <w:numFmt w:val="lowerLetter"/>
      <w:start w:val="1"/>
    </w:lvl>
  </w:abstractNum>
  <w:abstractNum w:abstractNumId="91">
    <w:nsid w:val="57D2F10E"/>
    <w:multiLevelType w:val="hybridMultilevel"/>
    <w:lvl w:ilvl="0">
      <w:lvlJc w:val="left"/>
      <w:lvlText w:val="(%1)"/>
      <w:numFmt w:val="lowerLetter"/>
      <w:start w:val="1"/>
    </w:lvl>
  </w:abstractNum>
  <w:abstractNum w:abstractNumId="92">
    <w:nsid w:val="BFFAE18"/>
    <w:multiLevelType w:val="hybridMultilevel"/>
    <w:lvl w:ilvl="0">
      <w:lvlJc w:val="left"/>
      <w:lvlText w:val="(%1)"/>
      <w:numFmt w:val="lowerLetter"/>
      <w:start w:val="3"/>
    </w:lvl>
  </w:abstractNum>
  <w:abstractNum w:abstractNumId="93">
    <w:nsid w:val="E3E47A8"/>
    <w:multiLevelType w:val="hybridMultilevel"/>
    <w:lvl w:ilvl="0">
      <w:lvlJc w:val="left"/>
      <w:lvlText w:val="(%1)"/>
      <w:numFmt w:val="lowerLetter"/>
      <w:start w:val="1"/>
    </w:lvl>
  </w:abstractNum>
  <w:abstractNum w:abstractNumId="94">
    <w:nsid w:val="2E48F044"/>
    <w:multiLevelType w:val="hybridMultilevel"/>
    <w:lvl w:ilvl="0">
      <w:lvlJc w:val="left"/>
      <w:lvlText w:val="(%1)"/>
      <w:numFmt w:val="lowerLetter"/>
      <w:start w:val="1"/>
    </w:lvl>
    <w:lvl w:ilvl="1">
      <w:lvlJc w:val="left"/>
      <w:lvlText w:val="(%2)"/>
      <w:numFmt w:val="lowerRoman"/>
      <w:start w:val="1"/>
    </w:lvl>
  </w:abstractNum>
  <w:abstractNum w:abstractNumId="95">
    <w:nsid w:val="49D0FEAC"/>
    <w:multiLevelType w:val="hybridMultilevel"/>
    <w:lvl w:ilvl="0">
      <w:lvlJc w:val="left"/>
      <w:lvlText w:val="(%1)"/>
      <w:numFmt w:val="lowerLetter"/>
      <w:start w:val="1"/>
    </w:lvl>
  </w:abstractNum>
  <w:abstractNum w:abstractNumId="96">
    <w:nsid w:val="4BEE5A5B"/>
    <w:multiLevelType w:val="hybridMultilevel"/>
    <w:lvl w:ilvl="0">
      <w:lvlJc w:val="left"/>
      <w:lvlText w:val="(%1)"/>
      <w:numFmt w:val="lowerLetter"/>
      <w:start w:val="1"/>
    </w:lvl>
  </w:abstractNum>
  <w:abstractNum w:abstractNumId="97">
    <w:nsid w:val="5551B9F3"/>
    <w:multiLevelType w:val="hybridMultilevel"/>
    <w:lvl w:ilvl="0">
      <w:lvlJc w:val="left"/>
      <w:lvlText w:val="(%1)"/>
      <w:numFmt w:val="lowerLetter"/>
      <w:start w:val="1"/>
    </w:lvl>
  </w:abstractNum>
  <w:abstractNum w:abstractNumId="98">
    <w:nsid w:val="24F6AB8E"/>
    <w:multiLevelType w:val="hybridMultilevel"/>
    <w:lvl w:ilvl="0">
      <w:lvlJc w:val="left"/>
      <w:lvlText w:val="(%1)"/>
      <w:numFmt w:val="lowerLetter"/>
      <w:start w:val="1"/>
    </w:lvl>
  </w:abstractNum>
  <w:abstractNum w:abstractNumId="99">
    <w:nsid w:val="634C574C"/>
    <w:multiLevelType w:val="hybridMultilevel"/>
    <w:lvl w:ilvl="0">
      <w:lvlJc w:val="left"/>
      <w:lvlText w:val="(%1)"/>
      <w:numFmt w:val="lowerLetter"/>
      <w:start w:val="2"/>
    </w:lvl>
  </w:abstractNum>
  <w:abstractNum w:abstractNumId="100">
    <w:nsid w:val="24E99DD7"/>
    <w:multiLevelType w:val="hybridMultilevel"/>
    <w:lvl w:ilvl="0">
      <w:lvlJc w:val="left"/>
      <w:lvlText w:val="(%1)"/>
      <w:numFmt w:val="lowerLetter"/>
      <w:start w:val="1"/>
    </w:lvl>
  </w:abstractNum>
  <w:abstractNum w:abstractNumId="101">
    <w:nsid w:val="2A31B62D"/>
    <w:multiLevelType w:val="hybridMultilevel"/>
    <w:lvl w:ilvl="0">
      <w:lvlJc w:val="left"/>
      <w:lvlText w:val="(%1)"/>
      <w:numFmt w:val="lowerRoman"/>
      <w:start w:val="1"/>
    </w:lvl>
  </w:abstractNum>
  <w:abstractNum w:abstractNumId="102">
    <w:nsid w:val="1849C29B"/>
    <w:multiLevelType w:val="hybridMultilevel"/>
    <w:lvl w:ilvl="0">
      <w:lvlJc w:val="left"/>
      <w:lvlText w:val="(%1)"/>
      <w:numFmt w:val="lowerRoman"/>
      <w:start w:val="1"/>
    </w:lvl>
  </w:abstractNum>
  <w:abstractNum w:abstractNumId="103">
    <w:nsid w:val="7DFF9D09"/>
    <w:multiLevelType w:val="hybridMultilevel"/>
    <w:lvl w:ilvl="0">
      <w:lvlJc w:val="left"/>
      <w:lvlText w:val="(%1)"/>
      <w:numFmt w:val="lowerLetter"/>
      <w:start w:val="1"/>
    </w:lvl>
  </w:abstractNum>
  <w:abstractNum w:abstractNumId="104">
    <w:nsid w:val="754342"/>
    <w:multiLevelType w:val="hybridMultilevel"/>
    <w:lvl w:ilvl="0">
      <w:lvlJc w:val="left"/>
      <w:lvlText w:val="(%1)"/>
      <w:numFmt w:val="lowerLetter"/>
      <w:start w:val="1"/>
    </w:lvl>
    <w:lvl w:ilvl="1">
      <w:lvlJc w:val="left"/>
      <w:lvlText w:val="(%2)"/>
      <w:numFmt w:val="lowerRoman"/>
      <w:start w:val="1"/>
    </w:lvl>
  </w:abstractNum>
  <w:abstractNum w:abstractNumId="105">
    <w:nsid w:val="69E7F3E5"/>
    <w:multiLevelType w:val="hybridMultilevel"/>
    <w:lvl w:ilvl="0">
      <w:lvlJc w:val="left"/>
      <w:lvlText w:val="(%1)"/>
      <w:numFmt w:val="lowerLetter"/>
      <w:start w:val="1"/>
    </w:lvl>
  </w:abstractNum>
  <w:abstractNum w:abstractNumId="106">
    <w:nsid w:val="2A6DE806"/>
    <w:multiLevelType w:val="hybridMultilevel"/>
    <w:lvl w:ilvl="0">
      <w:lvlJc w:val="left"/>
      <w:lvlText w:val="(%1)"/>
      <w:numFmt w:val="lowerLetter"/>
      <w:start w:val="2"/>
    </w:lvl>
  </w:abstractNum>
  <w:abstractNum w:abstractNumId="107">
    <w:nsid w:val="1816F8C4"/>
    <w:multiLevelType w:val="hybridMultilevel"/>
    <w:lvl w:ilvl="0">
      <w:lvlJc w:val="left"/>
      <w:lvlText w:val="(%1)"/>
      <w:numFmt w:val="lowerLetter"/>
      <w:start w:val="1"/>
    </w:lvl>
  </w:abstractNum>
  <w:abstractNum w:abstractNumId="108">
    <w:nsid w:val="37DF2233"/>
    <w:multiLevelType w:val="hybridMultilevel"/>
    <w:lvl w:ilvl="0">
      <w:lvlJc w:val="left"/>
      <w:lvlText w:val="(%1)"/>
      <w:numFmt w:val="lowerLetter"/>
      <w:start w:val="3"/>
    </w:lvl>
  </w:abstractNum>
  <w:abstractNum w:abstractNumId="109">
    <w:nsid w:val="7AB49DAF"/>
    <w:multiLevelType w:val="hybridMultilevel"/>
    <w:lvl w:ilvl="0">
      <w:lvlJc w:val="left"/>
      <w:lvlText w:val="(%1)"/>
      <w:numFmt w:val="lowerLetter"/>
      <w:start w:val="1"/>
    </w:lvl>
  </w:abstractNum>
  <w:abstractNum w:abstractNumId="110">
    <w:nsid w:val="759F82CD"/>
    <w:multiLevelType w:val="hybridMultilevel"/>
    <w:lvl w:ilvl="0">
      <w:lvlJc w:val="left"/>
      <w:lvlText w:val="(%1)"/>
      <w:numFmt w:val="lowerLetter"/>
      <w:start w:val="1"/>
    </w:lvl>
  </w:abstractNum>
  <w:abstractNum w:abstractNumId="111">
    <w:nsid w:val="61E74EA3"/>
    <w:multiLevelType w:val="hybridMultilevel"/>
    <w:lvl w:ilvl="0">
      <w:lvlJc w:val="left"/>
      <w:lvlText w:val="(%1)"/>
      <w:numFmt w:val="lowerLetter"/>
      <w:start w:val="1"/>
    </w:lvl>
  </w:abstractNum>
  <w:abstractNum w:abstractNumId="112">
    <w:nsid w:val="597B4D84"/>
    <w:multiLevelType w:val="hybridMultilevel"/>
    <w:lvl w:ilvl="0">
      <w:lvlJc w:val="left"/>
      <w:lvlText w:val="(%1)"/>
      <w:numFmt w:val="lowerLetter"/>
      <w:start w:val="1"/>
    </w:lvl>
  </w:abstractNum>
  <w:abstractNum w:abstractNumId="113">
    <w:nsid w:val="F819E7F"/>
    <w:multiLevelType w:val="hybridMultilevel"/>
    <w:lvl w:ilvl="0">
      <w:lvlJc w:val="left"/>
      <w:lvlText w:val="(%1)"/>
      <w:numFmt w:val="lowerLetter"/>
      <w:start w:val="1"/>
    </w:lvl>
  </w:abstractNum>
  <w:abstractNum w:abstractNumId="114">
    <w:nsid w:val="57C7D42D"/>
    <w:multiLevelType w:val="hybridMultilevel"/>
    <w:lvl w:ilvl="0">
      <w:lvlJc w:val="left"/>
      <w:lvlText w:val="(%1)"/>
      <w:numFmt w:val="lowerRoman"/>
      <w:start w:val="1"/>
    </w:lvl>
  </w:abstractNum>
  <w:abstractNum w:abstractNumId="115">
    <w:nsid w:val="312167AD"/>
    <w:multiLevelType w:val="hybridMultilevel"/>
    <w:lvl w:ilvl="0">
      <w:lvlJc w:val="left"/>
      <w:lvlText w:val="(%1)"/>
      <w:numFmt w:val="lowerLetter"/>
      <w:start w:val="1"/>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lowerLetter"/>
      <w:start w:val="1"/>
    </w:lvl>
  </w:abstractNum>
  <w:abstractNum w:abstractNumId="118">
    <w:nsid w:val="75486E47"/>
    <w:multiLevelType w:val="hybridMultilevel"/>
    <w:lvl w:ilvl="0">
      <w:lvlJc w:val="left"/>
      <w:lvlText w:val="(%1)"/>
      <w:numFmt w:val="lowerLetter"/>
      <w:start w:val="5"/>
    </w:lvl>
  </w:abstractNum>
  <w:abstractNum w:abstractNumId="119">
    <w:nsid w:val="6E534CDE"/>
    <w:multiLevelType w:val="hybridMultilevel"/>
    <w:lvl w:ilvl="0">
      <w:lvlJc w:val="left"/>
      <w:lvlText w:val="(%1)"/>
      <w:numFmt w:val="lowerLetter"/>
      <w:start w:val="8"/>
    </w:lvl>
  </w:abstractNum>
  <w:abstractNum w:abstractNumId="120">
    <w:nsid w:val="1A0DDE32"/>
    <w:multiLevelType w:val="hybridMultilevel"/>
    <w:lvl w:ilvl="0">
      <w:lvlJc w:val="left"/>
      <w:lvlText w:val="(%1)"/>
      <w:numFmt w:val="lowerLetter"/>
      <w:start w:val="1"/>
    </w:lvl>
  </w:abstractNum>
  <w:abstractNum w:abstractNumId="121">
    <w:nsid w:val="65968C1C"/>
    <w:multiLevelType w:val="hybridMultilevel"/>
    <w:lvl w:ilvl="0">
      <w:lvlJc w:val="left"/>
      <w:lvlText w:val="(%1)"/>
      <w:numFmt w:val="lowerLetter"/>
      <w:start w:val="1"/>
    </w:lvl>
  </w:abstractNum>
  <w:abstractNum w:abstractNumId="122">
    <w:nsid w:val="46263DEC"/>
    <w:multiLevelType w:val="hybridMultilevel"/>
    <w:lvl w:ilvl="0">
      <w:lvlJc w:val="left"/>
      <w:lvlText w:val="(%1)"/>
      <w:numFmt w:val="lowerLetter"/>
      <w:start w:val="4"/>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1"/>
    </w:lvl>
  </w:abstractNum>
  <w:abstractNum w:abstractNumId="125">
    <w:nsid w:val="746F2E30"/>
    <w:multiLevelType w:val="hybridMultilevel"/>
    <w:lvl w:ilvl="0">
      <w:lvlJc w:val="left"/>
      <w:lvlText w:val="(%1)"/>
      <w:numFmt w:val="lowerLetter"/>
      <w:start w:val="1"/>
    </w:lvl>
  </w:abstractNum>
  <w:abstractNum w:abstractNumId="126">
    <w:nsid w:val="6FDE8AF6"/>
    <w:multiLevelType w:val="hybridMultilevel"/>
    <w:lvl w:ilvl="0">
      <w:lvlJc w:val="left"/>
      <w:lvlText w:val="(%1)"/>
      <w:numFmt w:val="lowerLetter"/>
      <w:start w:val="1"/>
    </w:lvl>
  </w:abstractNum>
  <w:abstractNum w:abstractNumId="127">
    <w:nsid w:val="3FC32E20"/>
    <w:multiLevelType w:val="hybridMultilevel"/>
    <w:lvl w:ilvl="0">
      <w:lvlJc w:val="left"/>
      <w:lvlText w:val="(%1)"/>
      <w:numFmt w:val="lowerLetter"/>
      <w:start w:val="7"/>
    </w:lvl>
  </w:abstractNum>
  <w:abstractNum w:abstractNumId="128">
    <w:nsid w:val="49C0E823"/>
    <w:multiLevelType w:val="hybridMultilevel"/>
    <w:lvl w:ilvl="0">
      <w:lvlJc w:val="left"/>
      <w:lvlText w:val="(%1)"/>
      <w:numFmt w:val="lowerLetter"/>
      <w:start w:val="12"/>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Roman"/>
      <w:start w:val="1"/>
    </w:lvl>
  </w:abstractNum>
  <w:abstractNum w:abstractNumId="131">
    <w:nsid w:val="6EAA85FB"/>
    <w:multiLevelType w:val="hybridMultilevel"/>
    <w:lvl w:ilvl="0">
      <w:lvlJc w:val="left"/>
      <w:lvlText w:val="(%1)"/>
      <w:numFmt w:val="lowerLetter"/>
      <w:start w:val="2"/>
    </w:lvl>
  </w:abstractNum>
  <w:abstractNum w:abstractNumId="132">
    <w:nsid w:val="3F06ECB2"/>
    <w:multiLevelType w:val="hybridMultilevel"/>
    <w:lvl w:ilvl="0">
      <w:lvlJc w:val="left"/>
      <w:lvlText w:val="(%1)"/>
      <w:numFmt w:val="lowerLetter"/>
      <w:start w:val="3"/>
    </w:lvl>
  </w:abstractNum>
  <w:abstractNum w:abstractNumId="133">
    <w:nsid w:val="3B594807"/>
    <w:multiLevelType w:val="hybridMultilevel"/>
    <w:lvl w:ilvl="0">
      <w:lvlJc w:val="left"/>
      <w:lvlText w:val="(%1)"/>
      <w:numFmt w:val="lowerLetter"/>
      <w:start w:val="1"/>
    </w:lvl>
  </w:abstractNum>
  <w:abstractNum w:abstractNumId="134">
    <w:nsid w:val="6CAA2304"/>
    <w:multiLevelType w:val="hybridMultilevel"/>
    <w:lvl w:ilvl="0">
      <w:lvlJc w:val="left"/>
      <w:lvlText w:val="(%1)"/>
      <w:numFmt w:val="lowerLetter"/>
      <w:start w:val="1"/>
    </w:lvl>
  </w:abstractNum>
  <w:abstractNum w:abstractNumId="135">
    <w:nsid w:val="3F7C2FF4"/>
    <w:multiLevelType w:val="hybridMultilevel"/>
    <w:lvl w:ilvl="0">
      <w:lvlJc w:val="left"/>
      <w:lvlText w:val="(%1)"/>
      <w:numFmt w:val="lowerLetter"/>
      <w:start w:val="3"/>
    </w:lvl>
  </w:abstractNum>
  <w:abstractNum w:abstractNumId="136">
    <w:nsid w:val="25413BEC"/>
    <w:multiLevelType w:val="hybridMultilevel"/>
    <w:lvl w:ilvl="0">
      <w:lvlJc w:val="left"/>
      <w:lvlText w:val="(%1)"/>
      <w:numFmt w:val="lowerLetter"/>
      <w:start w:val="2"/>
    </w:lvl>
  </w:abstractNum>
  <w:abstractNum w:abstractNumId="137">
    <w:nsid w:val="17180B0B"/>
    <w:multiLevelType w:val="hybridMultilevel"/>
    <w:lvl w:ilvl="0">
      <w:lvlJc w:val="left"/>
      <w:lvlText w:val="%1."/>
      <w:numFmt w:val="upperLetter"/>
      <w:start w:val="2"/>
    </w:lvl>
  </w:abstractNum>
  <w:abstractNum w:abstractNumId="138">
    <w:nsid w:val="579328B9"/>
    <w:multiLevelType w:val="hybridMultilevel"/>
    <w:lvl w:ilvl="0">
      <w:lvlJc w:val="left"/>
      <w:lvlText w:val="%1."/>
      <w:numFmt w:val="decimal"/>
      <w:start w:val="2"/>
    </w:lvl>
  </w:abstractNum>
  <w:abstractNum w:abstractNumId="139">
    <w:nsid w:val="5D205E20"/>
    <w:multiLevelType w:val="hybridMultilevel"/>
    <w:lvl w:ilvl="0">
      <w:lvlJc w:val="left"/>
      <w:lvlText w:val="(%1)"/>
      <w:numFmt w:val="lowerLetter"/>
      <w:start w:val="2"/>
    </w:lvl>
  </w:abstractNum>
  <w:abstractNum w:abstractNumId="140">
    <w:nsid w:val="11CCA8BA"/>
    <w:multiLevelType w:val="hybridMultilevel"/>
    <w:lvl w:ilvl="0">
      <w:lvlJc w:val="left"/>
      <w:lvlText w:val="%1."/>
      <w:numFmt w:val="decimal"/>
      <w:start w:val="3"/>
    </w:lvl>
  </w:abstractNum>
  <w:abstractNum w:abstractNumId="141">
    <w:nsid w:val="4D32AB86"/>
    <w:multiLevelType w:val="hybridMultilevel"/>
    <w:lvl w:ilvl="0">
      <w:lvlJc w:val="left"/>
      <w:lvlText w:val="%1."/>
      <w:numFmt w:val="decimal"/>
      <w:start w:val="4"/>
    </w:lvl>
  </w:abstractNum>
  <w:abstractNum w:abstractNumId="142">
    <w:nsid w:val="3F07ACC3"/>
    <w:multiLevelType w:val="hybridMultilevel"/>
    <w:lvl w:ilvl="0">
      <w:lvlJc w:val="left"/>
      <w:lvlText w:val="%1."/>
      <w:numFmt w:val="decimal"/>
      <w:start w:val="5"/>
    </w:lvl>
  </w:abstractNum>
  <w:abstractNum w:abstractNumId="143">
    <w:nsid w:val="6B47F63E"/>
    <w:multiLevelType w:val="hybridMultilevel"/>
    <w:lvl w:ilvl="0">
      <w:lvlJc w:val="left"/>
      <w:lvlText w:val="%1."/>
      <w:numFmt w:val="decimal"/>
      <w:start w:val="7"/>
    </w:lvl>
  </w:abstractNum>
  <w:abstractNum w:abstractNumId="144">
    <w:nsid w:val="5CB44A05"/>
    <w:multiLevelType w:val="hybridMultilevel"/>
    <w:lvl w:ilvl="0">
      <w:lvlJc w:val="left"/>
      <w:lvlText w:val="%1."/>
      <w:numFmt w:val="decimal"/>
      <w:start w:val="8"/>
    </w:lvl>
  </w:abstractNum>
  <w:abstractNum w:abstractNumId="145">
    <w:nsid w:val="16CF80F1"/>
    <w:multiLevelType w:val="hybridMultilevel"/>
    <w:lvl w:ilvl="0">
      <w:lvlJc w:val="left"/>
      <w:lvlText w:val="%1."/>
      <w:numFmt w:val="decimal"/>
      <w:start w:val="11"/>
    </w:lvl>
  </w:abstractNum>
  <w:abstractNum w:abstractNumId="146">
    <w:nsid w:val="1C695DEC"/>
    <w:multiLevelType w:val="hybridMultilevel"/>
    <w:lvl w:ilvl="0">
      <w:lvlJc w:val="left"/>
      <w:lvlText w:val="%1."/>
      <w:numFmt w:val="upperLetter"/>
      <w:start w:val="1"/>
    </w:lvl>
  </w:abstractNum>
  <w:abstractNum w:abstractNumId="147">
    <w:nsid w:val="3FCFAED9"/>
    <w:multiLevelType w:val="hybridMultilevel"/>
    <w:lvl w:ilvl="0">
      <w:lvlJc w:val="left"/>
      <w:lvlText w:val="%1."/>
      <w:numFmt w:val="upperLetter"/>
      <w:start w:val="2"/>
    </w:lvl>
  </w:abstractNum>
  <w:abstractNum w:abstractNumId="148">
    <w:nsid w:val="F856867"/>
    <w:multiLevelType w:val="hybridMultilevel"/>
    <w:lvl w:ilvl="0">
      <w:lvlJc w:val="left"/>
      <w:lvlText w:val="%1."/>
      <w:numFmt w:val="upperLetter"/>
      <w:start w:val="3"/>
    </w:lvl>
  </w:abstractNum>
  <w:abstractNum w:abstractNumId="149">
    <w:nsid w:val="11B1CC33"/>
    <w:multiLevelType w:val="hybridMultilevel"/>
    <w:lvl w:ilvl="0">
      <w:lvlJc w:val="left"/>
      <w:lvlText w:val="%1."/>
      <w:numFmt w:val="upperLetter"/>
      <w:start w:val="4"/>
    </w:lvl>
  </w:abstractNum>
  <w:abstractNum w:abstractNumId="150">
    <w:nsid w:val="2E22FBB7"/>
    <w:multiLevelType w:val="hybridMultilevel"/>
    <w:lvl w:ilvl="0">
      <w:lvlJc w:val="left"/>
      <w:lvlText w:val="%1."/>
      <w:numFmt w:val="decimal"/>
      <w:start w:val="1"/>
    </w:lvl>
  </w:abstractNum>
  <w:abstractNum w:abstractNumId="151">
    <w:nsid w:val="29934699"/>
    <w:multiLevelType w:val="hybridMultilevel"/>
    <w:lvl w:ilvl="0">
      <w:lvlJc w:val="left"/>
      <w:lvlText w:val="%1."/>
      <w:numFmt w:val="decimal"/>
      <w:start w:val="4"/>
    </w:lvl>
  </w:abstractNum>
  <w:abstractNum w:abstractNumId="152">
    <w:nsid w:val="77485850"/>
    <w:multiLevelType w:val="hybridMultilevel"/>
    <w:lvl w:ilvl="0">
      <w:lvlJc w:val="left"/>
      <w:lvlText w:val="(%1)"/>
      <w:numFmt w:val="upperLetter"/>
      <w:start w:val="10"/>
    </w:lvl>
  </w:abstractNum>
  <w:abstractNum w:abstractNumId="153">
    <w:nsid w:val="744939A3"/>
    <w:multiLevelType w:val="hybridMultilevel"/>
    <w:lvl w:ilvl="0">
      <w:lvlJc w:val="left"/>
      <w:lvlText w:val="(%1)"/>
      <w:numFmt w:val="lowerLetter"/>
      <w:start w:val="2"/>
    </w:lvl>
  </w:abstractNum>
  <w:abstractNum w:abstractNumId="154">
    <w:nsid w:val="4FA0D2E3"/>
    <w:multiLevelType w:val="hybridMultilevel"/>
    <w:lvl w:ilvl="0">
      <w:lvlJc w:val="left"/>
      <w:lvlText w:val="(%1)"/>
      <w:numFmt w:val="lowerLetter"/>
      <w:start w:val="3"/>
    </w:lvl>
  </w:abstractNum>
  <w:abstractNum w:abstractNumId="155">
    <w:nsid w:val="6B1D2C14"/>
    <w:multiLevelType w:val="hybridMultilevel"/>
    <w:lvl w:ilvl="0">
      <w:lvlJc w:val="left"/>
      <w:lvlText w:val="(%1)"/>
      <w:numFmt w:val="lowerLetter"/>
      <w:start w:val="4"/>
    </w:lvl>
  </w:abstractNum>
  <w:abstractNum w:abstractNumId="156">
    <w:nsid w:val="68B867D3"/>
    <w:multiLevelType w:val="hybridMultilevel"/>
    <w:lvl w:ilvl="0">
      <w:lvlJc w:val="left"/>
      <w:lvlText w:val="(%1)"/>
      <w:numFmt w:val="lowerRoman"/>
      <w:start w:val="1"/>
    </w:lvl>
  </w:abstractNum>
  <w:abstractNum w:abstractNumId="157">
    <w:nsid w:val="3F7F5DD9"/>
    <w:multiLevelType w:val="hybridMultilevel"/>
    <w:lvl w:ilvl="0">
      <w:lvlJc w:val="left"/>
      <w:lvlText w:val="(%1)"/>
      <w:numFmt w:val="lowerRoman"/>
      <w:start w:val="3"/>
    </w:lvl>
  </w:abstractNum>
  <w:abstractNum w:abstractNumId="158">
    <w:nsid w:val="2AE05A34"/>
    <w:multiLevelType w:val="hybridMultilevel"/>
    <w:lvl w:ilvl="0">
      <w:lvlJc w:val="left"/>
      <w:lvlText w:val="(%1)"/>
      <w:numFmt w:val="lowerRoman"/>
      <w:start w:val="4"/>
    </w:lvl>
  </w:abstractNum>
  <w:abstractNum w:abstractNumId="159">
    <w:nsid w:val="32794FF7"/>
    <w:multiLevelType w:val="hybridMultilevel"/>
    <w:lvl w:ilvl="0">
      <w:lvlJc w:val="left"/>
      <w:lvlText w:val="%1."/>
      <w:numFmt w:val="decimal"/>
      <w:start w:val="5"/>
    </w:lvl>
  </w:abstractNum>
  <w:abstractNum w:abstractNumId="160">
    <w:nsid w:val="5454945E"/>
    <w:multiLevelType w:val="hybridMultilevel"/>
    <w:lvl w:ilvl="0">
      <w:lvlJc w:val="left"/>
      <w:lvlText w:val="(%1)"/>
      <w:numFmt w:val="lowerLetter"/>
      <w:start w:val="2"/>
    </w:lvl>
  </w:abstractNum>
  <w:abstractNum w:abstractNumId="161">
    <w:nsid w:val="4DEFDFA0"/>
    <w:multiLevelType w:val="hybridMultilevel"/>
    <w:lvl w:ilvl="0">
      <w:lvlJc w:val="left"/>
      <w:lvlText w:val="(%1)"/>
      <w:numFmt w:val="lowerRoman"/>
      <w:start w:val="1"/>
    </w:lvl>
  </w:abstractNum>
  <w:abstractNum w:abstractNumId="162">
    <w:nsid w:val="2123D5F2"/>
    <w:multiLevelType w:val="hybridMultilevel"/>
    <w:lvl w:ilvl="0">
      <w:lvlJc w:val="left"/>
      <w:lvlText w:val="%1."/>
      <w:numFmt w:val="decimal"/>
      <w:start w:val="7"/>
    </w:lvl>
    <w:lvl w:ilvl="1">
      <w:lvlJc w:val="left"/>
      <w:lvlText w:val="(%2)"/>
      <w:numFmt w:val="lowerLetter"/>
      <w:start w:val="1"/>
    </w:lvl>
  </w:abstractNum>
  <w:abstractNum w:abstractNumId="163">
    <w:nsid w:val="135B8110"/>
    <w:multiLevelType w:val="hybridMultilevel"/>
    <w:lvl w:ilvl="0">
      <w:lvlJc w:val="left"/>
      <w:lvlText w:val="(%1)"/>
      <w:numFmt w:val="lowerLetter"/>
      <w:start w:val="3"/>
    </w:lvl>
  </w:abstractNum>
  <w:abstractNum w:abstractNumId="164">
    <w:nsid w:val="94927A8"/>
    <w:multiLevelType w:val="hybridMultilevel"/>
    <w:lvl w:ilvl="0">
      <w:lvlJc w:val="left"/>
      <w:lvlText w:val="(%1)"/>
      <w:numFmt w:val="lowerLetter"/>
      <w:start w:val="5"/>
    </w:lvl>
  </w:abstractNum>
  <w:abstractNum w:abstractNumId="165">
    <w:nsid w:val="DCDF8F6"/>
    <w:multiLevelType w:val="hybridMultilevel"/>
    <w:lvl w:ilvl="0">
      <w:lvlJc w:val="left"/>
      <w:lvlText w:val="%1)"/>
      <w:numFmt w:val="decimal"/>
      <w:start w:val="1"/>
    </w:lvl>
  </w:abstractNum>
  <w:abstractNum w:abstractNumId="166">
    <w:nsid w:val="52D7B105"/>
    <w:multiLevelType w:val="hybridMultilevel"/>
    <w:lvl w:ilvl="0">
      <w:lvlJc w:val="left"/>
      <w:lvlText w:val="%1)"/>
      <w:numFmt w:val="lowerLetter"/>
      <w:start w:val="1"/>
    </w:lvl>
  </w:abstractNum>
  <w:abstractNum w:abstractNumId="167">
    <w:nsid w:val="2E8A6394"/>
    <w:multiLevelType w:val="hybridMultilevel"/>
    <w:lvl w:ilvl="0">
      <w:lvlJc w:val="left"/>
      <w:lvlText w:val="%1)"/>
      <w:numFmt w:val="decimal"/>
      <w:start w:val="5"/>
    </w:lvl>
  </w:abstractNum>
  <w:abstractNum w:abstractNumId="168">
    <w:nsid w:val="24E60401"/>
    <w:multiLevelType w:val="hybridMultilevel"/>
    <w:lvl w:ilvl="0">
      <w:lvlJc w:val="left"/>
      <w:lvlText w:val="%1)"/>
      <w:numFmt w:val="lowerLetter"/>
      <w:start w:val="1"/>
    </w:lvl>
  </w:abstractNum>
  <w:abstractNum w:abstractNumId="169">
    <w:nsid w:val="2A6AD9BE"/>
    <w:multiLevelType w:val="hybridMultilevel"/>
    <w:lvl w:ilvl="0">
      <w:lvlJc w:val="left"/>
      <w:lvlText w:val="%1)"/>
      <w:numFmt w:val="lowerLetter"/>
      <w:start w:val="2"/>
    </w:lvl>
  </w:abstractNum>
  <w:abstractNum w:abstractNumId="170">
    <w:nsid w:val="BAAC1B4"/>
    <w:multiLevelType w:val="hybridMultilevel"/>
    <w:lvl w:ilvl="0">
      <w:lvlJc w:val="left"/>
      <w:lvlText w:val="%1)"/>
      <w:numFmt w:val="decimal"/>
      <w:start w:val="1"/>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decimal"/>
      <w:start w:val="5"/>
    </w:lvl>
  </w:abstractNum>
  <w:abstractNum w:abstractNumId="173">
    <w:nsid w:val="4AB26E78"/>
    <w:multiLevelType w:val="hybridMultilevel"/>
    <w:lvl w:ilvl="0">
      <w:lvlJc w:val="left"/>
      <w:lvlText w:val="%1)"/>
      <w:numFmt w:val="lowerLetter"/>
      <w:start w:val="1"/>
    </w:lvl>
  </w:abstractNum>
  <w:abstractNum w:abstractNumId="174">
    <w:nsid w:val="21FAA2FA"/>
    <w:multiLevelType w:val="hybridMultilevel"/>
    <w:lvl w:ilvl="0">
      <w:lvlJc w:val="left"/>
      <w:lvlText w:val="%1)"/>
      <w:numFmt w:val="lowerLetter"/>
      <w:start w:val="2"/>
    </w:lvl>
  </w:abstractNum>
  <w:abstractNum w:abstractNumId="175">
    <w:nsid w:val="5451CF49"/>
    <w:multiLevelType w:val="hybridMultilevel"/>
    <w:lvl w:ilvl="0">
      <w:lvlJc w:val="left"/>
      <w:lvlText w:val="·"/>
      <w:numFmt w:val="bullet"/>
      <w:start w:val="1"/>
    </w:lvl>
  </w:abstractNum>
  <w:abstractNum w:abstractNumId="176">
    <w:nsid w:val="6181EF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5" Type="http://schemas.openxmlformats.org/officeDocument/2006/relationships/image" Target="media/image156.png"/><Relationship Id="rId168" Type="http://schemas.openxmlformats.org/officeDocument/2006/relationships/image" Target="media/image157.png"/><Relationship Id="rId171"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80" Type="http://schemas.openxmlformats.org/officeDocument/2006/relationships/image" Target="media/image161.png"/><Relationship Id="rId192" Type="http://schemas.openxmlformats.org/officeDocument/2006/relationships/image" Target="media/image162.png"/><Relationship Id="rId208"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2" Type="http://schemas.openxmlformats.org/officeDocument/2006/relationships/image" Target="media/image172.png"/><Relationship Id="rId235"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jpe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jpeg"/><Relationship Id="rId271" Type="http://schemas.openxmlformats.org/officeDocument/2006/relationships/image" Target="media/image206.jpe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jpe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300" Type="http://schemas.openxmlformats.org/officeDocument/2006/relationships/image" Target="media/image235.png"/><Relationship Id="rId301" Type="http://schemas.openxmlformats.org/officeDocument/2006/relationships/image" Target="media/image236.png"/><Relationship Id="rId302"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305" Type="http://schemas.openxmlformats.org/officeDocument/2006/relationships/image" Target="media/image240.png"/><Relationship Id="rId306" Type="http://schemas.openxmlformats.org/officeDocument/2006/relationships/image" Target="media/image241.png"/><Relationship Id="rId307" Type="http://schemas.openxmlformats.org/officeDocument/2006/relationships/image" Target="media/image242.png"/><Relationship Id="rId308" Type="http://schemas.openxmlformats.org/officeDocument/2006/relationships/image" Target="media/image243.png"/><Relationship Id="rId309" Type="http://schemas.openxmlformats.org/officeDocument/2006/relationships/image" Target="media/image244.png"/><Relationship Id="rId310" Type="http://schemas.openxmlformats.org/officeDocument/2006/relationships/image" Target="media/image245.png"/><Relationship Id="rId311" Type="http://schemas.openxmlformats.org/officeDocument/2006/relationships/image" Target="media/image246.png"/><Relationship Id="rId312" Type="http://schemas.openxmlformats.org/officeDocument/2006/relationships/image" Target="media/image247.png"/><Relationship Id="rId313" Type="http://schemas.openxmlformats.org/officeDocument/2006/relationships/image" Target="media/image248.png"/><Relationship Id="rId314" Type="http://schemas.openxmlformats.org/officeDocument/2006/relationships/image" Target="media/image249.png"/><Relationship Id="rId315" Type="http://schemas.openxmlformats.org/officeDocument/2006/relationships/image" Target="media/image250.png"/><Relationship Id="rId316" Type="http://schemas.openxmlformats.org/officeDocument/2006/relationships/image" Target="media/image251.png"/><Relationship Id="rId317" Type="http://schemas.openxmlformats.org/officeDocument/2006/relationships/image" Target="media/image252.png"/><Relationship Id="rId149" Type="http://schemas.openxmlformats.org/officeDocument/2006/relationships/hyperlink" Target="http://www.sec.gov/Archives/edgar/data/716634/000071663421000005/rdi-20201231xex21.htm" TargetMode="External"/><Relationship Id="rId164" Type="http://schemas.openxmlformats.org/officeDocument/2006/relationships/hyperlink" Target="http://www.sec.gov/Archives/edgar/data/716634/000071663416000067/rdi-20151231xex3_1.htm" TargetMode="External"/><Relationship Id="rId166" Type="http://schemas.openxmlformats.org/officeDocument/2006/relationships/hyperlink" Target="http://www.sec.gov/Archives/edgar/data/716634/000071663418000006/rdi-20171231xex3_2.htm" TargetMode="External"/><Relationship Id="rId167" Type="http://schemas.openxmlformats.org/officeDocument/2006/relationships/hyperlink" Target="http://www.sec.gov/Archives/edgar/data/716634/000071663407000004/ex4_1.htm" TargetMode="External"/><Relationship Id="rId169" Type="http://schemas.openxmlformats.org/officeDocument/2006/relationships/hyperlink" Target="http://www.sec.gov/Archives/edgar/data/716634/000071663407000004/ex4_2.htm" TargetMode="External"/><Relationship Id="rId170" Type="http://schemas.openxmlformats.org/officeDocument/2006/relationships/hyperlink" Target="http://www.sec.gov/Archives/edgar/data/716634/000071663407000004/ex4_3.htm" TargetMode="External"/><Relationship Id="rId172" Type="http://schemas.openxmlformats.org/officeDocument/2006/relationships/hyperlink" Target="http://www.sec.gov/Archives/edgar/data/716634/000071663407000004/ex10_4.htm" TargetMode="External"/><Relationship Id="rId173" Type="http://schemas.openxmlformats.org/officeDocument/2006/relationships/hyperlink" Target="http://www.sec.gov/Archives/edgar/data/716634/000071663409000036/exhibit4_4.htm" TargetMode="External"/><Relationship Id="rId174" Type="http://schemas.openxmlformats.org/officeDocument/2006/relationships/hyperlink" Target="http://www.sec.gov/Archives/edgar/data/0000716634/000071663421000005/rdi-20201231xex4_6.htm" TargetMode="External"/><Relationship Id="rId177" Type="http://schemas.openxmlformats.org/officeDocument/2006/relationships/hyperlink" Target="http://www.sec.gov/Archives/edgar/data/716634/000071663420000042/rdi-20201106xdef14a.htm#Exhibits" TargetMode="External"/><Relationship Id="rId178" Type="http://schemas.openxmlformats.org/officeDocument/2006/relationships/hyperlink" Target="http://www.sec.gov/Archives/edgar/data/716634/000071663423000021/rdi-20221231xdef14a.htm" TargetMode="External"/><Relationship Id="rId179" Type="http://schemas.openxmlformats.org/officeDocument/2006/relationships/hyperlink" Target="http://www.sec.gov/Archives/edgar/data/716634/000071663424000031/rdi-20231231xdef14a.htm" TargetMode="External"/><Relationship Id="rId181" Type="http://schemas.openxmlformats.org/officeDocument/2006/relationships/hyperlink" Target="http://www.sec.gov/Archives/edgar/data/0000716634/000071663421000005/rdi-20201231xex10_7.htm" TargetMode="External"/><Relationship Id="rId182" Type="http://schemas.openxmlformats.org/officeDocument/2006/relationships/hyperlink" Target="http://www.sec.gov/Archives/edgar/data/0000716634/000071663421000005/rdi-20201231xex10_8.htm" TargetMode="External"/><Relationship Id="rId183" Type="http://schemas.openxmlformats.org/officeDocument/2006/relationships/hyperlink" Target="https://www.sec.gov/Archives/edgar/data/716634/000071663425000048/rdi-20250930xex10_2.htm" TargetMode="External"/><Relationship Id="rId184" Type="http://schemas.openxmlformats.org/officeDocument/2006/relationships/hyperlink" Target="http://www.sec.gov/Archives/edgar/data/0000716634/000071663421000005/rdi-20201231xex10_9.htm" TargetMode="External"/><Relationship Id="rId185" Type="http://schemas.openxmlformats.org/officeDocument/2006/relationships/hyperlink" Target="https://www.sec.gov/Archives/edgar/data/716634/000071663423000010/rdi-20221231xex10_47.htm" TargetMode="External"/><Relationship Id="rId186" Type="http://schemas.openxmlformats.org/officeDocument/2006/relationships/hyperlink" Target="http://www.sec.gov/Archives/edgar/data/716634/000095015003000386/a88762exv10w40.txt" TargetMode="External"/><Relationship Id="rId187" Type="http://schemas.openxmlformats.org/officeDocument/2006/relationships/hyperlink" Target="http://www.sec.gov/Archives/edgar/data/716634/000095012905009355/a12618exv10w58.htm" TargetMode="External"/><Relationship Id="rId188" Type="http://schemas.openxmlformats.org/officeDocument/2006/relationships/hyperlink" Target="http://www.sec.gov/Archives/edgar/data/716634/000095012905009355/a12618exv10w56.htm" TargetMode="External"/><Relationship Id="rId189" Type="http://schemas.openxmlformats.org/officeDocument/2006/relationships/hyperlink" Target="http://www.sec.gov/Archives/edgar/data/716634/000071663411000002/exhibit10_21.htm" TargetMode="External"/><Relationship Id="rId190" Type="http://schemas.openxmlformats.org/officeDocument/2006/relationships/hyperlink" Target="http://www.sec.gov/Archives/edgar/data/716634/000095015003001354/a94399exv10w49.txt" TargetMode="External"/><Relationship Id="rId191" Type="http://schemas.openxmlformats.org/officeDocument/2006/relationships/hyperlink" Target="http://www.sec.gov/Archives/edgar/data/716634/000071663407000004/ex10_2.htm" TargetMode="External"/><Relationship Id="rId193" Type="http://schemas.openxmlformats.org/officeDocument/2006/relationships/hyperlink" Target="http://www.sec.gov/Archives/edgar/data/716634/000071663416000067/rdi-20151231xex10_9.htm" TargetMode="External"/><Relationship Id="rId194" Type="http://schemas.openxmlformats.org/officeDocument/2006/relationships/hyperlink" Target="http://www.sec.gov/Archives/edgar/data/0000716634/000071663420000015/rdi-20200602x8k.htm" TargetMode="External"/><Relationship Id="rId195" Type="http://schemas.openxmlformats.org/officeDocument/2006/relationships/hyperlink" Target="http://www.sec.gov/ix?doc=/Archives/edgar/data/0000716634/000071663420000034/rdi-20200630x10q.htm" TargetMode="External"/><Relationship Id="rId196" Type="http://schemas.openxmlformats.org/officeDocument/2006/relationships/hyperlink" Target="http://www.sec.gov/Archives/edgar/data/0000716634/000156276221000331/rdi-20210630xex10_3.htm" TargetMode="External"/><Relationship Id="rId197" Type="http://schemas.openxmlformats.org/officeDocument/2006/relationships/hyperlink" Target="http://www.sec.gov/Archives/edgar/data/0000716634/000071663421000029/rdi-20210930xex10_1.htm" TargetMode="External"/><Relationship Id="rId198" Type="http://schemas.openxmlformats.org/officeDocument/2006/relationships/hyperlink" Target="https://www.sec.gov/Archives/edgar/data/716634/000071663422000009/rdi-20211231xex10_45.htm" TargetMode="External"/><Relationship Id="rId199" Type="http://schemas.openxmlformats.org/officeDocument/2006/relationships/hyperlink" Target="https://www.sec.gov/Archives/edgar/data/716634/000071663422000038/rdi-20221216xex10_1.htm" TargetMode="External"/><Relationship Id="rId200" Type="http://schemas.openxmlformats.org/officeDocument/2006/relationships/hyperlink" Target="http://www.sec.gov/Archives/edgar/data/716634/000071663423000016/rdi-20230630xex10_1.htm" TargetMode="External"/><Relationship Id="rId201" Type="http://schemas.openxmlformats.org/officeDocument/2006/relationships/hyperlink" Target="http://www.sec.gov/Archives/edgar/data/716634/000071663423000031/rdi-20230930xex10_1.htm" TargetMode="External"/><Relationship Id="rId202" Type="http://schemas.openxmlformats.org/officeDocument/2006/relationships/hyperlink" Target="http://www.sec.gov/ix?doc=/Archives/edgar/data/0000716634/000071663424000009/rdi-20231231x10k.htm" TargetMode="External"/><Relationship Id="rId203" Type="http://schemas.openxmlformats.org/officeDocument/2006/relationships/hyperlink" Target="http://www.sec.gov/Archives/edgar/data/716634/000071663424000025/rdi-20240630xex10_1.htm" TargetMode="External"/><Relationship Id="rId204" Type="http://schemas.openxmlformats.org/officeDocument/2006/relationships/hyperlink" Target="https://www.sec.gov/Archives/edgar/data/716634/000071663425000030/rdi-20250331xex10_4.htm" TargetMode="External"/><Relationship Id="rId205" Type="http://schemas.openxmlformats.org/officeDocument/2006/relationships/hyperlink" Target="https://www.sec.gov/Archives/edgar/data/716634/000071663425000037/rdi-20250630xex10_3.htm" TargetMode="External"/><Relationship Id="rId206" Type="http://schemas.openxmlformats.org/officeDocument/2006/relationships/hyperlink" Target="https://www.sec.gov/Archives/edgar/data/716634/000071663425000037/rdi-20250630xex10_4.htm" TargetMode="External"/><Relationship Id="rId207" Type="http://schemas.openxmlformats.org/officeDocument/2006/relationships/hyperlink" Target="https://www.sec.gov/Archives/edgar/data/716634/000071663425000008/rdi-20241231xex10_28.htm" TargetMode="External"/><Relationship Id="rId209" Type="http://schemas.openxmlformats.org/officeDocument/2006/relationships/hyperlink" Target="http://www.sec.gov/Archives/edgar/data/0000716634/000071663421000029/rdi-20210930xex10_2.htm" TargetMode="External"/><Relationship Id="rId210" Type="http://schemas.openxmlformats.org/officeDocument/2006/relationships/hyperlink" Target="http://www.sec.gov/Archives/edgar/data/716634/000071663422000036/rdi-20221129xex10_1.htm" TargetMode="External"/><Relationship Id="rId211" Type="http://schemas.openxmlformats.org/officeDocument/2006/relationships/hyperlink" Target="http://www.sec.gov/Archives/edgar/data/716634/000071663423000012/rdi-20230331xex10_1.htm" TargetMode="External"/><Relationship Id="rId212" Type="http://schemas.openxmlformats.org/officeDocument/2006/relationships/hyperlink" Target="http://www.sec.gov/Archives/edgar/data/716634/000071663424000018/rdi-20240331xex10_1.htm" TargetMode="External"/><Relationship Id="rId213" Type="http://schemas.openxmlformats.org/officeDocument/2006/relationships/hyperlink" Target="https://www.sec.gov/Archives/edgar/data/716634/000071663425000008/rdi-20241231xex10_36.htm" TargetMode="External"/><Relationship Id="rId214" Type="http://schemas.openxmlformats.org/officeDocument/2006/relationships/hyperlink" Target="https://www.sec.gov/Archives/edgar/data/716634/000071663425000008/rdi-20241231xex10_37.htm" TargetMode="External"/><Relationship Id="rId215" Type="http://schemas.openxmlformats.org/officeDocument/2006/relationships/hyperlink" Target="https://www.sec.gov/Archives/edgar/data/716634/000071663425000037/rdi-20250630xex10_1.htm" TargetMode="External"/><Relationship Id="rId216" Type="http://schemas.openxmlformats.org/officeDocument/2006/relationships/hyperlink" Target="https://www.sec.gov/Archives/edgar/data/716634/000071663425000048/rdi-20250930xex10_1.htm" TargetMode="External"/><Relationship Id="rId217" Type="http://schemas.openxmlformats.org/officeDocument/2006/relationships/hyperlink" Target="https://www.sec.gov/Archives/edgar/data/716634/000071663420000015/rdi-20200602xex10_41.htm" TargetMode="External"/><Relationship Id="rId218" Type="http://schemas.openxmlformats.org/officeDocument/2006/relationships/hyperlink" Target="https://www.sec.gov/Archives/edgar/data/716634/000071663425000030/rdi-20250331xex10_1.htm" TargetMode="External"/><Relationship Id="rId219" Type="http://schemas.openxmlformats.org/officeDocument/2006/relationships/hyperlink" Target="https://www.sec.gov/Archives/edgar/data/716634/000071663425000020/rdi-20241231xex10_44.htm" TargetMode="External"/><Relationship Id="rId220" Type="http://schemas.openxmlformats.org/officeDocument/2006/relationships/hyperlink" Target="https://www.sec.gov/Archives/edgar/data/716634/000071663425000030/rdi-20250331xex10_2.htm" TargetMode="External"/><Relationship Id="rId221" Type="http://schemas.openxmlformats.org/officeDocument/2006/relationships/hyperlink" Target="https://www.sec.gov/Archives/edgar/data/716634/000071663425000030/rdi-20250331xex10_3.htm" TargetMode="External"/><Relationship Id="rId222" Type="http://schemas.openxmlformats.org/officeDocument/2006/relationships/hyperlink" Target="http://www.sec.gov/Archives/edgar/data/0000716634/000156276221000331/rdi-20210630xex10_1.htm" TargetMode="External"/><Relationship Id="rId231" Type="http://schemas.openxmlformats.org/officeDocument/2006/relationships/hyperlink" Target="https://www.sec.gov/Archives/edgar/data/716634/000071663424000025/rdi-20240630xex10_2.htm" TargetMode="External"/><Relationship Id="rId233" Type="http://schemas.openxmlformats.org/officeDocument/2006/relationships/hyperlink" Target="https://www.sec.gov/Archives/edgar/data/716634/000071663425000037/rdi-20250630xex10_2.htm" TargetMode="External"/><Relationship Id="rId234" Type="http://schemas.openxmlformats.org/officeDocument/2006/relationships/hyperlink" Target="http://www.sec.gov/Archives/edgar/data/0000716634/000071663420000024/rdi-20200331x10q.htm" TargetMode="External"/><Relationship Id="rId236" Type="http://schemas.openxmlformats.org/officeDocument/2006/relationships/hyperlink" Target="http://www.sec.gov/Archives/edgar/data/716634/000071663417000007/rdi-20161231xex18.htm" TargetMode="External"/><Relationship Id="rId237" Type="http://schemas.openxmlformats.org/officeDocument/2006/relationships/hyperlink" Target="https://www.sec.gov/Archives/edgar/data/716634/000071663425000015/rdi-20241231xex19_1.htm" TargetMode="External"/><Relationship Id="rId238" Type="http://schemas.openxmlformats.org/officeDocument/2006/relationships/hyperlink" Target="https://www.sec.gov/Archives/edgar/data/716634/000071663425000015/rdi-20241231xex1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2026-03-31T17:26:42Z</dcterms:created>
  <dcterms:modified xsi:type="dcterms:W3CDTF">2026-03-31T17:26:42Z</dcterms:modified>
</cp:coreProperties>
</file>